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7322F">
        <w:tblPrEx>
          <w:tblCellMar>
            <w:top w:w="0" w:type="dxa"/>
            <w:left w:w="0" w:type="dxa"/>
            <w:bottom w:w="0" w:type="dxa"/>
            <w:right w:w="0" w:type="dxa"/>
          </w:tblCellMar>
        </w:tblPrEx>
        <w:trPr>
          <w:gridAfter w:val="2"/>
          <w:wAfter w:w="1758" w:type="dxa"/>
          <w:cantSplit/>
          <w:trHeight w:val="1320"/>
        </w:trPr>
        <w:tc>
          <w:tcPr>
            <w:tcW w:w="5897" w:type="dxa"/>
          </w:tcPr>
          <w:p w:rsidR="0007322F" w:rsidRPr="0007322F" w:rsidRDefault="0007322F">
            <w:pPr>
              <w:pStyle w:val="HuvudRubrik"/>
            </w:pPr>
            <w:r w:rsidRPr="0007322F">
              <w:t>Regeringskansliet</w:t>
            </w:r>
          </w:p>
          <w:p w:rsidR="0007322F" w:rsidRPr="0007322F" w:rsidRDefault="0007322F">
            <w:pPr>
              <w:pStyle w:val="HuvudRubrik"/>
            </w:pPr>
            <w:r w:rsidRPr="0007322F">
              <w:t>Faktapromemoria 2008/09:FPM99</w:t>
            </w:r>
          </w:p>
        </w:tc>
      </w:tr>
      <w:tr w:rsidR="00000000" w:rsidRPr="0007322F">
        <w:tblPrEx>
          <w:tblCellMar>
            <w:top w:w="0" w:type="dxa"/>
            <w:left w:w="0" w:type="dxa"/>
            <w:bottom w:w="0" w:type="dxa"/>
            <w:right w:w="0" w:type="dxa"/>
          </w:tblCellMar>
        </w:tblPrEx>
        <w:trPr>
          <w:gridAfter w:val="2"/>
          <w:wAfter w:w="1758" w:type="dxa"/>
          <w:cantSplit/>
          <w:trHeight w:val="240"/>
        </w:trPr>
        <w:tc>
          <w:tcPr>
            <w:tcW w:w="5897" w:type="dxa"/>
          </w:tcPr>
          <w:p w:rsidR="0007322F" w:rsidRPr="0007322F" w:rsidRDefault="0007322F">
            <w:pPr>
              <w:pStyle w:val="HuvudRubrik"/>
              <w:rPr>
                <w:sz w:val="28"/>
              </w:rPr>
            </w:pPr>
            <w:r w:rsidRPr="0007322F">
              <w:t>Modernisering av EU:s tullinformationssystem</w:t>
            </w:r>
          </w:p>
        </w:tc>
      </w:tr>
      <w:tr w:rsidR="00000000" w:rsidRPr="0007322F">
        <w:tblPrEx>
          <w:tblCellMar>
            <w:top w:w="0" w:type="dxa"/>
            <w:left w:w="0" w:type="dxa"/>
            <w:bottom w:w="0" w:type="dxa"/>
            <w:right w:w="0" w:type="dxa"/>
          </w:tblCellMar>
        </w:tblPrEx>
        <w:trPr>
          <w:cantSplit/>
          <w:trHeight w:val="285"/>
        </w:trPr>
        <w:tc>
          <w:tcPr>
            <w:tcW w:w="7655" w:type="dxa"/>
            <w:gridSpan w:val="3"/>
          </w:tcPr>
          <w:p w:rsidR="0007322F" w:rsidRPr="0007322F" w:rsidRDefault="0007322F">
            <w:pPr>
              <w:pStyle w:val="Departement"/>
              <w:rPr>
                <w:sz w:val="28"/>
              </w:rPr>
            </w:pPr>
            <w:r w:rsidRPr="0007322F">
              <w:t>Finansdepartementet</w:t>
            </w:r>
          </w:p>
        </w:tc>
      </w:tr>
      <w:tr w:rsidR="00000000" w:rsidRPr="0007322F">
        <w:tblPrEx>
          <w:tblCellMar>
            <w:top w:w="0" w:type="dxa"/>
            <w:left w:w="0" w:type="dxa"/>
            <w:bottom w:w="0" w:type="dxa"/>
            <w:right w:w="0" w:type="dxa"/>
          </w:tblCellMar>
        </w:tblPrEx>
        <w:trPr>
          <w:cantSplit/>
          <w:trHeight w:val="240"/>
        </w:trPr>
        <w:tc>
          <w:tcPr>
            <w:tcW w:w="7655" w:type="dxa"/>
            <w:gridSpan w:val="3"/>
          </w:tcPr>
          <w:p w:rsidR="0007322F" w:rsidRPr="0007322F" w:rsidRDefault="0007322F">
            <w:pPr>
              <w:pStyle w:val="Dokumentdatum"/>
            </w:pPr>
            <w:r w:rsidRPr="0007322F">
              <w:t>2009-03-31</w:t>
            </w:r>
          </w:p>
        </w:tc>
      </w:tr>
      <w:tr w:rsidR="00000000" w:rsidRPr="0007322F">
        <w:tblPrEx>
          <w:tblCellMar>
            <w:top w:w="0" w:type="dxa"/>
            <w:left w:w="0" w:type="dxa"/>
            <w:bottom w:w="0" w:type="dxa"/>
            <w:right w:w="0" w:type="dxa"/>
          </w:tblCellMar>
        </w:tblPrEx>
        <w:trPr>
          <w:cantSplit/>
          <w:trHeight w:val="726"/>
        </w:trPr>
        <w:tc>
          <w:tcPr>
            <w:tcW w:w="7655" w:type="dxa"/>
            <w:gridSpan w:val="3"/>
            <w:vAlign w:val="bottom"/>
          </w:tcPr>
          <w:p w:rsidR="0007322F" w:rsidRPr="0007322F" w:rsidRDefault="0007322F">
            <w:pPr>
              <w:pStyle w:val="Dokumentbeteckning"/>
            </w:pPr>
            <w:r w:rsidRPr="0007322F">
              <w:t>Dokumentbeteckning</w:t>
            </w:r>
          </w:p>
        </w:tc>
      </w:tr>
      <w:tr w:rsidR="00000000" w:rsidRPr="0007322F">
        <w:tblPrEx>
          <w:tblCellMar>
            <w:top w:w="0" w:type="dxa"/>
            <w:left w:w="0" w:type="dxa"/>
            <w:bottom w:w="0" w:type="dxa"/>
            <w:right w:w="0" w:type="dxa"/>
          </w:tblCellMar>
        </w:tblPrEx>
        <w:trPr>
          <w:gridAfter w:val="1"/>
          <w:wAfter w:w="1560" w:type="dxa"/>
          <w:trHeight w:val="120"/>
        </w:trPr>
        <w:tc>
          <w:tcPr>
            <w:tcW w:w="6095" w:type="dxa"/>
            <w:gridSpan w:val="2"/>
          </w:tcPr>
          <w:p w:rsidR="0007322F" w:rsidRPr="0007322F" w:rsidRDefault="0007322F">
            <w:bookmarkStart w:id="0" w:name="KomNr"/>
            <w:bookmarkEnd w:id="0"/>
            <w:r w:rsidRPr="0007322F">
              <w:t>16008/08 ENFOCUSTOM 103 EUROPOL 76 EUROJUST 100</w:t>
            </w:r>
          </w:p>
        </w:tc>
      </w:tr>
      <w:tr w:rsidR="00000000" w:rsidRPr="0007322F">
        <w:tblPrEx>
          <w:tblCellMar>
            <w:top w:w="0" w:type="dxa"/>
            <w:left w:w="0" w:type="dxa"/>
            <w:bottom w:w="0" w:type="dxa"/>
            <w:right w:w="0" w:type="dxa"/>
          </w:tblCellMar>
        </w:tblPrEx>
        <w:trPr>
          <w:gridAfter w:val="1"/>
          <w:wAfter w:w="1560" w:type="dxa"/>
          <w:trHeight w:val="120"/>
        </w:trPr>
        <w:tc>
          <w:tcPr>
            <w:tcW w:w="6095" w:type="dxa"/>
            <w:gridSpan w:val="2"/>
          </w:tcPr>
          <w:p w:rsidR="0007322F" w:rsidRPr="0007322F" w:rsidRDefault="0007322F">
            <w:pPr>
              <w:pStyle w:val="Dokumentbeteckning-titel"/>
            </w:pPr>
            <w:r w:rsidRPr="0007322F">
              <w:t>Initiativ från det franska ordförandeskapet inför antagandet av ett rådets beslut om ändring av konventionen om användning av informationsteknologi för tull¬ändamål (TIS-konventionen) av den 26 juli 1995</w:t>
            </w:r>
          </w:p>
        </w:tc>
      </w:tr>
    </w:tbl>
    <w:p w:rsidR="0007322F" w:rsidRPr="0007322F" w:rsidRDefault="0007322F"/>
    <w:p w:rsidR="0007322F" w:rsidRPr="0007322F" w:rsidRDefault="0007322F">
      <w:pPr>
        <w:pStyle w:val="Rubrik1"/>
        <w:numPr>
          <w:ilvl w:val="0"/>
          <w:numId w:val="0"/>
        </w:numPr>
      </w:pPr>
      <w:r w:rsidRPr="0007322F">
        <w:t>Sammanfattning</w:t>
      </w:r>
    </w:p>
    <w:p w:rsidR="0007322F" w:rsidRPr="0007322F" w:rsidRDefault="0007322F">
      <w:r w:rsidRPr="0007322F">
        <w:t>Frankrike har lagt fram ett förslag om att omarbeta TIS-konventionen, som utgör rättslig grund för den del av tullinformationssystemet (TIS) som hör till tredje pelaren. I förslaget återfinns vissa ändringar som motsvarar dem som 2008 gjordes i rådets förordning (EG) nr 515/97 om ömsesidigt bistånd mellan medlemsstaternas administrativa myndigheter och om samarbete mellan dessa och kommissionen för att säkerställa en korrekt tillämpning av tull- och jordbrukslagstiftningen. I syfte att göra systemet mer an</w:t>
      </w:r>
      <w:r w:rsidRPr="0007322F">
        <w:t>vändbart för de behöriga myndigheterna föreslås också vissa ändringar. En väsentlig änd</w:t>
      </w:r>
      <w:r w:rsidRPr="0007322F">
        <w:softHyphen/>
        <w:t xml:space="preserve">ring i förhållande till konventionstexten är att Europol och Eurojust föreslås få tillgång till informationen i TIS samt att information ska få registreras även i underrättelsesyfte. Därtill föreslås att konventionen omarbetas till ett rådsbeslut. </w:t>
      </w:r>
    </w:p>
    <w:p w:rsidR="0007322F" w:rsidRPr="0007322F" w:rsidRDefault="0007322F">
      <w:r w:rsidRPr="0007322F">
        <w:t>Regeringen är generellt positiv till att konventionen anpassas för att bättre möta tulladministrationernas behov och att konventionen omarbetas till ett rådsbeslut. Delar av f</w:t>
      </w:r>
      <w:r w:rsidRPr="0007322F">
        <w:t>örslaget, särskilt tillgången för Europol och Eurojust till TIS, måste dock granskas närmare, särskilt från dataskyddssynpunkt.</w:t>
      </w:r>
    </w:p>
    <w:p w:rsidR="0007322F" w:rsidRPr="0007322F" w:rsidRDefault="0007322F">
      <w:pPr>
        <w:pStyle w:val="Rubrik1"/>
      </w:pPr>
      <w:r w:rsidRPr="0007322F">
        <w:lastRenderedPageBreak/>
        <w:t>Förslaget</w:t>
      </w:r>
    </w:p>
    <w:p w:rsidR="0007322F" w:rsidRPr="0007322F" w:rsidRDefault="0007322F">
      <w:pPr>
        <w:pStyle w:val="Rubrik2"/>
      </w:pPr>
      <w:r w:rsidRPr="0007322F">
        <w:t>Ärendets bakgrund</w:t>
      </w:r>
    </w:p>
    <w:p w:rsidR="0007322F" w:rsidRPr="0007322F" w:rsidRDefault="0007322F">
      <w:r w:rsidRPr="0007322F">
        <w:t>Enligt Rådets och kommissionens handlingsplan för genomförande av Haag</w:t>
      </w:r>
      <w:r w:rsidRPr="0007322F">
        <w:softHyphen/>
        <w:t>programmet för ett stärkt område med frihet, säkerhet och rättvisa</w:t>
      </w:r>
      <w:r w:rsidRPr="0007322F">
        <w:rPr>
          <w:rStyle w:val="Fotnotsreferens"/>
        </w:rPr>
        <w:footnoteReference w:id="1"/>
      </w:r>
      <w:r w:rsidRPr="0007322F">
        <w:t xml:space="preserve"> finns det ett fortlöpande uppdrag att se över och eventuellt ytterligare utveckla tullens IT-system. </w:t>
      </w:r>
    </w:p>
    <w:p w:rsidR="0007322F" w:rsidRPr="0007322F" w:rsidRDefault="0007322F">
      <w:r w:rsidRPr="0007322F">
        <w:t>Inom ramen för handlingsplanen för genomförande av strategin för tull</w:t>
      </w:r>
      <w:r w:rsidRPr="0007322F">
        <w:softHyphen/>
        <w:t>samarbete inom tredje pelaren för perioden 1.1.2007</w:t>
      </w:r>
      <w:r w:rsidRPr="0007322F">
        <w:sym w:font="Symbol" w:char="F02D"/>
      </w:r>
      <w:r w:rsidRPr="0007322F">
        <w:t>30.6.2008</w:t>
      </w:r>
      <w:r w:rsidRPr="0007322F">
        <w:rPr>
          <w:rStyle w:val="Fotnotsreferens"/>
        </w:rPr>
        <w:footnoteReference w:id="2"/>
      </w:r>
      <w:r w:rsidRPr="0007322F">
        <w:t xml:space="preserve"> har det där</w:t>
      </w:r>
      <w:r w:rsidRPr="0007322F">
        <w:softHyphen/>
        <w:t>för under fransk ledning genomförts ett projekt i syfte att granska, rapportera och vid behov utarbeta förslag till ändring av Konventionen, som utarbetats på grundval av artikel K.3 i fördraget om Europeiska unionen, om använd</w:t>
      </w:r>
      <w:r w:rsidRPr="0007322F">
        <w:softHyphen/>
        <w:t>ning av informationsteknologi för tulländamål</w:t>
      </w:r>
      <w:r w:rsidRPr="0007322F">
        <w:rPr>
          <w:rStyle w:val="Fotnotsreferens"/>
        </w:rPr>
        <w:footnoteReference w:id="3"/>
      </w:r>
      <w:r w:rsidRPr="0007322F">
        <w:t xml:space="preserve"> (TIS-konventionen). Sverige ingick i projektgruppen. </w:t>
      </w:r>
    </w:p>
    <w:p w:rsidR="0007322F" w:rsidRPr="0007322F" w:rsidRDefault="0007322F">
      <w:r w:rsidRPr="0007322F">
        <w:t>Projektgruppens rapport godkändes vid rådsarbetsgruppens för tullsamar</w:t>
      </w:r>
      <w:r w:rsidRPr="0007322F">
        <w:softHyphen/>
        <w:t>bete (TUS) möte den 31 oktober 2008. Baserat på denna rapport presenterade Frankrike ett utkast till rådsbeslut den 20 november, dock endast på franska, övriga språkversioner förelåg först den 15 december. En första genomgång av dokumentet påbörjades vid TUS-mötet den 16 december 2008.</w:t>
      </w:r>
    </w:p>
    <w:p w:rsidR="0007322F" w:rsidRPr="0007322F" w:rsidRDefault="0007322F">
      <w:pPr>
        <w:pStyle w:val="Rubrik2"/>
      </w:pPr>
      <w:r w:rsidRPr="0007322F">
        <w:t>Förslagets innehåll</w:t>
      </w:r>
    </w:p>
    <w:p w:rsidR="0007322F" w:rsidRPr="0007322F" w:rsidRDefault="0007322F">
      <w:r w:rsidRPr="0007322F">
        <w:t>Förslaget syftar i huvudsak till att omarbeta TIS-konventionen, som utgör rättslig grund för den del av tullinformationssystemet (TIS) som hör till tredje pelaren, så att den överensstämmer med rådets förordning (EG) nr 515/97. I förslaget återfinns därför vissa ändringar som motsvarar dem som 2008 gjordes i nämnda förordning</w:t>
      </w:r>
      <w:r w:rsidRPr="0007322F">
        <w:rPr>
          <w:rStyle w:val="Fotnotsreferens"/>
        </w:rPr>
        <w:footnoteReference w:id="4"/>
      </w:r>
      <w:r w:rsidRPr="0007322F">
        <w:t>.</w:t>
      </w:r>
    </w:p>
    <w:p w:rsidR="0007322F" w:rsidRPr="0007322F" w:rsidRDefault="0007322F">
      <w:r w:rsidRPr="0007322F">
        <w:t>Därtill läggs förslag som syftar till att göra systemet mer användbart för de behöriga myndigheterna. En avgörande skillnad i förhållande till konven</w:t>
      </w:r>
      <w:r w:rsidRPr="0007322F">
        <w:softHyphen/>
        <w:t>tionstexten är att Europol och Eurojust föreslås få tillgång till informationen i tullinformationssystemet samt att information ska få registreras även i under</w:t>
      </w:r>
      <w:r w:rsidRPr="0007322F">
        <w:softHyphen/>
        <w:t xml:space="preserve">rättelsesyfte. </w:t>
      </w:r>
    </w:p>
    <w:p w:rsidR="0007322F" w:rsidRPr="0007322F" w:rsidRDefault="0007322F">
      <w:r w:rsidRPr="0007322F">
        <w:t xml:space="preserve">I övrigt föreslås att konventionen omarbetas till ett rådsbeslut och flera ändringar sammanhänger med bytet av rättslig form. </w:t>
      </w:r>
    </w:p>
    <w:p w:rsidR="0007322F" w:rsidRPr="0007322F" w:rsidRDefault="0007322F">
      <w:pPr>
        <w:pStyle w:val="Rubrik2"/>
      </w:pPr>
      <w:r w:rsidRPr="0007322F">
        <w:t>Gällande svenska regler och förslagets effekt på dessa</w:t>
      </w:r>
    </w:p>
    <w:p w:rsidR="0007322F" w:rsidRPr="0007322F" w:rsidRDefault="0007322F">
      <w:r w:rsidRPr="0007322F">
        <w:t>Gällande svenska regler är lagen (2005:787) om behandling av uppgifter i Tullverkets brottsbekämpande verksamhet och lagen (2000:1219) om inter</w:t>
      </w:r>
      <w:r w:rsidRPr="0007322F">
        <w:softHyphen/>
        <w:t xml:space="preserve">nationellt tullsamarbete. </w:t>
      </w:r>
    </w:p>
    <w:p w:rsidR="0007322F" w:rsidRPr="0007322F" w:rsidRDefault="0007322F">
      <w:r w:rsidRPr="0007322F">
        <w:t>Förslagets effekt på dessa regler torde vara begränsad, men går i nuläget inte att bedöma med säkerhet.</w:t>
      </w:r>
    </w:p>
    <w:p w:rsidR="0007322F" w:rsidRPr="0007322F" w:rsidRDefault="0007322F">
      <w:pPr>
        <w:pStyle w:val="Rubrik2"/>
      </w:pPr>
      <w:r w:rsidRPr="0007322F">
        <w:t>Budgetära konsekvenser / Konsekvensanalys</w:t>
      </w:r>
    </w:p>
    <w:p w:rsidR="0007322F" w:rsidRPr="0007322F" w:rsidRDefault="0007322F">
      <w:r w:rsidRPr="0007322F">
        <w:t>Regeringen gör bedömningen att förslaget är kostnadsneutralt och att det där</w:t>
      </w:r>
      <w:r w:rsidRPr="0007322F">
        <w:softHyphen/>
        <w:t>med inte har några statsfinansiella eller EU-budgetära konsekvenser.</w:t>
      </w:r>
    </w:p>
    <w:p w:rsidR="0007322F" w:rsidRPr="0007322F" w:rsidRDefault="0007322F">
      <w:pPr>
        <w:pStyle w:val="Rubrik1"/>
      </w:pPr>
      <w:r w:rsidRPr="0007322F">
        <w:t>Ståndpunkter</w:t>
      </w:r>
    </w:p>
    <w:p w:rsidR="0007322F" w:rsidRPr="0007322F" w:rsidRDefault="0007322F">
      <w:pPr>
        <w:pStyle w:val="Rubrik2"/>
      </w:pPr>
      <w:r w:rsidRPr="0007322F">
        <w:t>Preliminär svensk ståndpunkt</w:t>
      </w:r>
    </w:p>
    <w:p w:rsidR="0007322F" w:rsidRPr="0007322F" w:rsidRDefault="0007322F">
      <w:r w:rsidRPr="0007322F">
        <w:t>Regeringen är införstådd med behovet av att göra förändringar i TIS-konven</w:t>
      </w:r>
      <w:r w:rsidRPr="0007322F">
        <w:softHyphen/>
        <w:t>tionen. Tullinformationssystemet används f.n. inte till sin fulla kapacitet, vil</w:t>
      </w:r>
      <w:r w:rsidRPr="0007322F">
        <w:softHyphen/>
        <w:t>ket kan bero på begränsningar i konventionen, exempelvis är det inte möjligt att registrera uppgifter i underrättelsesyfte. Regeringen är därför generellt positiv till att konventionen omarbetas. Delar av förslaget, exempelvis till</w:t>
      </w:r>
      <w:r w:rsidRPr="0007322F">
        <w:softHyphen/>
        <w:t>gången för Europol och Eurojust till tullinformationssystemet, måste dock granskas närmare, särskilt från dataskyddssynpunkt. Vid TUS-mötet den 16 december 2008 (jfr avsnitt 1.1) lämnade Sverige där</w:t>
      </w:r>
      <w:r w:rsidRPr="0007322F">
        <w:t>för granskningsreser</w:t>
      </w:r>
      <w:r w:rsidRPr="0007322F">
        <w:softHyphen/>
        <w:t>vation och parlamentarisk reservation.</w:t>
      </w:r>
    </w:p>
    <w:p w:rsidR="0007322F" w:rsidRPr="0007322F" w:rsidRDefault="0007322F">
      <w:pPr>
        <w:pStyle w:val="Rubrik2"/>
      </w:pPr>
      <w:r w:rsidRPr="0007322F">
        <w:t>Medlemsstaternas ståndpunkter</w:t>
      </w:r>
    </w:p>
    <w:p w:rsidR="0007322F" w:rsidRPr="0007322F" w:rsidRDefault="0007322F">
      <w:r w:rsidRPr="0007322F">
        <w:t>Ingen medlemsstat har under förhandlingarna uppgett att man invänder mot att TIS-konventionen omarbetas. Frågor har ställts beträffande den rättsliga grunden för rådsbeslutet och rättslig status för protokollen till konventionen när den har ersatts av ett rådsbeslut.</w:t>
      </w:r>
    </w:p>
    <w:p w:rsidR="0007322F" w:rsidRPr="0007322F" w:rsidRDefault="0007322F">
      <w:r w:rsidRPr="0007322F">
        <w:t>Det synes råda enighet om att ge Europol tillgång till informationen i tull</w:t>
      </w:r>
      <w:r w:rsidRPr="0007322F">
        <w:softHyphen/>
        <w:t xml:space="preserve">informationssystemet, omfattningen är dock föremål för diskussion. </w:t>
      </w:r>
    </w:p>
    <w:p w:rsidR="0007322F" w:rsidRPr="0007322F" w:rsidRDefault="0007322F">
      <w:r w:rsidRPr="0007322F">
        <w:t>Meningarna är delade när det gäller omfattningen av Eurojusts tillgång till informationen. En del medlemsstater menar att Eurojust bör ha tillgång till systemet i dess helhet, medan andra anser att Eurojust bara har behov av informationen i registret för identifiering av tullutredningar (FIDE).</w:t>
      </w:r>
    </w:p>
    <w:p w:rsidR="0007322F" w:rsidRPr="0007322F" w:rsidRDefault="0007322F">
      <w:pPr>
        <w:pStyle w:val="Rubrik2"/>
      </w:pPr>
      <w:r w:rsidRPr="0007322F">
        <w:t>Institutionernas ståndpunkter</w:t>
      </w:r>
    </w:p>
    <w:p w:rsidR="0007322F" w:rsidRPr="0007322F" w:rsidRDefault="0007322F">
      <w:r w:rsidRPr="0007322F">
        <w:t xml:space="preserve">Kommissionen är positiv till att TIS-konventionen omarbetas och vill ge Europol och Eurojust tillgång till tullinformationssystemet. </w:t>
      </w:r>
    </w:p>
    <w:p w:rsidR="0007322F" w:rsidRPr="0007322F" w:rsidRDefault="0007322F">
      <w:r w:rsidRPr="0007322F">
        <w:t>Europaparlamentet har av rådet uppmanats att yttra sig över förslaget sen</w:t>
      </w:r>
      <w:r w:rsidRPr="0007322F">
        <w:softHyphen/>
        <w:t>ast den 7 maj 2009.</w:t>
      </w:r>
    </w:p>
    <w:p w:rsidR="0007322F" w:rsidRPr="0007322F" w:rsidRDefault="0007322F">
      <w:pPr>
        <w:pStyle w:val="Rubrik2"/>
      </w:pPr>
      <w:r w:rsidRPr="0007322F">
        <w:t>Remissinstansernas ståndpunkter</w:t>
      </w:r>
    </w:p>
    <w:p w:rsidR="0007322F" w:rsidRPr="0007322F" w:rsidRDefault="0007322F">
      <w:r w:rsidRPr="0007322F">
        <w:t xml:space="preserve">Underhandssynpunkter har inhämtats från berörda myndigheter. </w:t>
      </w:r>
    </w:p>
    <w:p w:rsidR="0007322F" w:rsidRPr="0007322F" w:rsidRDefault="0007322F">
      <w:r w:rsidRPr="0007322F">
        <w:t>Tullverket är positivt till att TIS-konventionen omarbetas. Detsamma gäller för Rikspolisstyrelsen och Kustbevakningen. Datainspektionen har inga invändningar mot att konventionen omarbetas men har framfört vissa invändningar ur dataskyddssynpunkt på delar av förslaget.</w:t>
      </w:r>
    </w:p>
    <w:p w:rsidR="0007322F" w:rsidRPr="0007322F" w:rsidRDefault="0007322F">
      <w:pPr>
        <w:pStyle w:val="Rubrik1"/>
      </w:pPr>
      <w:r w:rsidRPr="0007322F">
        <w:t>Förslagets förutsättningar</w:t>
      </w:r>
    </w:p>
    <w:p w:rsidR="0007322F" w:rsidRPr="0007322F" w:rsidRDefault="0007322F">
      <w:pPr>
        <w:pStyle w:val="Rubrik2"/>
      </w:pPr>
      <w:r w:rsidRPr="0007322F">
        <w:t>Rättslig grund och beslutsförfarande</w:t>
      </w:r>
    </w:p>
    <w:p w:rsidR="0007322F" w:rsidRPr="0007322F" w:rsidRDefault="0007322F">
      <w:r w:rsidRPr="0007322F">
        <w:t>Som rättslig grund anges i förslaget artiklarna 30.1 a och 34.2 c i fördraget om Europeiska unionen.</w:t>
      </w:r>
    </w:p>
    <w:p w:rsidR="0007322F" w:rsidRPr="0007322F" w:rsidRDefault="0007322F">
      <w:r w:rsidRPr="0007322F">
        <w:t>Europaparlamentet har av rådet uppmanats att yttra sig över förslaget sen</w:t>
      </w:r>
      <w:r w:rsidRPr="0007322F">
        <w:softHyphen/>
        <w:t>ast den 7 maj 2009.</w:t>
      </w:r>
    </w:p>
    <w:p w:rsidR="0007322F" w:rsidRPr="0007322F" w:rsidRDefault="0007322F">
      <w:r w:rsidRPr="0007322F">
        <w:t>Frågan kräver enhällighet i rådet.</w:t>
      </w:r>
    </w:p>
    <w:p w:rsidR="0007322F" w:rsidRPr="0007322F" w:rsidRDefault="0007322F">
      <w:pPr>
        <w:pStyle w:val="Rubrik2"/>
      </w:pPr>
      <w:r w:rsidRPr="0007322F">
        <w:t>Subsidiaritets- och proportionalitetsprincipen</w:t>
      </w:r>
    </w:p>
    <w:p w:rsidR="0007322F" w:rsidRPr="0007322F" w:rsidRDefault="0007322F"/>
    <w:p w:rsidR="0007322F" w:rsidRPr="0007322F" w:rsidRDefault="0007322F">
      <w:pPr>
        <w:pStyle w:val="Rubrik1"/>
      </w:pPr>
      <w:r w:rsidRPr="0007322F">
        <w:t>Övrigt</w:t>
      </w:r>
    </w:p>
    <w:p w:rsidR="0007322F" w:rsidRPr="0007322F" w:rsidRDefault="0007322F">
      <w:pPr>
        <w:pStyle w:val="Rubrik2"/>
      </w:pPr>
      <w:r w:rsidRPr="0007322F">
        <w:t>Fortsatt behandling av ärendet</w:t>
      </w:r>
    </w:p>
    <w:p w:rsidR="0007322F" w:rsidRPr="0007322F" w:rsidRDefault="0007322F">
      <w:r w:rsidRPr="0007322F">
        <w:t>Ärendet kommer att behandlas i rådsarbetsgruppen för tullsamarbete under våren.</w:t>
      </w:r>
    </w:p>
    <w:p w:rsidR="0007322F" w:rsidRPr="0007322F" w:rsidRDefault="0007322F">
      <w:pPr>
        <w:pStyle w:val="Rubrik2"/>
      </w:pPr>
      <w:r w:rsidRPr="0007322F">
        <w:t>Fackuttryck/termer</w:t>
      </w:r>
    </w:p>
    <w:p w:rsidR="0007322F" w:rsidRPr="0007322F" w:rsidRDefault="0007322F"/>
    <w:sectPr w:rsidR="00000000" w:rsidRPr="0007322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322F" w:rsidRPr="0007322F" w:rsidRDefault="0007322F">
      <w:r w:rsidRPr="0007322F">
        <w:separator/>
      </w:r>
    </w:p>
  </w:endnote>
  <w:endnote w:type="continuationSeparator" w:id="0">
    <w:p w:rsidR="0007322F" w:rsidRPr="0007322F" w:rsidRDefault="0007322F">
      <w:r w:rsidRPr="000732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22F" w:rsidRPr="0007322F" w:rsidRDefault="0007322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22F" w:rsidRPr="0007322F" w:rsidRDefault="0007322F">
    <w:pPr>
      <w:pStyle w:val="SidfotH"/>
      <w:framePr w:wrap="around"/>
    </w:pPr>
    <w:r w:rsidRPr="0007322F">
      <w:t>4</w:t>
    </w:r>
  </w:p>
  <w:p w:rsidR="0007322F" w:rsidRPr="0007322F" w:rsidRDefault="0007322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22F" w:rsidRPr="0007322F" w:rsidRDefault="0007322F">
    <w:pPr>
      <w:pStyle w:val="SidfotH"/>
      <w:framePr w:wrap="around"/>
    </w:pPr>
    <w:r w:rsidRPr="0007322F">
      <w:t>1</w:t>
    </w:r>
  </w:p>
  <w:p w:rsidR="0007322F" w:rsidRPr="0007322F" w:rsidRDefault="000732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322F" w:rsidRPr="0007322F" w:rsidRDefault="0007322F">
      <w:r w:rsidRPr="0007322F">
        <w:separator/>
      </w:r>
    </w:p>
  </w:footnote>
  <w:footnote w:type="continuationSeparator" w:id="0">
    <w:p w:rsidR="0007322F" w:rsidRPr="0007322F" w:rsidRDefault="0007322F">
      <w:r w:rsidRPr="0007322F">
        <w:continuationSeparator/>
      </w:r>
    </w:p>
  </w:footnote>
  <w:footnote w:id="1">
    <w:p w:rsidR="0007322F" w:rsidRPr="0007322F" w:rsidRDefault="0007322F">
      <w:pPr>
        <w:pStyle w:val="Fotnotstext"/>
      </w:pPr>
      <w:r w:rsidRPr="0007322F">
        <w:rPr>
          <w:rStyle w:val="Fotnotsreferens"/>
        </w:rPr>
        <w:footnoteRef/>
      </w:r>
      <w:r w:rsidRPr="0007322F">
        <w:t xml:space="preserve"> EUT C 198, 12.8.2005, s. 1.</w:t>
      </w:r>
    </w:p>
  </w:footnote>
  <w:footnote w:id="2">
    <w:p w:rsidR="0007322F" w:rsidRPr="0007322F" w:rsidRDefault="0007322F">
      <w:pPr>
        <w:pStyle w:val="Fotnotstext"/>
      </w:pPr>
      <w:r w:rsidRPr="0007322F">
        <w:rPr>
          <w:rStyle w:val="Fotnotsreferens"/>
        </w:rPr>
        <w:footnoteRef/>
      </w:r>
      <w:r w:rsidRPr="0007322F">
        <w:t xml:space="preserve"> Dok. 13424/2/06 REV 2 ENFOCUSTOM 64.</w:t>
      </w:r>
    </w:p>
  </w:footnote>
  <w:footnote w:id="3">
    <w:p w:rsidR="0007322F" w:rsidRPr="0007322F" w:rsidRDefault="0007322F">
      <w:pPr>
        <w:pStyle w:val="Fotnotstext"/>
      </w:pPr>
      <w:r w:rsidRPr="0007322F">
        <w:rPr>
          <w:rStyle w:val="Fotnotsreferens"/>
        </w:rPr>
        <w:footnoteRef/>
      </w:r>
      <w:r w:rsidRPr="0007322F">
        <w:t xml:space="preserve"> EGT C 316, 27.11.1995, s. 34. Se också SÖ 1999:43.</w:t>
      </w:r>
    </w:p>
  </w:footnote>
  <w:footnote w:id="4">
    <w:p w:rsidR="0007322F" w:rsidRPr="0007322F" w:rsidRDefault="0007322F">
      <w:pPr>
        <w:pStyle w:val="Fotnotstext"/>
      </w:pPr>
      <w:r w:rsidRPr="0007322F">
        <w:rPr>
          <w:rStyle w:val="Fotnotsreferens"/>
        </w:rPr>
        <w:footnoteRef/>
      </w:r>
      <w:r w:rsidRPr="0007322F">
        <w:t xml:space="preserve"> Jfr Europaparlamentets och rådets förordning (EG) nr 766/2008 av den 9 juli 2008 om ändring av rådets förordning (EG) nr 515/97 om ömsesidigt bistånd mellan medlemsstaternas administrativa myndigheter och om samarbete mellan dessa och kommissionen för att säkerställa en korrekt tillämpning av tull- och jordbrukslag</w:t>
      </w:r>
      <w:r w:rsidRPr="0007322F">
        <w:softHyphen/>
        <w:t xml:space="preserve">stiftningen, se </w:t>
      </w:r>
      <w:r w:rsidRPr="0007322F">
        <w:rPr>
          <w:iCs/>
        </w:rPr>
        <w:t>EUT L 218, 13.8.2008, s. 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22F" w:rsidRPr="0007322F" w:rsidRDefault="0007322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22F" w:rsidRPr="0007322F" w:rsidRDefault="0007322F">
    <w:pPr>
      <w:pStyle w:val="Kantrubrik"/>
      <w:framePr w:h="1157" w:hRule="exact" w:wrap="around" w:y="738"/>
    </w:pPr>
    <w:r w:rsidRPr="0007322F">
      <w:t>2008/09:FPM99</w:t>
    </w:r>
  </w:p>
  <w:p w:rsidR="0007322F" w:rsidRPr="0007322F" w:rsidRDefault="0007322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22F" w:rsidRPr="0007322F" w:rsidRDefault="0007322F">
    <w:pPr>
      <w:pStyle w:val="Sidhuvud"/>
    </w:pPr>
    <w:r w:rsidRPr="0007322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0347913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322F" w:rsidRDefault="0007322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43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07322F" w:rsidRDefault="0007322F">
                    <w:pPr>
                      <w:pStyle w:val="Logo"/>
                    </w:pPr>
                    <w:r>
                      <w:object w:dxaOrig="840" w:dyaOrig="1545">
                        <v:shape id="_x0000_i1025" type="#_x0000_t75" style="width:42pt;height:77.5pt" filled="t">
                          <v:imagedata r:id="rId1" o:title=""/>
                        </v:shape>
                        <o:OLEObject Type="Embed" ProgID="Word.Picture.8" ShapeID="_x0000_i1025" DrawAspect="Content" ObjectID="_182751043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81629299">
    <w:abstractNumId w:val="4"/>
  </w:num>
  <w:num w:numId="2" w16cid:durableId="875192586">
    <w:abstractNumId w:val="1"/>
  </w:num>
  <w:num w:numId="3" w16cid:durableId="150222924">
    <w:abstractNumId w:val="2"/>
  </w:num>
  <w:num w:numId="4" w16cid:durableId="102530348">
    <w:abstractNumId w:val="3"/>
  </w:num>
  <w:num w:numId="5" w16cid:durableId="1667250253">
    <w:abstractNumId w:val="5"/>
  </w:num>
  <w:num w:numId="6" w16cid:durableId="258569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3-30"/>
    <w:docVar w:name="Ar" w:val="2008/09"/>
    <w:docVar w:name="Dep" w:val="Finansdepartementet"/>
    <w:docVar w:name="DepWeb" w:val="Finansdepartementet"/>
    <w:docVar w:name="GDB1" w:val="16008/08 ENFOCUSTOM 103 EUROPOL 76 EUROJUST 10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Initiativ från det franska ordförandeskapet inför antagandet av ett rådets beslut om ändring av konventionen om användning av informationsteknologi för tull¬ändamål (TIS-konventionen) av den 26 juli 1995"/>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16008/08 ENFOCUSTOM 103 EUROPOL 76 EUROJUST 100"/>
    <w:docVar w:name="Nr" w:val="99"/>
    <w:docVar w:name="RD_APPVERSION" w:val="3.00"/>
    <w:docVar w:name="Rub" w:val="Modernisering av EU:s tullinformationssystem"/>
    <w:docVar w:name="UppDat" w:val="2009-03-31"/>
    <w:docVar w:name="Utsk" w:val="Skatteutskottet"/>
  </w:docVars>
  <w:rsids>
    <w:rsidRoot w:val="00225AD9"/>
    <w:rsid w:val="0007322F"/>
    <w:rsid w:val="00225AD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98BA65D-79E7-4789-BDF6-9102FC861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 w:type="character" w:styleId="Betoning">
    <w:name w:val="Emphasis"/>
    <w:basedOn w:val="Standardstycketeckensnitt"/>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855</Words>
  <Characters>5665</Characters>
  <Application>Microsoft Office Word</Application>
  <DocSecurity>4</DocSecurity>
  <Lines>115</Lines>
  <Paragraphs>54</Paragraphs>
  <ScaleCrop>false</ScaleCrop>
  <HeadingPairs>
    <vt:vector size="2" baseType="variant">
      <vt:variant>
        <vt:lpstr>Rubrik</vt:lpstr>
      </vt:variant>
      <vt:variant>
        <vt:i4>1</vt:i4>
      </vt:variant>
    </vt:vector>
  </HeadingPairs>
  <TitlesOfParts>
    <vt:vector size="1" baseType="lpstr">
      <vt:lpstr>FPM_200809__99</vt:lpstr>
    </vt:vector>
  </TitlesOfParts>
  <Company>RD-DTSL</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FPM_200809__99</dc:title>
  <dc:subject>FPM_200809__99</dc:subject>
  <dc:creator>Riksdagen</dc:creator>
  <cp:keywords>Riksdagen</cp:keywords>
  <dc:description>KP2004-version.  Ändringarna påverkar enbart användningen inom Riksdagen. 050429 nya departement DTSL.</dc:description>
  <cp:lastModifiedBy>Lars Brink</cp:lastModifiedBy>
  <cp:revision>2</cp:revision>
  <cp:lastPrinted>2009-03-31T07:44:00Z</cp:lastPrinted>
  <dcterms:created xsi:type="dcterms:W3CDTF">2025-12-17T19:12:00Z</dcterms:created>
  <dcterms:modified xsi:type="dcterms:W3CDTF">2025-12-17T19:12:00Z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99</vt:lpwstr>
  </property>
  <property fmtid="{D5CDD505-2E9C-101B-9397-08002B2CF9AE}" pid="4" name="GDB1">
    <vt:lpwstr>16008/08 ENFOCUSTOM 103 EUROPOL 76 EUROJUST 100</vt:lpwstr>
  </property>
  <property fmtid="{D5CDD505-2E9C-101B-9397-08002B2CF9AE}" pid="5" name="GDT1">
    <vt:lpwstr> </vt:lpwstr>
  </property>
  <property fmtid="{D5CDD505-2E9C-101B-9397-08002B2CF9AE}" pid="6" name="Dep">
    <vt:lpwstr>Finansdepartementet</vt:lpwstr>
  </property>
  <property fmtid="{D5CDD505-2E9C-101B-9397-08002B2CF9AE}" pid="7" name="Rub">
    <vt:lpwstr>Modernisering av EU:s tullinformationssystem</vt:lpwstr>
  </property>
  <property fmtid="{D5CDD505-2E9C-101B-9397-08002B2CF9AE}" pid="8" name="UppDat">
    <vt:lpwstr>2009-03-31</vt:lpwstr>
  </property>
  <property fmtid="{D5CDD505-2E9C-101B-9397-08002B2CF9AE}" pid="9" name="AnkDat">
    <vt:lpwstr>2009-03-31</vt:lpwstr>
  </property>
  <property fmtid="{D5CDD505-2E9C-101B-9397-08002B2CF9AE}" pid="10" name="Utsk">
    <vt:lpwstr>Skatteutskottet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6;0;0;264</vt:lpwstr>
  </property>
  <property fmtid="{D5CDD505-2E9C-101B-9397-08002B2CF9AE}" pid="39" name="Sprak">
    <vt:lpwstr>Svenska</vt:lpwstr>
  </property>
  <property fmtid="{D5CDD505-2E9C-101B-9397-08002B2CF9AE}" pid="40" name="DokID">
    <vt:i4>80</vt:i4>
  </property>
  <property fmtid="{D5CDD505-2E9C-101B-9397-08002B2CF9AE}" pid="41" name="RKOrdnaDepartement">
    <vt:lpwstr>Statsrådsberedningen</vt:lpwstr>
  </property>
  <property fmtid="{D5CDD505-2E9C-101B-9397-08002B2CF9AE}" pid="42" name="RKOrdnaActivityCategory">
    <vt:lpwstr>4.1. Europeiska unionen</vt:lpwstr>
  </property>
  <property fmtid="{D5CDD505-2E9C-101B-9397-08002B2CF9AE}" pid="43" name="RKOrdnaDiarienummer">
    <vt:lpwstr/>
  </property>
  <property fmtid="{D5CDD505-2E9C-101B-9397-08002B2CF9AE}" pid="44" name="ContentType">
    <vt:lpwstr>Word</vt:lpwstr>
  </property>
  <property fmtid="{D5CDD505-2E9C-101B-9397-08002B2CF9AE}" pid="45" name="RKOrdnaSearchKeywords">
    <vt:lpwstr/>
  </property>
  <property fmtid="{D5CDD505-2E9C-101B-9397-08002B2CF9AE}" pid="46" name="RKOrdnaSarskildSkyddsvard">
    <vt:lpwstr>0</vt:lpwstr>
  </property>
  <property fmtid="{D5CDD505-2E9C-101B-9397-08002B2CF9AE}" pid="47" name="Utbildningsdepartementet">
    <vt:lpwstr>NEJ</vt:lpwstr>
  </property>
  <property fmtid="{D5CDD505-2E9C-101B-9397-08002B2CF9AE}" pid="48" name="Miljödepartementet">
    <vt:lpwstr>NEJ</vt:lpwstr>
  </property>
  <property fmtid="{D5CDD505-2E9C-101B-9397-08002B2CF9AE}" pid="49" name="Integrations- och jämställdhetsdepartementet">
    <vt:lpwstr>NEJ</vt:lpwstr>
  </property>
  <property fmtid="{D5CDD505-2E9C-101B-9397-08002B2CF9AE}" pid="50" name="Arbetsmarknadsdepartementet">
    <vt:lpwstr>NEJ</vt:lpwstr>
  </property>
  <property fmtid="{D5CDD505-2E9C-101B-9397-08002B2CF9AE}" pid="51" name="Sekretariatet för EU-möten i Sverige 2009">
    <vt:lpwstr>NEJ</vt:lpwstr>
  </property>
</Properties>
</file>