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20714">
        <w:tblPrEx>
          <w:tblCellMar>
            <w:top w:w="0" w:type="dxa"/>
            <w:bottom w:w="0" w:type="dxa"/>
          </w:tblCellMar>
        </w:tblPrEx>
        <w:trPr>
          <w:cantSplit/>
          <w:trHeight w:val="1720"/>
        </w:trPr>
        <w:tc>
          <w:tcPr>
            <w:tcW w:w="6024" w:type="dxa"/>
            <w:gridSpan w:val="2"/>
          </w:tcPr>
          <w:p w:rsidR="004D373F" w:rsidRPr="00620714" w:rsidRDefault="004D373F">
            <w:pPr>
              <w:pStyle w:val="HuvudRubrik"/>
            </w:pPr>
            <w:r w:rsidRPr="00620714">
              <w:t>Konstitutionsutskottets yttrande</w:t>
            </w:r>
          </w:p>
          <w:p w:rsidR="004D373F" w:rsidRPr="00620714" w:rsidRDefault="004D373F">
            <w:pPr>
              <w:pStyle w:val="HuvudRubrikRad2"/>
            </w:pPr>
            <w:bookmarkStart w:id="0" w:name="BetänkandeNr"/>
            <w:bookmarkEnd w:id="0"/>
            <w:r w:rsidRPr="00620714">
              <w:t>2001/02:KU2y</w:t>
            </w:r>
          </w:p>
        </w:tc>
        <w:tc>
          <w:tcPr>
            <w:tcW w:w="1418" w:type="dxa"/>
            <w:tcBorders>
              <w:bottom w:val="nil"/>
            </w:tcBorders>
          </w:tcPr>
          <w:p w:rsidR="004D373F" w:rsidRPr="00620714" w:rsidRDefault="00620714">
            <w:pPr>
              <w:spacing w:line="230" w:lineRule="auto"/>
              <w:jc w:val="center"/>
            </w:pPr>
            <w:r w:rsidRPr="0062071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D373F" w:rsidRPr="00620714" w:rsidRDefault="004D373F">
            <w:pPr>
              <w:pStyle w:val="Normaltindrag"/>
              <w:jc w:val="center"/>
            </w:pPr>
          </w:p>
          <w:p w:rsidR="004D373F" w:rsidRPr="00620714" w:rsidRDefault="004D373F">
            <w:pPr>
              <w:pStyle w:val="StatusSida1"/>
            </w:pPr>
          </w:p>
          <w:p w:rsidR="004D373F" w:rsidRPr="00620714" w:rsidRDefault="004D373F">
            <w:pPr>
              <w:pStyle w:val="UtskriftsdatumSida1"/>
              <w:framePr w:wrap="around"/>
            </w:pPr>
          </w:p>
        </w:tc>
      </w:tr>
      <w:tr w:rsidR="00000000" w:rsidRPr="00620714">
        <w:tblPrEx>
          <w:tblCellMar>
            <w:top w:w="0" w:type="dxa"/>
            <w:bottom w:w="0" w:type="dxa"/>
          </w:tblCellMar>
        </w:tblPrEx>
        <w:trPr>
          <w:cantSplit/>
        </w:trPr>
        <w:tc>
          <w:tcPr>
            <w:tcW w:w="6024" w:type="dxa"/>
            <w:gridSpan w:val="2"/>
            <w:tcBorders>
              <w:bottom w:val="single" w:sz="4" w:space="0" w:color="auto"/>
            </w:tcBorders>
          </w:tcPr>
          <w:p w:rsidR="004D373F" w:rsidRPr="00620714" w:rsidRDefault="004D373F">
            <w:pPr>
              <w:pStyle w:val="DokumentRubrik"/>
              <w:rPr>
                <w:noProof w:val="0"/>
              </w:rPr>
            </w:pPr>
            <w:bookmarkStart w:id="1" w:name="Huvudrubrik"/>
            <w:bookmarkEnd w:id="1"/>
            <w:r w:rsidRPr="00620714">
              <w:rPr>
                <w:noProof w:val="0"/>
              </w:rPr>
              <w:t>Tilläggsbudget för budgetåret 2001 (prop. 2001/02:1)</w:t>
            </w:r>
          </w:p>
        </w:tc>
        <w:tc>
          <w:tcPr>
            <w:tcW w:w="1418" w:type="dxa"/>
            <w:tcBorders>
              <w:bottom w:val="nil"/>
            </w:tcBorders>
          </w:tcPr>
          <w:p w:rsidR="004D373F" w:rsidRPr="00620714" w:rsidRDefault="004D373F"/>
        </w:tc>
      </w:tr>
      <w:tr w:rsidR="00000000" w:rsidRPr="00620714">
        <w:tblPrEx>
          <w:tblCellMar>
            <w:top w:w="0" w:type="dxa"/>
            <w:bottom w:w="0" w:type="dxa"/>
          </w:tblCellMar>
        </w:tblPrEx>
        <w:trPr>
          <w:cantSplit/>
          <w:trHeight w:hRule="exact" w:val="360"/>
        </w:trPr>
        <w:tc>
          <w:tcPr>
            <w:tcW w:w="3012" w:type="dxa"/>
          </w:tcPr>
          <w:p w:rsidR="004D373F" w:rsidRPr="00620714" w:rsidRDefault="004D373F"/>
        </w:tc>
        <w:tc>
          <w:tcPr>
            <w:tcW w:w="3012" w:type="dxa"/>
          </w:tcPr>
          <w:p w:rsidR="004D373F" w:rsidRPr="00620714" w:rsidRDefault="004D373F"/>
        </w:tc>
        <w:tc>
          <w:tcPr>
            <w:tcW w:w="1418" w:type="dxa"/>
          </w:tcPr>
          <w:p w:rsidR="004D373F" w:rsidRPr="00620714" w:rsidRDefault="004D373F"/>
        </w:tc>
      </w:tr>
    </w:tbl>
    <w:p w:rsidR="004D373F" w:rsidRPr="00620714" w:rsidRDefault="004D373F">
      <w:pPr>
        <w:pStyle w:val="Rubrik1"/>
        <w:spacing w:after="0" w:line="20" w:lineRule="exact"/>
        <w:rPr>
          <w:noProof w:val="0"/>
        </w:rPr>
      </w:pPr>
    </w:p>
    <w:p w:rsidR="004D373F" w:rsidRPr="00620714" w:rsidRDefault="004D373F">
      <w:pPr>
        <w:pStyle w:val="R1"/>
        <w:spacing w:after="250"/>
      </w:pPr>
      <w:r w:rsidRPr="00620714">
        <w:t>Till finansutskottet</w:t>
      </w:r>
    </w:p>
    <w:p w:rsidR="004D373F" w:rsidRPr="00620714" w:rsidRDefault="004D373F">
      <w:bookmarkStart w:id="2" w:name="TextStart"/>
      <w:bookmarkEnd w:id="2"/>
      <w:r w:rsidRPr="00620714">
        <w:t>Finansutskottet har den 20 september 2001 beslutat bereda bl.a. konstit</w:t>
      </w:r>
      <w:r w:rsidRPr="00620714">
        <w:t>u</w:t>
      </w:r>
      <w:r w:rsidRPr="00620714">
        <w:t>tionsutskottet tillfälle att avge yttrande över proposition 2001/02:1 Budge</w:t>
      </w:r>
      <w:r w:rsidRPr="00620714">
        <w:t>t</w:t>
      </w:r>
      <w:r w:rsidRPr="00620714">
        <w:t>propositionen för 2002 (volym 1) i vad avser tilläggsbudget till statsbudgeten för budgetåret 2001 (yrkandena 16–28) jämte motioner i de delar som berör utskottets beredningsområde.</w:t>
      </w:r>
    </w:p>
    <w:p w:rsidR="004D373F" w:rsidRPr="00620714" w:rsidRDefault="004D373F">
      <w:pPr>
        <w:pStyle w:val="Normaltindrag"/>
      </w:pPr>
      <w:r w:rsidRPr="00620714">
        <w:t>Konstitutionsutskottets yttrande avser yrkande 28.</w:t>
      </w:r>
    </w:p>
    <w:p w:rsidR="004D373F" w:rsidRPr="00620714" w:rsidRDefault="004D373F">
      <w:pPr>
        <w:spacing w:before="187"/>
      </w:pPr>
      <w:r w:rsidRPr="00620714">
        <w:t xml:space="preserve">I propositionen föreslås förändringar av anslag inom utgiftsområde 1 som sammantaget medför höjningar med 6 595 000 kr. </w:t>
      </w:r>
    </w:p>
    <w:p w:rsidR="004D373F" w:rsidRPr="00620714" w:rsidRDefault="004D373F">
      <w:pPr>
        <w:pStyle w:val="Normaltindrag"/>
      </w:pPr>
      <w:r w:rsidRPr="00620714">
        <w:t>Konstitutionsutskottet tillstyrker regeringens förslag.</w:t>
      </w:r>
    </w:p>
    <w:p w:rsidR="004D373F" w:rsidRPr="00620714" w:rsidRDefault="004D373F">
      <w:pPr>
        <w:pStyle w:val="R1"/>
      </w:pPr>
      <w:r w:rsidRPr="00620714">
        <w:br w:type="page"/>
      </w:r>
      <w:r w:rsidRPr="00620714">
        <w:lastRenderedPageBreak/>
        <w:t>Utskottet</w:t>
      </w:r>
    </w:p>
    <w:p w:rsidR="004D373F" w:rsidRPr="00620714" w:rsidRDefault="004D373F">
      <w:pPr>
        <w:pStyle w:val="R2"/>
        <w:spacing w:before="0"/>
      </w:pPr>
      <w:r w:rsidRPr="00620714">
        <w:t>Propositionen</w:t>
      </w:r>
    </w:p>
    <w:p w:rsidR="004D373F" w:rsidRPr="00620714" w:rsidRDefault="004D373F">
      <w:r w:rsidRPr="00620714">
        <w:t>För löpande budgetår kan riksdagen, enligt 9 kap. 5 § regeringsformen, på tilläggsbudget göra en ny beräkning av statsinkomster samt ändra anslag och anvisa nya anslag.</w:t>
      </w:r>
    </w:p>
    <w:p w:rsidR="004D373F" w:rsidRPr="00620714" w:rsidRDefault="004D373F">
      <w:pPr>
        <w:pStyle w:val="Normaltindrag"/>
      </w:pPr>
      <w:r w:rsidRPr="00620714">
        <w:t>Regeringen föreslår i propositionen (volym 1, yrkande 28) att riksdagen på tilläggsbudget till statsbudgeten för budgetåret 2001 godkänner ändrade ramar för utgiftsområden samt anvisar ändrade och nya anslag i enlighet med spec</w:t>
      </w:r>
      <w:r w:rsidRPr="00620714">
        <w:t>i</w:t>
      </w:r>
      <w:r w:rsidRPr="00620714">
        <w:t>fikation i tabell 2.1. Beträffande utgiftsområde 1 framgår av specifikationen att regeringen föreslår en förändring av ramen från 5 345 253 000 kr till 5 351 848 000 kr, dvs. en ökning med 6 595 000 kr. Föreslagna anslagsfö</w:t>
      </w:r>
      <w:r w:rsidRPr="00620714">
        <w:t>r</w:t>
      </w:r>
      <w:r w:rsidRPr="00620714">
        <w:t>ändringar framgår av följande tabell.</w:t>
      </w:r>
    </w:p>
    <w:p w:rsidR="004D373F" w:rsidRPr="00620714" w:rsidRDefault="004D373F">
      <w:pPr>
        <w:pStyle w:val="Normaltindrag"/>
      </w:pPr>
    </w:p>
    <w:p w:rsidR="004D373F" w:rsidRPr="00620714" w:rsidRDefault="004D373F">
      <w:pPr>
        <w:pStyle w:val="TabellUnderrubrik"/>
        <w:rPr>
          <w:rFonts w:ascii="Times New Roman" w:hAnsi="Times New Roman"/>
          <w:sz w:val="16"/>
        </w:rPr>
      </w:pPr>
      <w:r w:rsidRPr="00620714">
        <w:rPr>
          <w:rFonts w:ascii="Times New Roman" w:hAnsi="Times New Roman"/>
          <w:sz w:val="16"/>
        </w:rPr>
        <w:t>Tusental kronor</w:t>
      </w:r>
    </w:p>
    <w:tbl>
      <w:tblPr>
        <w:tblW w:w="0" w:type="auto"/>
        <w:tblLayout w:type="fixed"/>
        <w:tblCellMar>
          <w:left w:w="71" w:type="dxa"/>
          <w:right w:w="71" w:type="dxa"/>
        </w:tblCellMar>
        <w:tblLook w:val="0000" w:firstRow="0" w:lastRow="0" w:firstColumn="0" w:lastColumn="0" w:noHBand="0" w:noVBand="0"/>
      </w:tblPr>
      <w:tblGrid>
        <w:gridCol w:w="2694"/>
        <w:gridCol w:w="1361"/>
        <w:gridCol w:w="1134"/>
        <w:gridCol w:w="993"/>
      </w:tblGrid>
      <w:tr w:rsidR="00000000" w:rsidRPr="00620714">
        <w:tblPrEx>
          <w:tblCellMar>
            <w:top w:w="0" w:type="dxa"/>
            <w:bottom w:w="0" w:type="dxa"/>
          </w:tblCellMar>
        </w:tblPrEx>
        <w:tc>
          <w:tcPr>
            <w:tcW w:w="2694" w:type="dxa"/>
            <w:tcBorders>
              <w:bottom w:val="single" w:sz="18" w:space="0" w:color="auto"/>
            </w:tcBorders>
          </w:tcPr>
          <w:p w:rsidR="004D373F" w:rsidRPr="00620714" w:rsidRDefault="004D373F">
            <w:pPr>
              <w:pStyle w:val="TabellHuvud"/>
              <w:spacing w:after="20"/>
              <w:jc w:val="left"/>
              <w:rPr>
                <w:rFonts w:ascii="Times New Roman" w:hAnsi="Times New Roman"/>
                <w:sz w:val="16"/>
              </w:rPr>
            </w:pPr>
            <w:r w:rsidRPr="00620714">
              <w:rPr>
                <w:rFonts w:ascii="Times New Roman" w:hAnsi="Times New Roman"/>
                <w:sz w:val="16"/>
              </w:rPr>
              <w:t>Anslag</w:t>
            </w:r>
          </w:p>
        </w:tc>
        <w:tc>
          <w:tcPr>
            <w:tcW w:w="1361" w:type="dxa"/>
            <w:tcBorders>
              <w:bottom w:val="single" w:sz="18" w:space="0" w:color="auto"/>
            </w:tcBorders>
          </w:tcPr>
          <w:p w:rsidR="004D373F" w:rsidRPr="00620714" w:rsidRDefault="004D373F">
            <w:pPr>
              <w:pStyle w:val="TabellHuvud"/>
              <w:spacing w:after="20"/>
              <w:jc w:val="left"/>
              <w:rPr>
                <w:rFonts w:ascii="Times New Roman" w:hAnsi="Times New Roman"/>
                <w:sz w:val="16"/>
              </w:rPr>
            </w:pPr>
            <w:r w:rsidRPr="00620714">
              <w:rPr>
                <w:rFonts w:ascii="Times New Roman" w:hAnsi="Times New Roman"/>
                <w:sz w:val="16"/>
              </w:rPr>
              <w:t>Belopp enligt statsbudget 2001</w:t>
            </w:r>
          </w:p>
        </w:tc>
        <w:tc>
          <w:tcPr>
            <w:tcW w:w="1134" w:type="dxa"/>
            <w:tcBorders>
              <w:bottom w:val="single" w:sz="18" w:space="0" w:color="auto"/>
            </w:tcBorders>
          </w:tcPr>
          <w:p w:rsidR="004D373F" w:rsidRPr="00620714" w:rsidRDefault="004D373F">
            <w:pPr>
              <w:pStyle w:val="TabellHuvud"/>
              <w:spacing w:after="20"/>
              <w:jc w:val="left"/>
              <w:rPr>
                <w:rFonts w:ascii="Times New Roman" w:hAnsi="Times New Roman"/>
                <w:sz w:val="16"/>
              </w:rPr>
            </w:pPr>
            <w:r w:rsidRPr="00620714">
              <w:rPr>
                <w:rFonts w:ascii="Times New Roman" w:hAnsi="Times New Roman"/>
                <w:sz w:val="16"/>
              </w:rPr>
              <w:t>Förändring av ram/anslag</w:t>
            </w:r>
          </w:p>
        </w:tc>
        <w:tc>
          <w:tcPr>
            <w:tcW w:w="993" w:type="dxa"/>
            <w:tcBorders>
              <w:bottom w:val="single" w:sz="18" w:space="0" w:color="auto"/>
            </w:tcBorders>
          </w:tcPr>
          <w:p w:rsidR="004D373F" w:rsidRPr="00620714" w:rsidRDefault="004D373F">
            <w:pPr>
              <w:pStyle w:val="TabellHuvud"/>
              <w:spacing w:after="20"/>
              <w:jc w:val="left"/>
              <w:rPr>
                <w:rFonts w:ascii="Times New Roman" w:hAnsi="Times New Roman"/>
                <w:sz w:val="16"/>
              </w:rPr>
            </w:pPr>
            <w:r w:rsidRPr="00620714">
              <w:rPr>
                <w:rFonts w:ascii="Times New Roman" w:hAnsi="Times New Roman"/>
                <w:sz w:val="16"/>
              </w:rPr>
              <w:t>Ny ram / Ny anslagsn</w:t>
            </w:r>
            <w:r w:rsidRPr="00620714">
              <w:rPr>
                <w:rFonts w:ascii="Times New Roman" w:hAnsi="Times New Roman"/>
                <w:sz w:val="16"/>
              </w:rPr>
              <w:t>i</w:t>
            </w:r>
            <w:r w:rsidRPr="00620714">
              <w:rPr>
                <w:rFonts w:ascii="Times New Roman" w:hAnsi="Times New Roman"/>
                <w:sz w:val="16"/>
              </w:rPr>
              <w:t>vå</w:t>
            </w:r>
          </w:p>
        </w:tc>
      </w:tr>
      <w:tr w:rsidR="00000000" w:rsidRPr="00620714">
        <w:tblPrEx>
          <w:tblCellMar>
            <w:top w:w="0" w:type="dxa"/>
            <w:bottom w:w="0" w:type="dxa"/>
          </w:tblCellMar>
        </w:tblPrEx>
        <w:tc>
          <w:tcPr>
            <w:tcW w:w="2694" w:type="dxa"/>
            <w:tcBorders>
              <w:top w:val="single" w:sz="18" w:space="0" w:color="auto"/>
              <w:bottom w:val="single" w:sz="6" w:space="0" w:color="auto"/>
            </w:tcBorders>
          </w:tcPr>
          <w:p w:rsidR="004D373F" w:rsidRPr="00620714" w:rsidRDefault="004D373F">
            <w:pPr>
              <w:pStyle w:val="TabellRader"/>
              <w:jc w:val="left"/>
              <w:rPr>
                <w:rFonts w:ascii="Times New Roman" w:hAnsi="Times New Roman"/>
                <w:b/>
              </w:rPr>
            </w:pPr>
            <w:r w:rsidRPr="00620714">
              <w:rPr>
                <w:rFonts w:ascii="Times New Roman" w:hAnsi="Times New Roman"/>
                <w:b/>
              </w:rPr>
              <w:t>Rikets styrelse</w:t>
            </w:r>
          </w:p>
        </w:tc>
        <w:tc>
          <w:tcPr>
            <w:tcW w:w="1361" w:type="dxa"/>
            <w:tcBorders>
              <w:top w:val="single" w:sz="18" w:space="0" w:color="auto"/>
              <w:bottom w:val="single" w:sz="6" w:space="0" w:color="auto"/>
            </w:tcBorders>
          </w:tcPr>
          <w:p w:rsidR="004D373F" w:rsidRPr="00620714" w:rsidRDefault="004D373F">
            <w:pPr>
              <w:pStyle w:val="TabellRader"/>
              <w:ind w:right="227"/>
              <w:rPr>
                <w:rFonts w:ascii="Times New Roman" w:hAnsi="Times New Roman"/>
                <w:b/>
              </w:rPr>
            </w:pPr>
            <w:r w:rsidRPr="00620714">
              <w:rPr>
                <w:rFonts w:ascii="Times New Roman" w:hAnsi="Times New Roman"/>
                <w:b/>
              </w:rPr>
              <w:t>5 345 253</w:t>
            </w:r>
          </w:p>
        </w:tc>
        <w:tc>
          <w:tcPr>
            <w:tcW w:w="1134" w:type="dxa"/>
            <w:tcBorders>
              <w:top w:val="single" w:sz="18" w:space="0" w:color="auto"/>
              <w:bottom w:val="single" w:sz="6" w:space="0" w:color="auto"/>
            </w:tcBorders>
          </w:tcPr>
          <w:p w:rsidR="004D373F" w:rsidRPr="00620714" w:rsidRDefault="004D373F">
            <w:pPr>
              <w:pStyle w:val="TabellRader"/>
              <w:ind w:right="284"/>
              <w:rPr>
                <w:rFonts w:ascii="Times New Roman" w:hAnsi="Times New Roman"/>
                <w:b/>
              </w:rPr>
            </w:pPr>
            <w:r w:rsidRPr="00620714">
              <w:rPr>
                <w:rFonts w:ascii="Times New Roman" w:hAnsi="Times New Roman"/>
                <w:b/>
              </w:rPr>
              <w:t>6 595</w:t>
            </w:r>
          </w:p>
        </w:tc>
        <w:tc>
          <w:tcPr>
            <w:tcW w:w="993" w:type="dxa"/>
            <w:tcBorders>
              <w:top w:val="single" w:sz="18" w:space="0" w:color="auto"/>
              <w:bottom w:val="single" w:sz="6" w:space="0" w:color="auto"/>
            </w:tcBorders>
          </w:tcPr>
          <w:p w:rsidR="004D373F" w:rsidRPr="00620714" w:rsidRDefault="004D373F">
            <w:pPr>
              <w:pStyle w:val="TabellRader"/>
              <w:ind w:right="172"/>
              <w:rPr>
                <w:rFonts w:ascii="Times New Roman" w:hAnsi="Times New Roman"/>
                <w:b/>
              </w:rPr>
            </w:pPr>
            <w:r w:rsidRPr="00620714">
              <w:rPr>
                <w:rFonts w:ascii="Times New Roman" w:hAnsi="Times New Roman"/>
                <w:b/>
              </w:rPr>
              <w:t>5 351 848</w:t>
            </w:r>
          </w:p>
        </w:tc>
      </w:tr>
      <w:tr w:rsidR="00000000" w:rsidRPr="00620714">
        <w:tblPrEx>
          <w:tblCellMar>
            <w:top w:w="0" w:type="dxa"/>
            <w:bottom w:w="0" w:type="dxa"/>
          </w:tblCellMar>
        </w:tblPrEx>
        <w:tc>
          <w:tcPr>
            <w:tcW w:w="2694" w:type="dxa"/>
            <w:tcBorders>
              <w:top w:val="single" w:sz="6" w:space="0" w:color="auto"/>
              <w:bottom w:val="single" w:sz="8" w:space="0" w:color="auto"/>
            </w:tcBorders>
            <w:vAlign w:val="bottom"/>
          </w:tcPr>
          <w:p w:rsidR="004D373F" w:rsidRPr="00620714" w:rsidRDefault="004D373F">
            <w:pPr>
              <w:pStyle w:val="TabellRader"/>
              <w:jc w:val="left"/>
              <w:rPr>
                <w:rFonts w:ascii="Times New Roman" w:hAnsi="Times New Roman"/>
              </w:rPr>
            </w:pPr>
            <w:r w:rsidRPr="00620714">
              <w:rPr>
                <w:rFonts w:ascii="Times New Roman" w:hAnsi="Times New Roman"/>
              </w:rPr>
              <w:t xml:space="preserve">27:1 Presstödsnämnden och </w:t>
            </w:r>
            <w:r w:rsidRPr="00620714">
              <w:rPr>
                <w:rFonts w:ascii="Times New Roman" w:hAnsi="Times New Roman"/>
              </w:rPr>
              <w:br/>
              <w:t>Talti</w:t>
            </w:r>
            <w:r w:rsidRPr="00620714">
              <w:rPr>
                <w:rFonts w:ascii="Times New Roman" w:hAnsi="Times New Roman"/>
              </w:rPr>
              <w:t>d</w:t>
            </w:r>
            <w:r w:rsidRPr="00620714">
              <w:rPr>
                <w:rFonts w:ascii="Times New Roman" w:hAnsi="Times New Roman"/>
              </w:rPr>
              <w:t>ningsnämnden</w:t>
            </w:r>
          </w:p>
        </w:tc>
        <w:tc>
          <w:tcPr>
            <w:tcW w:w="1361" w:type="dxa"/>
            <w:tcBorders>
              <w:top w:val="single" w:sz="6" w:space="0" w:color="auto"/>
              <w:bottom w:val="single" w:sz="8" w:space="0" w:color="auto"/>
            </w:tcBorders>
            <w:vAlign w:val="bottom"/>
          </w:tcPr>
          <w:p w:rsidR="004D373F" w:rsidRPr="00620714" w:rsidRDefault="004D373F">
            <w:pPr>
              <w:pStyle w:val="TabellRader"/>
              <w:ind w:right="227"/>
              <w:rPr>
                <w:rFonts w:ascii="Times New Roman" w:hAnsi="Times New Roman"/>
              </w:rPr>
            </w:pPr>
            <w:r w:rsidRPr="00620714">
              <w:rPr>
                <w:rFonts w:ascii="Times New Roman" w:hAnsi="Times New Roman"/>
              </w:rPr>
              <w:t>5 670</w:t>
            </w:r>
          </w:p>
        </w:tc>
        <w:tc>
          <w:tcPr>
            <w:tcW w:w="1134" w:type="dxa"/>
            <w:tcBorders>
              <w:top w:val="single" w:sz="6" w:space="0" w:color="auto"/>
              <w:bottom w:val="single" w:sz="8" w:space="0" w:color="auto"/>
            </w:tcBorders>
            <w:vAlign w:val="bottom"/>
          </w:tcPr>
          <w:p w:rsidR="004D373F" w:rsidRPr="00620714" w:rsidRDefault="004D373F">
            <w:pPr>
              <w:pStyle w:val="TabellRader"/>
              <w:ind w:right="284"/>
              <w:rPr>
                <w:rFonts w:ascii="Times New Roman" w:hAnsi="Times New Roman"/>
              </w:rPr>
            </w:pPr>
            <w:r w:rsidRPr="00620714">
              <w:rPr>
                <w:rFonts w:ascii="Times New Roman" w:hAnsi="Times New Roman"/>
              </w:rPr>
              <w:t>302</w:t>
            </w:r>
          </w:p>
        </w:tc>
        <w:tc>
          <w:tcPr>
            <w:tcW w:w="993" w:type="dxa"/>
            <w:tcBorders>
              <w:top w:val="single" w:sz="6" w:space="0" w:color="auto"/>
              <w:bottom w:val="single" w:sz="8" w:space="0" w:color="auto"/>
            </w:tcBorders>
            <w:vAlign w:val="bottom"/>
          </w:tcPr>
          <w:p w:rsidR="004D373F" w:rsidRPr="00620714" w:rsidRDefault="004D373F">
            <w:pPr>
              <w:pStyle w:val="TabellRader"/>
              <w:ind w:right="172"/>
              <w:rPr>
                <w:rFonts w:ascii="Times New Roman" w:hAnsi="Times New Roman"/>
              </w:rPr>
            </w:pPr>
            <w:r w:rsidRPr="00620714">
              <w:rPr>
                <w:rFonts w:ascii="Times New Roman" w:hAnsi="Times New Roman"/>
              </w:rPr>
              <w:t>5 972</w:t>
            </w:r>
          </w:p>
        </w:tc>
      </w:tr>
      <w:tr w:rsidR="00000000" w:rsidRPr="00620714">
        <w:tblPrEx>
          <w:tblCellMar>
            <w:top w:w="0" w:type="dxa"/>
            <w:bottom w:w="0" w:type="dxa"/>
          </w:tblCellMar>
        </w:tblPrEx>
        <w:tc>
          <w:tcPr>
            <w:tcW w:w="2694" w:type="dxa"/>
            <w:tcBorders>
              <w:top w:val="single" w:sz="8" w:space="0" w:color="auto"/>
              <w:bottom w:val="single" w:sz="6" w:space="0" w:color="auto"/>
            </w:tcBorders>
          </w:tcPr>
          <w:p w:rsidR="004D373F" w:rsidRPr="00620714" w:rsidRDefault="004D373F">
            <w:pPr>
              <w:pStyle w:val="TabellRader"/>
              <w:jc w:val="left"/>
              <w:rPr>
                <w:rFonts w:ascii="Times New Roman" w:hAnsi="Times New Roman"/>
              </w:rPr>
            </w:pPr>
            <w:r w:rsidRPr="00620714">
              <w:rPr>
                <w:rFonts w:ascii="Times New Roman" w:hAnsi="Times New Roman"/>
              </w:rPr>
              <w:t>27:4 Radio- och TV-verket</w:t>
            </w:r>
          </w:p>
        </w:tc>
        <w:tc>
          <w:tcPr>
            <w:tcW w:w="1361" w:type="dxa"/>
            <w:tcBorders>
              <w:top w:val="single" w:sz="8" w:space="0" w:color="auto"/>
              <w:bottom w:val="single" w:sz="6" w:space="0" w:color="auto"/>
            </w:tcBorders>
          </w:tcPr>
          <w:p w:rsidR="004D373F" w:rsidRPr="00620714" w:rsidRDefault="004D373F">
            <w:pPr>
              <w:pStyle w:val="TabellRader"/>
              <w:ind w:right="227"/>
              <w:rPr>
                <w:rFonts w:ascii="Times New Roman" w:hAnsi="Times New Roman"/>
              </w:rPr>
            </w:pPr>
            <w:r w:rsidRPr="00620714">
              <w:rPr>
                <w:rFonts w:ascii="Times New Roman" w:hAnsi="Times New Roman"/>
              </w:rPr>
              <w:t>1 0847</w:t>
            </w:r>
          </w:p>
        </w:tc>
        <w:tc>
          <w:tcPr>
            <w:tcW w:w="1134" w:type="dxa"/>
            <w:tcBorders>
              <w:top w:val="single" w:sz="8" w:space="0" w:color="auto"/>
              <w:bottom w:val="single" w:sz="6" w:space="0" w:color="auto"/>
            </w:tcBorders>
          </w:tcPr>
          <w:p w:rsidR="004D373F" w:rsidRPr="00620714" w:rsidRDefault="004D373F">
            <w:pPr>
              <w:pStyle w:val="TabellRader"/>
              <w:ind w:right="284"/>
              <w:rPr>
                <w:rFonts w:ascii="Times New Roman" w:hAnsi="Times New Roman"/>
              </w:rPr>
            </w:pPr>
            <w:r w:rsidRPr="00620714">
              <w:rPr>
                <w:rFonts w:ascii="Times New Roman" w:hAnsi="Times New Roman"/>
              </w:rPr>
              <w:t>105</w:t>
            </w:r>
          </w:p>
        </w:tc>
        <w:tc>
          <w:tcPr>
            <w:tcW w:w="993" w:type="dxa"/>
            <w:tcBorders>
              <w:top w:val="single" w:sz="8" w:space="0" w:color="auto"/>
              <w:bottom w:val="single" w:sz="6" w:space="0" w:color="auto"/>
            </w:tcBorders>
          </w:tcPr>
          <w:p w:rsidR="004D373F" w:rsidRPr="00620714" w:rsidRDefault="004D373F">
            <w:pPr>
              <w:pStyle w:val="TabellRader"/>
              <w:ind w:right="172"/>
              <w:rPr>
                <w:rFonts w:ascii="Times New Roman" w:hAnsi="Times New Roman"/>
              </w:rPr>
            </w:pPr>
            <w:r w:rsidRPr="00620714">
              <w:rPr>
                <w:rFonts w:ascii="Times New Roman" w:hAnsi="Times New Roman"/>
              </w:rPr>
              <w:t>10 952</w:t>
            </w:r>
          </w:p>
        </w:tc>
      </w:tr>
      <w:tr w:rsidR="00000000" w:rsidRPr="00620714">
        <w:tblPrEx>
          <w:tblCellMar>
            <w:top w:w="0" w:type="dxa"/>
            <w:bottom w:w="0" w:type="dxa"/>
          </w:tblCellMar>
        </w:tblPrEx>
        <w:tc>
          <w:tcPr>
            <w:tcW w:w="2694" w:type="dxa"/>
            <w:tcBorders>
              <w:top w:val="single" w:sz="6" w:space="0" w:color="auto"/>
              <w:bottom w:val="single" w:sz="8" w:space="0" w:color="auto"/>
            </w:tcBorders>
            <w:vAlign w:val="bottom"/>
          </w:tcPr>
          <w:p w:rsidR="004D373F" w:rsidRPr="00620714" w:rsidRDefault="004D373F">
            <w:pPr>
              <w:pStyle w:val="TabellRader"/>
              <w:jc w:val="left"/>
              <w:rPr>
                <w:rFonts w:ascii="Times New Roman" w:hAnsi="Times New Roman"/>
              </w:rPr>
            </w:pPr>
            <w:r w:rsidRPr="00620714">
              <w:rPr>
                <w:rFonts w:ascii="Times New Roman" w:hAnsi="Times New Roman"/>
              </w:rPr>
              <w:t>27:5 Granskningsnämnden för radio och TV</w:t>
            </w:r>
          </w:p>
        </w:tc>
        <w:tc>
          <w:tcPr>
            <w:tcW w:w="1361" w:type="dxa"/>
            <w:tcBorders>
              <w:top w:val="single" w:sz="6" w:space="0" w:color="auto"/>
              <w:bottom w:val="single" w:sz="8" w:space="0" w:color="auto"/>
            </w:tcBorders>
            <w:vAlign w:val="bottom"/>
          </w:tcPr>
          <w:p w:rsidR="004D373F" w:rsidRPr="00620714" w:rsidRDefault="004D373F">
            <w:pPr>
              <w:pStyle w:val="TabellRader"/>
              <w:ind w:right="227"/>
              <w:rPr>
                <w:rFonts w:ascii="Times New Roman" w:hAnsi="Times New Roman"/>
              </w:rPr>
            </w:pPr>
            <w:r w:rsidRPr="00620714">
              <w:rPr>
                <w:rFonts w:ascii="Times New Roman" w:hAnsi="Times New Roman"/>
              </w:rPr>
              <w:t>8 164</w:t>
            </w:r>
          </w:p>
        </w:tc>
        <w:tc>
          <w:tcPr>
            <w:tcW w:w="1134" w:type="dxa"/>
            <w:tcBorders>
              <w:top w:val="single" w:sz="6" w:space="0" w:color="auto"/>
              <w:bottom w:val="single" w:sz="8" w:space="0" w:color="auto"/>
            </w:tcBorders>
            <w:vAlign w:val="bottom"/>
          </w:tcPr>
          <w:p w:rsidR="004D373F" w:rsidRPr="00620714" w:rsidRDefault="004D373F">
            <w:pPr>
              <w:pStyle w:val="TabellRader"/>
              <w:ind w:right="284"/>
              <w:rPr>
                <w:rFonts w:ascii="Times New Roman" w:hAnsi="Times New Roman"/>
              </w:rPr>
            </w:pPr>
            <w:r w:rsidRPr="00620714">
              <w:rPr>
                <w:rFonts w:ascii="Times New Roman" w:hAnsi="Times New Roman"/>
              </w:rPr>
              <w:t>96</w:t>
            </w:r>
          </w:p>
        </w:tc>
        <w:tc>
          <w:tcPr>
            <w:tcW w:w="993" w:type="dxa"/>
            <w:tcBorders>
              <w:top w:val="single" w:sz="6" w:space="0" w:color="auto"/>
              <w:bottom w:val="single" w:sz="8" w:space="0" w:color="auto"/>
            </w:tcBorders>
            <w:vAlign w:val="bottom"/>
          </w:tcPr>
          <w:p w:rsidR="004D373F" w:rsidRPr="00620714" w:rsidRDefault="004D373F">
            <w:pPr>
              <w:pStyle w:val="TabellRader"/>
              <w:ind w:right="172"/>
              <w:rPr>
                <w:rFonts w:ascii="Times New Roman" w:hAnsi="Times New Roman"/>
              </w:rPr>
            </w:pPr>
            <w:r w:rsidRPr="00620714">
              <w:rPr>
                <w:rFonts w:ascii="Times New Roman" w:hAnsi="Times New Roman"/>
              </w:rPr>
              <w:t>8 260</w:t>
            </w:r>
          </w:p>
        </w:tc>
      </w:tr>
      <w:tr w:rsidR="00000000" w:rsidRPr="00620714">
        <w:tblPrEx>
          <w:tblCellMar>
            <w:top w:w="0" w:type="dxa"/>
            <w:bottom w:w="0" w:type="dxa"/>
          </w:tblCellMar>
        </w:tblPrEx>
        <w:tc>
          <w:tcPr>
            <w:tcW w:w="2694" w:type="dxa"/>
            <w:tcBorders>
              <w:top w:val="single" w:sz="8" w:space="0" w:color="auto"/>
              <w:bottom w:val="single" w:sz="6" w:space="0" w:color="auto"/>
            </w:tcBorders>
          </w:tcPr>
          <w:p w:rsidR="004D373F" w:rsidRPr="00620714" w:rsidRDefault="004D373F">
            <w:pPr>
              <w:pStyle w:val="TabellRader"/>
              <w:jc w:val="left"/>
              <w:rPr>
                <w:rFonts w:ascii="Times New Roman" w:hAnsi="Times New Roman"/>
              </w:rPr>
            </w:pPr>
            <w:r w:rsidRPr="00620714">
              <w:rPr>
                <w:rFonts w:ascii="Times New Roman" w:hAnsi="Times New Roman"/>
              </w:rPr>
              <w:t>45:1 Sametinget</w:t>
            </w:r>
          </w:p>
        </w:tc>
        <w:tc>
          <w:tcPr>
            <w:tcW w:w="1361" w:type="dxa"/>
            <w:tcBorders>
              <w:top w:val="single" w:sz="8" w:space="0" w:color="auto"/>
              <w:bottom w:val="single" w:sz="6" w:space="0" w:color="auto"/>
            </w:tcBorders>
          </w:tcPr>
          <w:p w:rsidR="004D373F" w:rsidRPr="00620714" w:rsidRDefault="004D373F">
            <w:pPr>
              <w:pStyle w:val="TabellRader"/>
              <w:ind w:right="227"/>
              <w:rPr>
                <w:rFonts w:ascii="Times New Roman" w:hAnsi="Times New Roman"/>
              </w:rPr>
            </w:pPr>
            <w:r w:rsidRPr="00620714">
              <w:rPr>
                <w:rFonts w:ascii="Times New Roman" w:hAnsi="Times New Roman"/>
              </w:rPr>
              <w:t>16 303</w:t>
            </w:r>
          </w:p>
        </w:tc>
        <w:tc>
          <w:tcPr>
            <w:tcW w:w="1134" w:type="dxa"/>
            <w:tcBorders>
              <w:top w:val="single" w:sz="8" w:space="0" w:color="auto"/>
              <w:bottom w:val="single" w:sz="6" w:space="0" w:color="auto"/>
            </w:tcBorders>
          </w:tcPr>
          <w:p w:rsidR="004D373F" w:rsidRPr="00620714" w:rsidRDefault="004D373F">
            <w:pPr>
              <w:pStyle w:val="TabellRader"/>
              <w:ind w:right="284"/>
              <w:rPr>
                <w:rFonts w:ascii="Times New Roman" w:hAnsi="Times New Roman"/>
              </w:rPr>
            </w:pPr>
            <w:r w:rsidRPr="00620714">
              <w:rPr>
                <w:rFonts w:ascii="Times New Roman" w:hAnsi="Times New Roman"/>
              </w:rPr>
              <w:t>1 773</w:t>
            </w:r>
          </w:p>
        </w:tc>
        <w:tc>
          <w:tcPr>
            <w:tcW w:w="993" w:type="dxa"/>
            <w:tcBorders>
              <w:top w:val="single" w:sz="8" w:space="0" w:color="auto"/>
              <w:bottom w:val="single" w:sz="6" w:space="0" w:color="auto"/>
            </w:tcBorders>
          </w:tcPr>
          <w:p w:rsidR="004D373F" w:rsidRPr="00620714" w:rsidRDefault="004D373F">
            <w:pPr>
              <w:pStyle w:val="TabellRader"/>
              <w:ind w:right="172"/>
              <w:rPr>
                <w:rFonts w:ascii="Times New Roman" w:hAnsi="Times New Roman"/>
              </w:rPr>
            </w:pPr>
            <w:r w:rsidRPr="00620714">
              <w:rPr>
                <w:rFonts w:ascii="Times New Roman" w:hAnsi="Times New Roman"/>
              </w:rPr>
              <w:t>18 076</w:t>
            </w:r>
          </w:p>
        </w:tc>
      </w:tr>
      <w:tr w:rsidR="00000000" w:rsidRPr="00620714">
        <w:tblPrEx>
          <w:tblCellMar>
            <w:top w:w="0" w:type="dxa"/>
            <w:bottom w:w="0" w:type="dxa"/>
          </w:tblCellMar>
        </w:tblPrEx>
        <w:tc>
          <w:tcPr>
            <w:tcW w:w="2694" w:type="dxa"/>
            <w:tcBorders>
              <w:top w:val="single" w:sz="6" w:space="0" w:color="auto"/>
              <w:bottom w:val="single" w:sz="8" w:space="0" w:color="auto"/>
            </w:tcBorders>
          </w:tcPr>
          <w:p w:rsidR="004D373F" w:rsidRPr="00620714" w:rsidRDefault="004D373F">
            <w:pPr>
              <w:pStyle w:val="TabellRader"/>
              <w:jc w:val="left"/>
              <w:rPr>
                <w:rFonts w:ascii="Times New Roman" w:hAnsi="Times New Roman"/>
              </w:rPr>
            </w:pPr>
            <w:r w:rsidRPr="00620714">
              <w:rPr>
                <w:rFonts w:ascii="Times New Roman" w:hAnsi="Times New Roman"/>
              </w:rPr>
              <w:t>46:1 Allmänna val</w:t>
            </w:r>
          </w:p>
        </w:tc>
        <w:tc>
          <w:tcPr>
            <w:tcW w:w="1361" w:type="dxa"/>
            <w:tcBorders>
              <w:top w:val="single" w:sz="6" w:space="0" w:color="auto"/>
              <w:bottom w:val="single" w:sz="8" w:space="0" w:color="auto"/>
            </w:tcBorders>
          </w:tcPr>
          <w:p w:rsidR="004D373F" w:rsidRPr="00620714" w:rsidRDefault="004D373F">
            <w:pPr>
              <w:pStyle w:val="TabellRader"/>
              <w:ind w:right="227"/>
              <w:rPr>
                <w:rFonts w:ascii="Times New Roman" w:hAnsi="Times New Roman"/>
              </w:rPr>
            </w:pPr>
            <w:r w:rsidRPr="00620714">
              <w:rPr>
                <w:rFonts w:ascii="Times New Roman" w:hAnsi="Times New Roman"/>
              </w:rPr>
              <w:t>26 400</w:t>
            </w:r>
          </w:p>
        </w:tc>
        <w:tc>
          <w:tcPr>
            <w:tcW w:w="1134" w:type="dxa"/>
            <w:tcBorders>
              <w:top w:val="single" w:sz="6" w:space="0" w:color="auto"/>
              <w:bottom w:val="single" w:sz="8" w:space="0" w:color="auto"/>
            </w:tcBorders>
          </w:tcPr>
          <w:p w:rsidR="004D373F" w:rsidRPr="00620714" w:rsidRDefault="004D373F">
            <w:pPr>
              <w:pStyle w:val="TabellRader"/>
              <w:ind w:right="284"/>
              <w:rPr>
                <w:rFonts w:ascii="Times New Roman" w:hAnsi="Times New Roman"/>
              </w:rPr>
            </w:pPr>
            <w:r w:rsidRPr="00620714">
              <w:rPr>
                <w:rFonts w:ascii="Times New Roman" w:hAnsi="Times New Roman"/>
              </w:rPr>
              <w:t>12 000</w:t>
            </w:r>
          </w:p>
        </w:tc>
        <w:tc>
          <w:tcPr>
            <w:tcW w:w="993" w:type="dxa"/>
            <w:tcBorders>
              <w:top w:val="single" w:sz="6" w:space="0" w:color="auto"/>
              <w:bottom w:val="single" w:sz="8" w:space="0" w:color="auto"/>
            </w:tcBorders>
          </w:tcPr>
          <w:p w:rsidR="004D373F" w:rsidRPr="00620714" w:rsidRDefault="004D373F">
            <w:pPr>
              <w:pStyle w:val="TabellRader"/>
              <w:ind w:right="172"/>
              <w:rPr>
                <w:rFonts w:ascii="Times New Roman" w:hAnsi="Times New Roman"/>
              </w:rPr>
            </w:pPr>
            <w:r w:rsidRPr="00620714">
              <w:rPr>
                <w:rFonts w:ascii="Times New Roman" w:hAnsi="Times New Roman"/>
              </w:rPr>
              <w:t>38 400</w:t>
            </w:r>
          </w:p>
        </w:tc>
      </w:tr>
      <w:tr w:rsidR="00000000" w:rsidRPr="00620714">
        <w:tblPrEx>
          <w:tblCellMar>
            <w:top w:w="0" w:type="dxa"/>
            <w:bottom w:w="0" w:type="dxa"/>
          </w:tblCellMar>
        </w:tblPrEx>
        <w:tc>
          <w:tcPr>
            <w:tcW w:w="2694" w:type="dxa"/>
            <w:tcBorders>
              <w:top w:val="single" w:sz="8" w:space="0" w:color="auto"/>
              <w:bottom w:val="single" w:sz="6" w:space="0" w:color="auto"/>
            </w:tcBorders>
          </w:tcPr>
          <w:p w:rsidR="004D373F" w:rsidRPr="00620714" w:rsidRDefault="004D373F">
            <w:pPr>
              <w:pStyle w:val="TabellRader"/>
              <w:jc w:val="left"/>
              <w:rPr>
                <w:rFonts w:ascii="Times New Roman" w:hAnsi="Times New Roman"/>
              </w:rPr>
            </w:pPr>
            <w:r w:rsidRPr="00620714">
              <w:rPr>
                <w:rFonts w:ascii="Times New Roman" w:hAnsi="Times New Roman"/>
              </w:rPr>
              <w:t>46:2 Justitiekanslern</w:t>
            </w:r>
          </w:p>
        </w:tc>
        <w:tc>
          <w:tcPr>
            <w:tcW w:w="1361" w:type="dxa"/>
            <w:tcBorders>
              <w:top w:val="single" w:sz="8" w:space="0" w:color="auto"/>
              <w:bottom w:val="single" w:sz="6" w:space="0" w:color="auto"/>
            </w:tcBorders>
          </w:tcPr>
          <w:p w:rsidR="004D373F" w:rsidRPr="00620714" w:rsidRDefault="004D373F">
            <w:pPr>
              <w:pStyle w:val="TabellRader"/>
              <w:ind w:right="227"/>
              <w:rPr>
                <w:rFonts w:ascii="Times New Roman" w:hAnsi="Times New Roman"/>
              </w:rPr>
            </w:pPr>
            <w:r w:rsidRPr="00620714">
              <w:rPr>
                <w:rFonts w:ascii="Times New Roman" w:hAnsi="Times New Roman"/>
              </w:rPr>
              <w:t>12 820</w:t>
            </w:r>
          </w:p>
        </w:tc>
        <w:tc>
          <w:tcPr>
            <w:tcW w:w="1134" w:type="dxa"/>
            <w:tcBorders>
              <w:top w:val="single" w:sz="8" w:space="0" w:color="auto"/>
              <w:bottom w:val="single" w:sz="6" w:space="0" w:color="auto"/>
            </w:tcBorders>
          </w:tcPr>
          <w:p w:rsidR="004D373F" w:rsidRPr="00620714" w:rsidRDefault="004D373F">
            <w:pPr>
              <w:pStyle w:val="TabellRader"/>
              <w:ind w:right="284"/>
              <w:rPr>
                <w:rFonts w:ascii="Times New Roman" w:hAnsi="Times New Roman"/>
              </w:rPr>
            </w:pPr>
            <w:r w:rsidRPr="00620714">
              <w:rPr>
                <w:rFonts w:ascii="Times New Roman" w:hAnsi="Times New Roman"/>
              </w:rPr>
              <w:t>500</w:t>
            </w:r>
          </w:p>
        </w:tc>
        <w:tc>
          <w:tcPr>
            <w:tcW w:w="993" w:type="dxa"/>
            <w:tcBorders>
              <w:top w:val="single" w:sz="8" w:space="0" w:color="auto"/>
              <w:bottom w:val="single" w:sz="6" w:space="0" w:color="auto"/>
            </w:tcBorders>
          </w:tcPr>
          <w:p w:rsidR="004D373F" w:rsidRPr="00620714" w:rsidRDefault="004D373F">
            <w:pPr>
              <w:pStyle w:val="TabellRader"/>
              <w:ind w:right="172"/>
              <w:rPr>
                <w:rFonts w:ascii="Times New Roman" w:hAnsi="Times New Roman"/>
              </w:rPr>
            </w:pPr>
            <w:r w:rsidRPr="00620714">
              <w:rPr>
                <w:rFonts w:ascii="Times New Roman" w:hAnsi="Times New Roman"/>
              </w:rPr>
              <w:t>13 320</w:t>
            </w:r>
          </w:p>
        </w:tc>
      </w:tr>
      <w:tr w:rsidR="00000000" w:rsidRPr="00620714">
        <w:tblPrEx>
          <w:tblCellMar>
            <w:top w:w="0" w:type="dxa"/>
            <w:bottom w:w="0" w:type="dxa"/>
          </w:tblCellMar>
        </w:tblPrEx>
        <w:tc>
          <w:tcPr>
            <w:tcW w:w="2694" w:type="dxa"/>
            <w:tcBorders>
              <w:top w:val="single" w:sz="6" w:space="0" w:color="auto"/>
              <w:bottom w:val="single" w:sz="8" w:space="0" w:color="auto"/>
            </w:tcBorders>
          </w:tcPr>
          <w:p w:rsidR="004D373F" w:rsidRPr="00620714" w:rsidRDefault="004D373F">
            <w:pPr>
              <w:pStyle w:val="TabellRader"/>
              <w:jc w:val="left"/>
              <w:rPr>
                <w:rFonts w:ascii="Times New Roman" w:hAnsi="Times New Roman"/>
              </w:rPr>
            </w:pPr>
            <w:r w:rsidRPr="00620714">
              <w:rPr>
                <w:rFonts w:ascii="Times New Roman" w:hAnsi="Times New Roman"/>
              </w:rPr>
              <w:t>46:3 Datainspektionen</w:t>
            </w:r>
          </w:p>
        </w:tc>
        <w:tc>
          <w:tcPr>
            <w:tcW w:w="1361" w:type="dxa"/>
            <w:tcBorders>
              <w:top w:val="single" w:sz="6" w:space="0" w:color="auto"/>
              <w:bottom w:val="single" w:sz="8" w:space="0" w:color="auto"/>
            </w:tcBorders>
          </w:tcPr>
          <w:p w:rsidR="004D373F" w:rsidRPr="00620714" w:rsidRDefault="004D373F">
            <w:pPr>
              <w:pStyle w:val="TabellRader"/>
              <w:ind w:right="227"/>
              <w:rPr>
                <w:rFonts w:ascii="Times New Roman" w:hAnsi="Times New Roman"/>
              </w:rPr>
            </w:pPr>
            <w:r w:rsidRPr="00620714">
              <w:rPr>
                <w:rFonts w:ascii="Times New Roman" w:hAnsi="Times New Roman"/>
              </w:rPr>
              <w:t>26 664</w:t>
            </w:r>
          </w:p>
        </w:tc>
        <w:tc>
          <w:tcPr>
            <w:tcW w:w="1134" w:type="dxa"/>
            <w:tcBorders>
              <w:top w:val="single" w:sz="6" w:space="0" w:color="auto"/>
              <w:bottom w:val="single" w:sz="8" w:space="0" w:color="auto"/>
            </w:tcBorders>
          </w:tcPr>
          <w:p w:rsidR="004D373F" w:rsidRPr="00620714" w:rsidRDefault="004D373F">
            <w:pPr>
              <w:pStyle w:val="TabellRader"/>
              <w:ind w:right="284"/>
              <w:rPr>
                <w:rFonts w:ascii="Times New Roman" w:hAnsi="Times New Roman"/>
              </w:rPr>
            </w:pPr>
            <w:r w:rsidRPr="00620714">
              <w:rPr>
                <w:rFonts w:ascii="Times New Roman" w:hAnsi="Times New Roman"/>
              </w:rPr>
              <w:t>1 428</w:t>
            </w:r>
          </w:p>
        </w:tc>
        <w:tc>
          <w:tcPr>
            <w:tcW w:w="993" w:type="dxa"/>
            <w:tcBorders>
              <w:top w:val="single" w:sz="6" w:space="0" w:color="auto"/>
              <w:bottom w:val="single" w:sz="8" w:space="0" w:color="auto"/>
            </w:tcBorders>
          </w:tcPr>
          <w:p w:rsidR="004D373F" w:rsidRPr="00620714" w:rsidRDefault="004D373F">
            <w:pPr>
              <w:pStyle w:val="TabellRader"/>
              <w:ind w:right="172"/>
              <w:rPr>
                <w:rFonts w:ascii="Times New Roman" w:hAnsi="Times New Roman"/>
              </w:rPr>
            </w:pPr>
            <w:r w:rsidRPr="00620714">
              <w:rPr>
                <w:rFonts w:ascii="Times New Roman" w:hAnsi="Times New Roman"/>
              </w:rPr>
              <w:t>28 092</w:t>
            </w:r>
          </w:p>
        </w:tc>
      </w:tr>
      <w:tr w:rsidR="00000000" w:rsidRPr="00620714">
        <w:tblPrEx>
          <w:tblCellMar>
            <w:top w:w="0" w:type="dxa"/>
            <w:bottom w:w="0" w:type="dxa"/>
          </w:tblCellMar>
        </w:tblPrEx>
        <w:tc>
          <w:tcPr>
            <w:tcW w:w="2694" w:type="dxa"/>
            <w:tcBorders>
              <w:top w:val="single" w:sz="8" w:space="0" w:color="auto"/>
              <w:bottom w:val="single" w:sz="6" w:space="0" w:color="auto"/>
            </w:tcBorders>
          </w:tcPr>
          <w:p w:rsidR="004D373F" w:rsidRPr="00620714" w:rsidRDefault="004D373F">
            <w:pPr>
              <w:pStyle w:val="TabellRader"/>
              <w:jc w:val="left"/>
              <w:rPr>
                <w:rFonts w:ascii="Times New Roman" w:hAnsi="Times New Roman"/>
              </w:rPr>
            </w:pPr>
            <w:r w:rsidRPr="00620714">
              <w:rPr>
                <w:rFonts w:ascii="Times New Roman" w:hAnsi="Times New Roman"/>
              </w:rPr>
              <w:t>46:5 Valmyndigheten</w:t>
            </w:r>
          </w:p>
        </w:tc>
        <w:tc>
          <w:tcPr>
            <w:tcW w:w="1361" w:type="dxa"/>
            <w:tcBorders>
              <w:top w:val="single" w:sz="8" w:space="0" w:color="auto"/>
              <w:bottom w:val="single" w:sz="6" w:space="0" w:color="auto"/>
            </w:tcBorders>
          </w:tcPr>
          <w:p w:rsidR="004D373F" w:rsidRPr="00620714" w:rsidRDefault="004D373F">
            <w:pPr>
              <w:pStyle w:val="TabellRader"/>
              <w:ind w:right="227"/>
              <w:rPr>
                <w:rFonts w:ascii="Times New Roman" w:hAnsi="Times New Roman"/>
              </w:rPr>
            </w:pPr>
            <w:r w:rsidRPr="00620714">
              <w:rPr>
                <w:rFonts w:ascii="Times New Roman" w:hAnsi="Times New Roman"/>
              </w:rPr>
              <w:t>3 450</w:t>
            </w:r>
          </w:p>
        </w:tc>
        <w:tc>
          <w:tcPr>
            <w:tcW w:w="1134" w:type="dxa"/>
            <w:tcBorders>
              <w:top w:val="single" w:sz="8" w:space="0" w:color="auto"/>
              <w:bottom w:val="single" w:sz="6" w:space="0" w:color="auto"/>
            </w:tcBorders>
          </w:tcPr>
          <w:p w:rsidR="004D373F" w:rsidRPr="00620714" w:rsidRDefault="004D373F">
            <w:pPr>
              <w:pStyle w:val="TabellRader"/>
              <w:ind w:right="284"/>
              <w:rPr>
                <w:rFonts w:ascii="Times New Roman" w:hAnsi="Times New Roman"/>
              </w:rPr>
            </w:pPr>
            <w:r w:rsidRPr="00620714">
              <w:rPr>
                <w:rFonts w:ascii="Times New Roman" w:hAnsi="Times New Roman"/>
              </w:rPr>
              <w:t>3 000</w:t>
            </w:r>
          </w:p>
        </w:tc>
        <w:tc>
          <w:tcPr>
            <w:tcW w:w="993" w:type="dxa"/>
            <w:tcBorders>
              <w:top w:val="single" w:sz="8" w:space="0" w:color="auto"/>
              <w:bottom w:val="single" w:sz="6" w:space="0" w:color="auto"/>
            </w:tcBorders>
          </w:tcPr>
          <w:p w:rsidR="004D373F" w:rsidRPr="00620714" w:rsidRDefault="004D373F">
            <w:pPr>
              <w:pStyle w:val="TabellRader"/>
              <w:ind w:right="172"/>
              <w:rPr>
                <w:rFonts w:ascii="Times New Roman" w:hAnsi="Times New Roman"/>
              </w:rPr>
            </w:pPr>
            <w:r w:rsidRPr="00620714">
              <w:rPr>
                <w:rFonts w:ascii="Times New Roman" w:hAnsi="Times New Roman"/>
              </w:rPr>
              <w:t>6 450</w:t>
            </w:r>
          </w:p>
        </w:tc>
      </w:tr>
      <w:tr w:rsidR="00000000" w:rsidRPr="00620714">
        <w:tblPrEx>
          <w:tblCellMar>
            <w:top w:w="0" w:type="dxa"/>
            <w:bottom w:w="0" w:type="dxa"/>
          </w:tblCellMar>
        </w:tblPrEx>
        <w:tc>
          <w:tcPr>
            <w:tcW w:w="2694" w:type="dxa"/>
            <w:tcBorders>
              <w:top w:val="single" w:sz="6" w:space="0" w:color="auto"/>
              <w:bottom w:val="single" w:sz="8" w:space="0" w:color="auto"/>
            </w:tcBorders>
            <w:vAlign w:val="bottom"/>
          </w:tcPr>
          <w:p w:rsidR="004D373F" w:rsidRPr="00620714" w:rsidRDefault="004D373F">
            <w:pPr>
              <w:pStyle w:val="TabellRader"/>
              <w:jc w:val="left"/>
              <w:rPr>
                <w:rFonts w:ascii="Times New Roman" w:hAnsi="Times New Roman"/>
              </w:rPr>
            </w:pPr>
            <w:r w:rsidRPr="00620714">
              <w:rPr>
                <w:rFonts w:ascii="Times New Roman" w:hAnsi="Times New Roman"/>
              </w:rPr>
              <w:t>90:1 Kungliga hov- och slottsst</w:t>
            </w:r>
            <w:r w:rsidRPr="00620714">
              <w:rPr>
                <w:rFonts w:ascii="Times New Roman" w:hAnsi="Times New Roman"/>
              </w:rPr>
              <w:t>a</w:t>
            </w:r>
            <w:r w:rsidRPr="00620714">
              <w:rPr>
                <w:rFonts w:ascii="Times New Roman" w:hAnsi="Times New Roman"/>
              </w:rPr>
              <w:t>ten</w:t>
            </w:r>
          </w:p>
        </w:tc>
        <w:tc>
          <w:tcPr>
            <w:tcW w:w="1361" w:type="dxa"/>
            <w:tcBorders>
              <w:top w:val="single" w:sz="6" w:space="0" w:color="auto"/>
              <w:bottom w:val="single" w:sz="8" w:space="0" w:color="auto"/>
            </w:tcBorders>
            <w:vAlign w:val="bottom"/>
          </w:tcPr>
          <w:p w:rsidR="004D373F" w:rsidRPr="00620714" w:rsidRDefault="004D373F">
            <w:pPr>
              <w:pStyle w:val="TabellRader"/>
              <w:ind w:right="227"/>
              <w:rPr>
                <w:rFonts w:ascii="Times New Roman" w:hAnsi="Times New Roman"/>
              </w:rPr>
            </w:pPr>
            <w:r w:rsidRPr="00620714">
              <w:rPr>
                <w:rFonts w:ascii="Times New Roman" w:hAnsi="Times New Roman"/>
              </w:rPr>
              <w:t>84 094</w:t>
            </w:r>
          </w:p>
        </w:tc>
        <w:tc>
          <w:tcPr>
            <w:tcW w:w="1134" w:type="dxa"/>
            <w:tcBorders>
              <w:top w:val="single" w:sz="6" w:space="0" w:color="auto"/>
              <w:bottom w:val="single" w:sz="8" w:space="0" w:color="auto"/>
            </w:tcBorders>
            <w:vAlign w:val="bottom"/>
          </w:tcPr>
          <w:p w:rsidR="004D373F" w:rsidRPr="00620714" w:rsidRDefault="004D373F">
            <w:pPr>
              <w:pStyle w:val="TabellRader"/>
              <w:ind w:right="284"/>
              <w:rPr>
                <w:rFonts w:ascii="Times New Roman" w:hAnsi="Times New Roman"/>
              </w:rPr>
            </w:pPr>
            <w:r w:rsidRPr="00620714">
              <w:rPr>
                <w:rFonts w:ascii="Times New Roman" w:hAnsi="Times New Roman"/>
              </w:rPr>
              <w:t>1 858</w:t>
            </w:r>
          </w:p>
        </w:tc>
        <w:tc>
          <w:tcPr>
            <w:tcW w:w="993" w:type="dxa"/>
            <w:tcBorders>
              <w:top w:val="single" w:sz="6" w:space="0" w:color="auto"/>
              <w:bottom w:val="single" w:sz="8" w:space="0" w:color="auto"/>
            </w:tcBorders>
            <w:vAlign w:val="bottom"/>
          </w:tcPr>
          <w:p w:rsidR="004D373F" w:rsidRPr="00620714" w:rsidRDefault="004D373F">
            <w:pPr>
              <w:pStyle w:val="TabellRader"/>
              <w:ind w:right="172"/>
              <w:rPr>
                <w:rFonts w:ascii="Times New Roman" w:hAnsi="Times New Roman"/>
              </w:rPr>
            </w:pPr>
            <w:r w:rsidRPr="00620714">
              <w:rPr>
                <w:rFonts w:ascii="Times New Roman" w:hAnsi="Times New Roman"/>
              </w:rPr>
              <w:t>85 952</w:t>
            </w:r>
          </w:p>
        </w:tc>
      </w:tr>
      <w:tr w:rsidR="00000000" w:rsidRPr="00620714">
        <w:tblPrEx>
          <w:tblCellMar>
            <w:top w:w="0" w:type="dxa"/>
            <w:bottom w:w="0" w:type="dxa"/>
          </w:tblCellMar>
        </w:tblPrEx>
        <w:tc>
          <w:tcPr>
            <w:tcW w:w="2694" w:type="dxa"/>
            <w:tcBorders>
              <w:top w:val="single" w:sz="8" w:space="0" w:color="auto"/>
              <w:bottom w:val="single" w:sz="6" w:space="0" w:color="auto"/>
            </w:tcBorders>
            <w:vAlign w:val="bottom"/>
          </w:tcPr>
          <w:p w:rsidR="004D373F" w:rsidRPr="00620714" w:rsidRDefault="004D373F">
            <w:pPr>
              <w:pStyle w:val="TabellRader"/>
              <w:jc w:val="left"/>
              <w:rPr>
                <w:rFonts w:ascii="Times New Roman" w:hAnsi="Times New Roman"/>
              </w:rPr>
            </w:pPr>
            <w:r w:rsidRPr="00620714">
              <w:rPr>
                <w:rFonts w:ascii="Times New Roman" w:hAnsi="Times New Roman"/>
              </w:rPr>
              <w:t>90:3 Riksdagens för</w:t>
            </w:r>
            <w:r w:rsidRPr="00620714">
              <w:rPr>
                <w:rFonts w:ascii="Times New Roman" w:hAnsi="Times New Roman"/>
              </w:rPr>
              <w:softHyphen/>
              <w:t>valt</w:t>
            </w:r>
            <w:r w:rsidRPr="00620714">
              <w:rPr>
                <w:rFonts w:ascii="Times New Roman" w:hAnsi="Times New Roman"/>
              </w:rPr>
              <w:softHyphen/>
              <w:t>nings</w:t>
            </w:r>
            <w:r w:rsidRPr="00620714">
              <w:rPr>
                <w:rFonts w:ascii="Times New Roman" w:hAnsi="Times New Roman"/>
              </w:rPr>
              <w:softHyphen/>
              <w:t>-</w:t>
            </w:r>
            <w:r w:rsidRPr="00620714">
              <w:rPr>
                <w:rFonts w:ascii="Times New Roman" w:hAnsi="Times New Roman"/>
              </w:rPr>
              <w:br/>
            </w:r>
            <w:r w:rsidRPr="00620714">
              <w:rPr>
                <w:rFonts w:ascii="Times New Roman" w:hAnsi="Times New Roman"/>
              </w:rPr>
              <w:softHyphen/>
              <w:t>kos</w:t>
            </w:r>
            <w:r w:rsidRPr="00620714">
              <w:rPr>
                <w:rFonts w:ascii="Times New Roman" w:hAnsi="Times New Roman"/>
              </w:rPr>
              <w:t>t</w:t>
            </w:r>
            <w:r w:rsidRPr="00620714">
              <w:rPr>
                <w:rFonts w:ascii="Times New Roman" w:hAnsi="Times New Roman"/>
              </w:rPr>
              <w:t>nader</w:t>
            </w:r>
          </w:p>
        </w:tc>
        <w:tc>
          <w:tcPr>
            <w:tcW w:w="1361" w:type="dxa"/>
            <w:tcBorders>
              <w:top w:val="single" w:sz="8" w:space="0" w:color="auto"/>
              <w:bottom w:val="single" w:sz="6" w:space="0" w:color="auto"/>
            </w:tcBorders>
            <w:vAlign w:val="bottom"/>
          </w:tcPr>
          <w:p w:rsidR="004D373F" w:rsidRPr="00620714" w:rsidRDefault="004D373F">
            <w:pPr>
              <w:pStyle w:val="TabellRader"/>
              <w:ind w:right="227"/>
              <w:rPr>
                <w:rFonts w:ascii="Times New Roman" w:hAnsi="Times New Roman"/>
              </w:rPr>
            </w:pPr>
            <w:r w:rsidRPr="00620714">
              <w:rPr>
                <w:rFonts w:ascii="Times New Roman" w:hAnsi="Times New Roman"/>
              </w:rPr>
              <w:t>440 649</w:t>
            </w:r>
          </w:p>
        </w:tc>
        <w:tc>
          <w:tcPr>
            <w:tcW w:w="1134" w:type="dxa"/>
            <w:tcBorders>
              <w:top w:val="single" w:sz="8" w:space="0" w:color="auto"/>
              <w:bottom w:val="single" w:sz="6" w:space="0" w:color="auto"/>
            </w:tcBorders>
            <w:vAlign w:val="bottom"/>
          </w:tcPr>
          <w:p w:rsidR="004D373F" w:rsidRPr="00620714" w:rsidRDefault="004D373F">
            <w:pPr>
              <w:pStyle w:val="TabellRader"/>
              <w:ind w:right="284"/>
              <w:rPr>
                <w:rFonts w:ascii="Times New Roman" w:hAnsi="Times New Roman"/>
              </w:rPr>
            </w:pPr>
            <w:r w:rsidRPr="00620714">
              <w:rPr>
                <w:rFonts w:ascii="Times New Roman" w:hAnsi="Times New Roman"/>
              </w:rPr>
              <w:t>4 727</w:t>
            </w:r>
          </w:p>
        </w:tc>
        <w:tc>
          <w:tcPr>
            <w:tcW w:w="993" w:type="dxa"/>
            <w:tcBorders>
              <w:top w:val="single" w:sz="8" w:space="0" w:color="auto"/>
              <w:bottom w:val="single" w:sz="6" w:space="0" w:color="auto"/>
            </w:tcBorders>
            <w:vAlign w:val="bottom"/>
          </w:tcPr>
          <w:p w:rsidR="004D373F" w:rsidRPr="00620714" w:rsidRDefault="004D373F">
            <w:pPr>
              <w:pStyle w:val="TabellRader"/>
              <w:ind w:right="172"/>
              <w:rPr>
                <w:rFonts w:ascii="Times New Roman" w:hAnsi="Times New Roman"/>
              </w:rPr>
            </w:pPr>
            <w:r w:rsidRPr="00620714">
              <w:rPr>
                <w:rFonts w:ascii="Times New Roman" w:hAnsi="Times New Roman"/>
              </w:rPr>
              <w:t>445 376</w:t>
            </w:r>
          </w:p>
        </w:tc>
      </w:tr>
      <w:tr w:rsidR="00000000" w:rsidRPr="00620714">
        <w:tblPrEx>
          <w:tblCellMar>
            <w:top w:w="0" w:type="dxa"/>
            <w:bottom w:w="0" w:type="dxa"/>
          </w:tblCellMar>
        </w:tblPrEx>
        <w:tc>
          <w:tcPr>
            <w:tcW w:w="2694" w:type="dxa"/>
            <w:tcBorders>
              <w:top w:val="single" w:sz="6" w:space="0" w:color="auto"/>
              <w:bottom w:val="single" w:sz="8" w:space="0" w:color="auto"/>
            </w:tcBorders>
            <w:vAlign w:val="bottom"/>
          </w:tcPr>
          <w:p w:rsidR="004D373F" w:rsidRPr="00620714" w:rsidRDefault="004D373F">
            <w:pPr>
              <w:pStyle w:val="TabellRader"/>
              <w:jc w:val="left"/>
              <w:rPr>
                <w:rFonts w:ascii="Times New Roman" w:hAnsi="Times New Roman"/>
              </w:rPr>
            </w:pPr>
            <w:r w:rsidRPr="00620714">
              <w:rPr>
                <w:rFonts w:ascii="Times New Roman" w:hAnsi="Times New Roman"/>
              </w:rPr>
              <w:t xml:space="preserve">90:4 Riksdagens ombudsmän, </w:t>
            </w:r>
            <w:r w:rsidRPr="00620714">
              <w:rPr>
                <w:rFonts w:ascii="Times New Roman" w:hAnsi="Times New Roman"/>
              </w:rPr>
              <w:br/>
              <w:t>Justitieombudsmä</w:t>
            </w:r>
            <w:r w:rsidRPr="00620714">
              <w:rPr>
                <w:rFonts w:ascii="Times New Roman" w:hAnsi="Times New Roman"/>
              </w:rPr>
              <w:t>n</w:t>
            </w:r>
            <w:r w:rsidRPr="00620714">
              <w:rPr>
                <w:rFonts w:ascii="Times New Roman" w:hAnsi="Times New Roman"/>
              </w:rPr>
              <w:t>nen</w:t>
            </w:r>
          </w:p>
        </w:tc>
        <w:tc>
          <w:tcPr>
            <w:tcW w:w="1361" w:type="dxa"/>
            <w:tcBorders>
              <w:top w:val="single" w:sz="6" w:space="0" w:color="auto"/>
              <w:bottom w:val="single" w:sz="8" w:space="0" w:color="auto"/>
            </w:tcBorders>
            <w:vAlign w:val="bottom"/>
          </w:tcPr>
          <w:p w:rsidR="004D373F" w:rsidRPr="00620714" w:rsidRDefault="004D373F">
            <w:pPr>
              <w:pStyle w:val="TabellRader"/>
              <w:ind w:right="227"/>
              <w:rPr>
                <w:rFonts w:ascii="Times New Roman" w:hAnsi="Times New Roman"/>
              </w:rPr>
            </w:pPr>
            <w:r w:rsidRPr="00620714">
              <w:rPr>
                <w:rFonts w:ascii="Times New Roman" w:hAnsi="Times New Roman"/>
              </w:rPr>
              <w:t>45 756</w:t>
            </w:r>
          </w:p>
        </w:tc>
        <w:tc>
          <w:tcPr>
            <w:tcW w:w="1134" w:type="dxa"/>
            <w:tcBorders>
              <w:top w:val="single" w:sz="6" w:space="0" w:color="auto"/>
              <w:bottom w:val="single" w:sz="8" w:space="0" w:color="auto"/>
            </w:tcBorders>
            <w:vAlign w:val="bottom"/>
          </w:tcPr>
          <w:p w:rsidR="004D373F" w:rsidRPr="00620714" w:rsidRDefault="004D373F">
            <w:pPr>
              <w:pStyle w:val="TabellRader"/>
              <w:ind w:right="284"/>
              <w:rPr>
                <w:rFonts w:ascii="Times New Roman" w:hAnsi="Times New Roman"/>
              </w:rPr>
            </w:pPr>
            <w:r w:rsidRPr="00620714">
              <w:rPr>
                <w:rFonts w:ascii="Times New Roman" w:hAnsi="Times New Roman"/>
              </w:rPr>
              <w:t>2 001</w:t>
            </w:r>
          </w:p>
        </w:tc>
        <w:tc>
          <w:tcPr>
            <w:tcW w:w="993" w:type="dxa"/>
            <w:tcBorders>
              <w:top w:val="single" w:sz="6" w:space="0" w:color="auto"/>
              <w:bottom w:val="single" w:sz="8" w:space="0" w:color="auto"/>
            </w:tcBorders>
            <w:vAlign w:val="bottom"/>
          </w:tcPr>
          <w:p w:rsidR="004D373F" w:rsidRPr="00620714" w:rsidRDefault="004D373F">
            <w:pPr>
              <w:pStyle w:val="TabellRader"/>
              <w:ind w:right="172"/>
              <w:rPr>
                <w:rFonts w:ascii="Times New Roman" w:hAnsi="Times New Roman"/>
              </w:rPr>
            </w:pPr>
            <w:r w:rsidRPr="00620714">
              <w:rPr>
                <w:rFonts w:ascii="Times New Roman" w:hAnsi="Times New Roman"/>
              </w:rPr>
              <w:t>47 757</w:t>
            </w:r>
          </w:p>
        </w:tc>
      </w:tr>
      <w:tr w:rsidR="00000000" w:rsidRPr="00620714">
        <w:tblPrEx>
          <w:tblCellMar>
            <w:top w:w="0" w:type="dxa"/>
            <w:bottom w:w="0" w:type="dxa"/>
          </w:tblCellMar>
        </w:tblPrEx>
        <w:tc>
          <w:tcPr>
            <w:tcW w:w="2694" w:type="dxa"/>
            <w:tcBorders>
              <w:top w:val="single" w:sz="8" w:space="0" w:color="auto"/>
              <w:bottom w:val="single" w:sz="6" w:space="0" w:color="auto"/>
            </w:tcBorders>
          </w:tcPr>
          <w:p w:rsidR="004D373F" w:rsidRPr="00620714" w:rsidRDefault="004D373F">
            <w:pPr>
              <w:pStyle w:val="TabellRader"/>
              <w:jc w:val="left"/>
              <w:rPr>
                <w:rFonts w:ascii="Times New Roman" w:hAnsi="Times New Roman"/>
              </w:rPr>
            </w:pPr>
            <w:r w:rsidRPr="00620714">
              <w:rPr>
                <w:rFonts w:ascii="Times New Roman" w:hAnsi="Times New Roman"/>
              </w:rPr>
              <w:t>90:5 Regeringskansliet m.m.</w:t>
            </w:r>
          </w:p>
        </w:tc>
        <w:tc>
          <w:tcPr>
            <w:tcW w:w="1361" w:type="dxa"/>
            <w:tcBorders>
              <w:top w:val="single" w:sz="8" w:space="0" w:color="auto"/>
              <w:bottom w:val="single" w:sz="6" w:space="0" w:color="auto"/>
            </w:tcBorders>
          </w:tcPr>
          <w:p w:rsidR="004D373F" w:rsidRPr="00620714" w:rsidRDefault="004D373F">
            <w:pPr>
              <w:pStyle w:val="TabellRader"/>
              <w:ind w:right="227"/>
              <w:rPr>
                <w:rFonts w:ascii="Times New Roman" w:hAnsi="Times New Roman"/>
              </w:rPr>
            </w:pPr>
            <w:r w:rsidRPr="00620714">
              <w:rPr>
                <w:rFonts w:ascii="Times New Roman" w:hAnsi="Times New Roman"/>
              </w:rPr>
              <w:t>3 292 249</w:t>
            </w:r>
          </w:p>
        </w:tc>
        <w:tc>
          <w:tcPr>
            <w:tcW w:w="1134" w:type="dxa"/>
            <w:tcBorders>
              <w:top w:val="single" w:sz="8" w:space="0" w:color="auto"/>
              <w:bottom w:val="single" w:sz="6" w:space="0" w:color="auto"/>
            </w:tcBorders>
          </w:tcPr>
          <w:p w:rsidR="004D373F" w:rsidRPr="00620714" w:rsidRDefault="004D373F">
            <w:pPr>
              <w:pStyle w:val="TabellRader"/>
              <w:ind w:right="284"/>
              <w:rPr>
                <w:rFonts w:ascii="Times New Roman" w:hAnsi="Times New Roman"/>
              </w:rPr>
            </w:pPr>
            <w:r w:rsidRPr="00620714">
              <w:rPr>
                <w:rFonts w:ascii="Times New Roman" w:hAnsi="Times New Roman"/>
              </w:rPr>
              <w:t>-11 195</w:t>
            </w:r>
          </w:p>
        </w:tc>
        <w:tc>
          <w:tcPr>
            <w:tcW w:w="993" w:type="dxa"/>
            <w:tcBorders>
              <w:top w:val="single" w:sz="8" w:space="0" w:color="auto"/>
              <w:bottom w:val="single" w:sz="6" w:space="0" w:color="auto"/>
            </w:tcBorders>
          </w:tcPr>
          <w:p w:rsidR="004D373F" w:rsidRPr="00620714" w:rsidRDefault="004D373F">
            <w:pPr>
              <w:pStyle w:val="TabellRader"/>
              <w:ind w:right="172"/>
              <w:rPr>
                <w:rFonts w:ascii="Times New Roman" w:hAnsi="Times New Roman"/>
              </w:rPr>
            </w:pPr>
            <w:r w:rsidRPr="00620714">
              <w:rPr>
                <w:rFonts w:ascii="Times New Roman" w:hAnsi="Times New Roman"/>
              </w:rPr>
              <w:t>3 281 054</w:t>
            </w:r>
          </w:p>
        </w:tc>
      </w:tr>
      <w:tr w:rsidR="00000000" w:rsidRPr="00620714">
        <w:tblPrEx>
          <w:tblCellMar>
            <w:top w:w="0" w:type="dxa"/>
            <w:bottom w:w="0" w:type="dxa"/>
          </w:tblCellMar>
        </w:tblPrEx>
        <w:tc>
          <w:tcPr>
            <w:tcW w:w="2694" w:type="dxa"/>
            <w:tcBorders>
              <w:top w:val="single" w:sz="6" w:space="0" w:color="auto"/>
              <w:bottom w:val="single" w:sz="6" w:space="0" w:color="auto"/>
            </w:tcBorders>
          </w:tcPr>
          <w:p w:rsidR="004D373F" w:rsidRPr="00620714" w:rsidRDefault="004D373F">
            <w:pPr>
              <w:pStyle w:val="TabellRader"/>
              <w:jc w:val="left"/>
              <w:rPr>
                <w:rFonts w:ascii="Times New Roman" w:hAnsi="Times New Roman"/>
              </w:rPr>
            </w:pPr>
            <w:r w:rsidRPr="00620714">
              <w:rPr>
                <w:rFonts w:ascii="Times New Roman" w:hAnsi="Times New Roman"/>
              </w:rPr>
              <w:t>90:6 Stöd till politiska part</w:t>
            </w:r>
            <w:r w:rsidRPr="00620714">
              <w:rPr>
                <w:rFonts w:ascii="Times New Roman" w:hAnsi="Times New Roman"/>
              </w:rPr>
              <w:t>i</w:t>
            </w:r>
            <w:r w:rsidRPr="00620714">
              <w:rPr>
                <w:rFonts w:ascii="Times New Roman" w:hAnsi="Times New Roman"/>
              </w:rPr>
              <w:t>er</w:t>
            </w:r>
          </w:p>
        </w:tc>
        <w:tc>
          <w:tcPr>
            <w:tcW w:w="1361" w:type="dxa"/>
            <w:tcBorders>
              <w:top w:val="single" w:sz="6" w:space="0" w:color="auto"/>
              <w:bottom w:val="single" w:sz="6" w:space="0" w:color="auto"/>
            </w:tcBorders>
          </w:tcPr>
          <w:p w:rsidR="004D373F" w:rsidRPr="00620714" w:rsidRDefault="004D373F">
            <w:pPr>
              <w:pStyle w:val="TabellRader"/>
              <w:ind w:right="227"/>
              <w:rPr>
                <w:rFonts w:ascii="Times New Roman" w:hAnsi="Times New Roman"/>
              </w:rPr>
            </w:pPr>
            <w:r w:rsidRPr="00620714">
              <w:rPr>
                <w:rFonts w:ascii="Times New Roman" w:hAnsi="Times New Roman"/>
              </w:rPr>
              <w:t>145 200</w:t>
            </w:r>
          </w:p>
        </w:tc>
        <w:tc>
          <w:tcPr>
            <w:tcW w:w="1134" w:type="dxa"/>
            <w:tcBorders>
              <w:top w:val="single" w:sz="6" w:space="0" w:color="auto"/>
              <w:bottom w:val="single" w:sz="6" w:space="0" w:color="auto"/>
            </w:tcBorders>
          </w:tcPr>
          <w:p w:rsidR="004D373F" w:rsidRPr="00620714" w:rsidRDefault="004D373F">
            <w:pPr>
              <w:pStyle w:val="TabellRader"/>
              <w:ind w:right="284"/>
              <w:rPr>
                <w:rFonts w:ascii="Times New Roman" w:hAnsi="Times New Roman"/>
              </w:rPr>
            </w:pPr>
            <w:r w:rsidRPr="00620714">
              <w:rPr>
                <w:rFonts w:ascii="Times New Roman" w:hAnsi="Times New Roman"/>
              </w:rPr>
              <w:t>-10 000</w:t>
            </w:r>
          </w:p>
        </w:tc>
        <w:tc>
          <w:tcPr>
            <w:tcW w:w="993" w:type="dxa"/>
            <w:tcBorders>
              <w:top w:val="single" w:sz="6" w:space="0" w:color="auto"/>
              <w:bottom w:val="single" w:sz="6" w:space="0" w:color="auto"/>
            </w:tcBorders>
          </w:tcPr>
          <w:p w:rsidR="004D373F" w:rsidRPr="00620714" w:rsidRDefault="004D373F">
            <w:pPr>
              <w:pStyle w:val="TabellRader"/>
              <w:ind w:right="172"/>
              <w:rPr>
                <w:rFonts w:ascii="Times New Roman" w:hAnsi="Times New Roman"/>
              </w:rPr>
            </w:pPr>
            <w:r w:rsidRPr="00620714">
              <w:rPr>
                <w:rFonts w:ascii="Times New Roman" w:hAnsi="Times New Roman"/>
              </w:rPr>
              <w:t>135 200</w:t>
            </w:r>
          </w:p>
        </w:tc>
      </w:tr>
    </w:tbl>
    <w:p w:rsidR="004D373F" w:rsidRPr="00620714" w:rsidRDefault="004D373F">
      <w:pPr>
        <w:pStyle w:val="R4"/>
      </w:pPr>
      <w:r w:rsidRPr="00620714">
        <w:t>Slutlig justering av statliga avtalsförsäkringar</w:t>
      </w:r>
    </w:p>
    <w:p w:rsidR="004D373F" w:rsidRPr="00620714" w:rsidRDefault="004D373F">
      <w:r w:rsidRPr="00620714">
        <w:t>Myndigheterna betalar varje år premier för förmåner som de statsanställda har enligt kollektivavtal (statliga avtalsförsäkringar). Dessa premier var tidigare schablonmässigt beräknade. Numera – sedan år 1998 – görs beräkningen försäkringsmässigt. Regeringen uttalade inför förändringen att själva öve</w:t>
      </w:r>
      <w:r w:rsidRPr="00620714">
        <w:t>r</w:t>
      </w:r>
      <w:r w:rsidRPr="00620714">
        <w:t>gången till försäkringsmässigt beräknade premier skulle vara kostnadsneutral för myndigheterna. Mot bakgrund av detta justerades anslagen för år 1998. På grund av problem med underlaget för beräkningarna har anslagen justerats igen vid senare tillfällen (prop. 1998/99:1, prop. 1999/2000:1, prop. 1999/2000:100) och övergången senarelades till år 2000.</w:t>
      </w:r>
    </w:p>
    <w:p w:rsidR="004D373F" w:rsidRPr="00620714" w:rsidRDefault="004D373F">
      <w:pPr>
        <w:pStyle w:val="Normaltindrag"/>
      </w:pPr>
      <w:r w:rsidRPr="00620714">
        <w:t>Enligt regeringen har tidigare justeringar byggt på uppskattningar av pr</w:t>
      </w:r>
      <w:r w:rsidRPr="00620714">
        <w:t>e</w:t>
      </w:r>
      <w:r w:rsidRPr="00620714">
        <w:t>mierna. Nu är de slutliga premierna för år 2000 fastställda, och regeringen konstaterar att övergången inte blivit helt kostnadsneutral. Regeringen för</w:t>
      </w:r>
      <w:r w:rsidRPr="00620714">
        <w:t>e</w:t>
      </w:r>
      <w:r w:rsidRPr="00620714">
        <w:t>slår därför att anslagen nu slutligt justeras. Justeringen avser avvikelser från kostnadsneutralitet de två åren 2000 och 2001. Det innebär att anslagen år 2002 justeras med hälften av den justering som nu föreslås på tilläggsbudget för år 2001.</w:t>
      </w:r>
    </w:p>
    <w:p w:rsidR="004D373F" w:rsidRPr="00620714" w:rsidRDefault="004D373F">
      <w:r w:rsidRPr="00620714">
        <w:t>För utgiftsområde 1 medför justeringarna ökningar av vissa anslag och minskningar av andra. Sammantaget minskas a</w:t>
      </w:r>
      <w:r w:rsidRPr="00620714">
        <w:t xml:space="preserve">nslagen med 1 945 000 kr. De anslag som tillförs medel är </w:t>
      </w:r>
      <w:r w:rsidRPr="00620714">
        <w:rPr>
          <w:i/>
        </w:rPr>
        <w:t>27:1 Presstödsnämnden och Taltidningsnämnden</w:t>
      </w:r>
      <w:r w:rsidRPr="00620714">
        <w:t xml:space="preserve"> (52 000 kr), </w:t>
      </w:r>
      <w:r w:rsidRPr="00620714">
        <w:rPr>
          <w:i/>
        </w:rPr>
        <w:t>27:4 Radio- och TV-verket</w:t>
      </w:r>
      <w:r w:rsidRPr="00620714">
        <w:t xml:space="preserve"> (105 000 kr), </w:t>
      </w:r>
      <w:r w:rsidRPr="00620714">
        <w:rPr>
          <w:i/>
        </w:rPr>
        <w:t>27:5 Granskning</w:t>
      </w:r>
      <w:r w:rsidRPr="00620714">
        <w:rPr>
          <w:i/>
        </w:rPr>
        <w:t>s</w:t>
      </w:r>
      <w:r w:rsidRPr="00620714">
        <w:rPr>
          <w:i/>
        </w:rPr>
        <w:t>nämnden för radio och TV</w:t>
      </w:r>
      <w:r w:rsidRPr="00620714">
        <w:t xml:space="preserve"> (96 000 kr), </w:t>
      </w:r>
      <w:r w:rsidRPr="00620714">
        <w:rPr>
          <w:i/>
        </w:rPr>
        <w:t>45:1 Sametinget</w:t>
      </w:r>
      <w:r w:rsidRPr="00620714">
        <w:t xml:space="preserve"> (273 000 kr), </w:t>
      </w:r>
      <w:r w:rsidRPr="00620714">
        <w:br/>
      </w:r>
      <w:r w:rsidRPr="00620714">
        <w:rPr>
          <w:i/>
        </w:rPr>
        <w:t>46:2 Justitiekanslern</w:t>
      </w:r>
      <w:r w:rsidRPr="00620714">
        <w:t xml:space="preserve"> (710 000 kr), </w:t>
      </w:r>
      <w:r w:rsidRPr="00620714">
        <w:rPr>
          <w:i/>
        </w:rPr>
        <w:t>46:3 Datainspektionen</w:t>
      </w:r>
      <w:r w:rsidRPr="00620714">
        <w:t xml:space="preserve"> (1 428 000 kr), </w:t>
      </w:r>
      <w:r w:rsidRPr="00620714">
        <w:rPr>
          <w:i/>
        </w:rPr>
        <w:t>90:3 Riksdagens förvaltningskostnader</w:t>
      </w:r>
      <w:r w:rsidRPr="00620714">
        <w:t xml:space="preserve"> (4 727 000 kr) och </w:t>
      </w:r>
      <w:r w:rsidRPr="00620714">
        <w:rPr>
          <w:i/>
        </w:rPr>
        <w:t>90:4 Riksdagens ombudsmän, Justitieombudsmännen</w:t>
      </w:r>
      <w:r w:rsidRPr="00620714">
        <w:t xml:space="preserve"> (2 001 000 kr). Minskningarna sker på anslagen </w:t>
      </w:r>
      <w:r w:rsidRPr="00620714">
        <w:rPr>
          <w:i/>
        </w:rPr>
        <w:t>90:1 Kungliga hov- och slottsstaten</w:t>
      </w:r>
      <w:r w:rsidRPr="00620714">
        <w:t xml:space="preserve"> (142 000 </w:t>
      </w:r>
      <w:r w:rsidRPr="00620714">
        <w:t xml:space="preserve">kr) och </w:t>
      </w:r>
      <w:r w:rsidRPr="00620714">
        <w:rPr>
          <w:i/>
        </w:rPr>
        <w:t>90:5 Reg</w:t>
      </w:r>
      <w:r w:rsidRPr="00620714">
        <w:rPr>
          <w:i/>
        </w:rPr>
        <w:t>e</w:t>
      </w:r>
      <w:r w:rsidRPr="00620714">
        <w:rPr>
          <w:i/>
        </w:rPr>
        <w:t>ringskansliet m.m.</w:t>
      </w:r>
      <w:r w:rsidRPr="00620714">
        <w:t xml:space="preserve"> (11 195 000 kr).</w:t>
      </w:r>
    </w:p>
    <w:p w:rsidR="004D373F" w:rsidRPr="00620714" w:rsidRDefault="004D373F">
      <w:pPr>
        <w:pStyle w:val="R4"/>
      </w:pPr>
      <w:r w:rsidRPr="00620714">
        <w:t>Presstödsnämnden och Taltidningsnämnden</w:t>
      </w:r>
    </w:p>
    <w:p w:rsidR="004D373F" w:rsidRPr="00620714" w:rsidRDefault="004D373F">
      <w:r w:rsidRPr="00620714">
        <w:t xml:space="preserve">Regeringen föreslår att anslaget </w:t>
      </w:r>
      <w:r w:rsidRPr="00620714">
        <w:rPr>
          <w:i/>
        </w:rPr>
        <w:t>27:1 Presstödsnämnden och Taltidning</w:t>
      </w:r>
      <w:r w:rsidRPr="00620714">
        <w:rPr>
          <w:i/>
        </w:rPr>
        <w:t>s</w:t>
      </w:r>
      <w:r w:rsidRPr="00620714">
        <w:rPr>
          <w:i/>
        </w:rPr>
        <w:t>nämnden</w:t>
      </w:r>
      <w:r w:rsidRPr="00620714">
        <w:t xml:space="preserve"> skall ökas med 302 000 kr för budgetåret 2001. I statsbudgeten finns för detta ändamål uppfört ett ramanslag på 5 670 000 kr. Ökningen föreslås finansieras genom att det under utgiftsområde 17 Kultur, medier,  trossamfund och fritid uppförda anslaget </w:t>
      </w:r>
      <w:r w:rsidRPr="00620714">
        <w:rPr>
          <w:i/>
        </w:rPr>
        <w:t>27:2</w:t>
      </w:r>
      <w:r w:rsidRPr="00620714">
        <w:t xml:space="preserve"> </w:t>
      </w:r>
      <w:r w:rsidRPr="00620714">
        <w:rPr>
          <w:i/>
        </w:rPr>
        <w:t>Utbyte av TV-sändningar me</w:t>
      </w:r>
      <w:r w:rsidRPr="00620714">
        <w:rPr>
          <w:i/>
        </w:rPr>
        <w:t>l</w:t>
      </w:r>
      <w:r w:rsidRPr="00620714">
        <w:rPr>
          <w:i/>
        </w:rPr>
        <w:t>lan Sv</w:t>
      </w:r>
      <w:r w:rsidRPr="00620714">
        <w:rPr>
          <w:i/>
        </w:rPr>
        <w:t>e</w:t>
      </w:r>
      <w:r w:rsidRPr="00620714">
        <w:rPr>
          <w:i/>
        </w:rPr>
        <w:t>rige och Finland</w:t>
      </w:r>
      <w:r w:rsidRPr="00620714">
        <w:t xml:space="preserve"> minskas. </w:t>
      </w:r>
    </w:p>
    <w:p w:rsidR="004D373F" w:rsidRPr="00620714" w:rsidRDefault="004D373F">
      <w:pPr>
        <w:pStyle w:val="Normaltindrag"/>
      </w:pPr>
      <w:r w:rsidRPr="00620714">
        <w:t>Regeringen anför att Presstödsnämndens möjligheter att följa upp och analysera förändringar inom dagspressen behöver stärkas. Regeringen föreslår därf</w:t>
      </w:r>
      <w:r w:rsidRPr="00620714">
        <w:t>ör att anslaget ökas med 250 000 kr. Därtill kommer den tidigare nämnda ökningen på 52 000 kr för slutlig justering av statliga avtalsförsä</w:t>
      </w:r>
      <w:r w:rsidRPr="00620714">
        <w:t>k</w:t>
      </w:r>
      <w:r w:rsidRPr="00620714">
        <w:t>ringar.</w:t>
      </w:r>
    </w:p>
    <w:p w:rsidR="004D373F" w:rsidRPr="00620714" w:rsidRDefault="004D373F">
      <w:pPr>
        <w:pStyle w:val="R4"/>
      </w:pPr>
      <w:r w:rsidRPr="00620714">
        <w:t>Sametinget</w:t>
      </w:r>
    </w:p>
    <w:p w:rsidR="004D373F" w:rsidRPr="00620714" w:rsidRDefault="004D373F">
      <w:r w:rsidRPr="00620714">
        <w:t>Regeringen föreslår att anslaget</w:t>
      </w:r>
      <w:r w:rsidRPr="00620714">
        <w:rPr>
          <w:i/>
        </w:rPr>
        <w:t xml:space="preserve"> 45:1 Sametinget </w:t>
      </w:r>
      <w:r w:rsidRPr="00620714">
        <w:t>skall ökas med 1 773 000 kr för budgetåret 2001. I statsbudgeten finns för detta ändamål uppfört ett r</w:t>
      </w:r>
      <w:r w:rsidRPr="00620714">
        <w:t>a</w:t>
      </w:r>
      <w:r w:rsidRPr="00620714">
        <w:t>m</w:t>
      </w:r>
      <w:r w:rsidRPr="00620714">
        <w:softHyphen/>
        <w:t>anslag på 16 303 000 kr. Ökningen föreslås finansieras genom att det under utgiftsområde 23 Jord- och skogsbruk, fiske med anslutande näringar uppfö</w:t>
      </w:r>
      <w:r w:rsidRPr="00620714">
        <w:t>r</w:t>
      </w:r>
      <w:r w:rsidRPr="00620714">
        <w:t xml:space="preserve">da anslaget </w:t>
      </w:r>
      <w:r w:rsidRPr="00620714">
        <w:rPr>
          <w:i/>
        </w:rPr>
        <w:t>43:16</w:t>
      </w:r>
      <w:r w:rsidRPr="00620714">
        <w:t xml:space="preserve"> </w:t>
      </w:r>
      <w:r w:rsidRPr="00620714">
        <w:rPr>
          <w:i/>
        </w:rPr>
        <w:t>Åtgärder inom livsmedelsområdet</w:t>
      </w:r>
      <w:r w:rsidRPr="00620714">
        <w:t xml:space="preserve"> minskas.</w:t>
      </w:r>
    </w:p>
    <w:p w:rsidR="004D373F" w:rsidRPr="00620714" w:rsidRDefault="004D373F">
      <w:pPr>
        <w:pStyle w:val="Normaltindrag"/>
      </w:pPr>
      <w:r w:rsidRPr="00620714">
        <w:t>Regeringen konstaterar att Valprövningsnämnden har upphävt valet till Sametinget och förordnat om omval. Ett sådant omval bör enligt regeringens bedömning ske så snart detta är möjli</w:t>
      </w:r>
      <w:r w:rsidRPr="00620714">
        <w:t xml:space="preserve">gt. Regeringen anser att medel för att täcka de extra kostnaderna för omvalet bör tillföras anslaget </w:t>
      </w:r>
      <w:r w:rsidRPr="00620714">
        <w:rPr>
          <w:i/>
        </w:rPr>
        <w:t>45:1</w:t>
      </w:r>
      <w:r w:rsidRPr="00620714">
        <w:t xml:space="preserve"> </w:t>
      </w:r>
      <w:r w:rsidRPr="00620714">
        <w:rPr>
          <w:i/>
        </w:rPr>
        <w:t>Sametinget</w:t>
      </w:r>
      <w:r w:rsidRPr="00620714">
        <w:t xml:space="preserve"> som därför bör ökas med 1 500 000 kr. Till detta kommer den tidigare näm</w:t>
      </w:r>
      <w:r w:rsidRPr="00620714">
        <w:t>n</w:t>
      </w:r>
      <w:r w:rsidRPr="00620714">
        <w:t>da ökningen på 273 000 kr för slutlig justering av statliga avtalsförsä</w:t>
      </w:r>
      <w:r w:rsidRPr="00620714">
        <w:t>k</w:t>
      </w:r>
      <w:r w:rsidRPr="00620714">
        <w:t>ringar.</w:t>
      </w:r>
    </w:p>
    <w:p w:rsidR="004D373F" w:rsidRPr="00620714" w:rsidRDefault="004D373F">
      <w:pPr>
        <w:pStyle w:val="R4"/>
      </w:pPr>
      <w:r w:rsidRPr="00620714">
        <w:t>Allmänna val</w:t>
      </w:r>
    </w:p>
    <w:p w:rsidR="004D373F" w:rsidRPr="00620714" w:rsidRDefault="004D373F">
      <w:pPr>
        <w:pStyle w:val="Deltagare"/>
        <w:keepLines w:val="0"/>
        <w:spacing w:before="62" w:line="250" w:lineRule="atLeast"/>
        <w:rPr>
          <w:noProof w:val="0"/>
        </w:rPr>
      </w:pPr>
      <w:r w:rsidRPr="00620714">
        <w:rPr>
          <w:noProof w:val="0"/>
        </w:rPr>
        <w:t>Regeringen föreslår att anslaget</w:t>
      </w:r>
      <w:r w:rsidRPr="00620714">
        <w:rPr>
          <w:i/>
          <w:noProof w:val="0"/>
        </w:rPr>
        <w:t xml:space="preserve"> 46:1 Allmänna val </w:t>
      </w:r>
      <w:r w:rsidRPr="00620714">
        <w:rPr>
          <w:noProof w:val="0"/>
        </w:rPr>
        <w:t>skall ökas med 12 000 000 kr för budgetåret 2001.</w:t>
      </w:r>
      <w:r w:rsidRPr="00620714">
        <w:rPr>
          <w:noProof w:val="0"/>
        </w:rPr>
        <w:t xml:space="preserve"> I statsbudgeten finns för detta ändamål uppfört ett ramanslag på 26 400 000 kr. Ökningen föreslås finansieras dels genom att anslaget </w:t>
      </w:r>
      <w:r w:rsidRPr="00620714">
        <w:rPr>
          <w:i/>
          <w:noProof w:val="0"/>
        </w:rPr>
        <w:t>90:6 Stöd till politiska partier</w:t>
      </w:r>
      <w:r w:rsidRPr="00620714">
        <w:rPr>
          <w:noProof w:val="0"/>
        </w:rPr>
        <w:t xml:space="preserve"> minskas med 10 000 000 kr, dels genom att det under utgiftsområde 2 Samhällsekonomi och finans</w:t>
      </w:r>
      <w:r w:rsidRPr="00620714">
        <w:rPr>
          <w:noProof w:val="0"/>
        </w:rPr>
        <w:softHyphen/>
        <w:t xml:space="preserve">förvaltning uppförda anslaget </w:t>
      </w:r>
      <w:r w:rsidRPr="00620714">
        <w:rPr>
          <w:i/>
          <w:noProof w:val="0"/>
        </w:rPr>
        <w:t>1:5</w:t>
      </w:r>
      <w:r w:rsidRPr="00620714">
        <w:rPr>
          <w:noProof w:val="0"/>
        </w:rPr>
        <w:t xml:space="preserve"> </w:t>
      </w:r>
      <w:r w:rsidRPr="00620714">
        <w:rPr>
          <w:i/>
          <w:noProof w:val="0"/>
        </w:rPr>
        <w:t>Täckning av merkostnader för lokaler</w:t>
      </w:r>
      <w:r w:rsidRPr="00620714">
        <w:rPr>
          <w:noProof w:val="0"/>
        </w:rPr>
        <w:t xml:space="preserve"> minskas med 2 000 000 kr.</w:t>
      </w:r>
    </w:p>
    <w:p w:rsidR="004D373F" w:rsidRPr="00620714" w:rsidRDefault="004D373F">
      <w:pPr>
        <w:pStyle w:val="Normaltindrag"/>
      </w:pPr>
      <w:r w:rsidRPr="00620714">
        <w:t>Regeringen anför att det av deklarationen om förklaring av unionens fra</w:t>
      </w:r>
      <w:r w:rsidRPr="00620714">
        <w:t>m</w:t>
      </w:r>
      <w:r w:rsidRPr="00620714">
        <w:t>tid, som Europeiska rådet antog vid Nicemötet i december 2000, framgår att politiska grupper har en viktig roll i arbetet med EU:s framtidsfrågor. Reg</w:t>
      </w:r>
      <w:r w:rsidRPr="00620714">
        <w:t>e</w:t>
      </w:r>
      <w:r w:rsidRPr="00620714">
        <w:t xml:space="preserve">ringens avsikt är att fördela totalt 10 000 000 kr till riksdagspartierna i syfte att öka partiernas möjligheter att sprida information om EU-relaterade frågor. </w:t>
      </w:r>
    </w:p>
    <w:p w:rsidR="004D373F" w:rsidRPr="00620714" w:rsidRDefault="004D373F">
      <w:pPr>
        <w:pStyle w:val="Normaltindrag"/>
      </w:pPr>
      <w:r w:rsidRPr="00620714">
        <w:t xml:space="preserve">Riksdagen beslutade i samband med 2000 års ekonomiska vårproposition om medel för ett utvecklingsarbete för folkstyrelsen – </w:t>
      </w:r>
      <w:r w:rsidRPr="00620714">
        <w:rPr>
          <w:i/>
        </w:rPr>
        <w:t>Tid för demokrati</w:t>
      </w:r>
      <w:r w:rsidRPr="00620714">
        <w:t xml:space="preserve">. För att på ett lämpligt sätt kunna uppmärksamma 80-årsjubileet av den allmänna rösträtten gör nu regeringen bedömningen att ytterligare 2 000 000 kr behöver tillskjutas. Sammantaget blir regeringens satsning på </w:t>
      </w:r>
      <w:r w:rsidRPr="00620714">
        <w:rPr>
          <w:i/>
        </w:rPr>
        <w:t xml:space="preserve">Tid för demokrati </w:t>
      </w:r>
      <w:r w:rsidRPr="00620714">
        <w:t>15 000 000 kr för år 2001.</w:t>
      </w:r>
    </w:p>
    <w:p w:rsidR="004D373F" w:rsidRPr="00620714" w:rsidRDefault="004D373F">
      <w:pPr>
        <w:pStyle w:val="R4"/>
      </w:pPr>
      <w:r w:rsidRPr="00620714">
        <w:t>Justitiekanslern</w:t>
      </w:r>
    </w:p>
    <w:p w:rsidR="004D373F" w:rsidRPr="00620714" w:rsidRDefault="004D373F">
      <w:pPr>
        <w:pStyle w:val="Deltagare"/>
        <w:keepLines w:val="0"/>
        <w:spacing w:before="62" w:line="250" w:lineRule="atLeast"/>
        <w:rPr>
          <w:noProof w:val="0"/>
        </w:rPr>
      </w:pPr>
      <w:r w:rsidRPr="00620714">
        <w:rPr>
          <w:noProof w:val="0"/>
        </w:rPr>
        <w:t>Regeringen föreslår att anslaget</w:t>
      </w:r>
      <w:r w:rsidRPr="00620714">
        <w:rPr>
          <w:i/>
          <w:noProof w:val="0"/>
        </w:rPr>
        <w:t xml:space="preserve"> 46:2 Justitiekanslern </w:t>
      </w:r>
      <w:r w:rsidRPr="00620714">
        <w:rPr>
          <w:noProof w:val="0"/>
        </w:rPr>
        <w:t>skall ökas med 500 000 kr för budgetåret 2001.</w:t>
      </w:r>
      <w:r w:rsidRPr="00620714">
        <w:rPr>
          <w:noProof w:val="0"/>
        </w:rPr>
        <w:t xml:space="preserve"> I statsbudgeten finns för detta ändamål uppfört ett ramanslag på 12 820 000 kr. </w:t>
      </w:r>
    </w:p>
    <w:p w:rsidR="004D373F" w:rsidRPr="00620714" w:rsidRDefault="004D373F">
      <w:pPr>
        <w:pStyle w:val="Normaltindrag"/>
      </w:pPr>
      <w:r w:rsidRPr="00620714">
        <w:t>Regeringen föreslår att anslaget till Justitiekanslern skall minskas med 210 000 kr för att finansiera ökningen av det under utgiftsområde 4 Rättsv</w:t>
      </w:r>
      <w:r w:rsidRPr="00620714">
        <w:t>ä</w:t>
      </w:r>
      <w:r w:rsidRPr="00620714">
        <w:t xml:space="preserve">sendet uppförda anslaget </w:t>
      </w:r>
      <w:r w:rsidRPr="00620714">
        <w:rPr>
          <w:i/>
        </w:rPr>
        <w:t>4:9</w:t>
      </w:r>
      <w:r w:rsidRPr="00620714">
        <w:t xml:space="preserve"> </w:t>
      </w:r>
      <w:r w:rsidRPr="00620714">
        <w:rPr>
          <w:i/>
        </w:rPr>
        <w:t>Gentekniknämnden.</w:t>
      </w:r>
      <w:r w:rsidRPr="00620714">
        <w:t xml:space="preserve"> Enligt regeringens bedö</w:t>
      </w:r>
      <w:r w:rsidRPr="00620714">
        <w:t>m</w:t>
      </w:r>
      <w:r w:rsidRPr="00620714">
        <w:t>ning är Gentekniknämndens ekonomiska läge så ansträngt att nämnden måste tillföras medel för att i huvudsak kompensera den minskning av anslaget som blir följden av slutjusteringen för de statliga avtalsförsäkringarna. För ansl</w:t>
      </w:r>
      <w:r w:rsidRPr="00620714">
        <w:t>a</w:t>
      </w:r>
      <w:r w:rsidRPr="00620714">
        <w:t>get till Justitiekanslern innebär slutjusteringen för de statliga avtalsförsäkrin</w:t>
      </w:r>
      <w:r w:rsidRPr="00620714">
        <w:t>g</w:t>
      </w:r>
      <w:r w:rsidRPr="00620714">
        <w:t xml:space="preserve">arna en ökning av anslaget med 710 000 kr. </w:t>
      </w:r>
    </w:p>
    <w:p w:rsidR="004D373F" w:rsidRPr="00620714" w:rsidRDefault="004D373F">
      <w:pPr>
        <w:pStyle w:val="Normaltindrag"/>
      </w:pPr>
      <w:r w:rsidRPr="00620714">
        <w:t xml:space="preserve">Regeringens förslag innebär sammantaget att anslaget </w:t>
      </w:r>
      <w:r w:rsidRPr="00620714">
        <w:rPr>
          <w:i/>
        </w:rPr>
        <w:t>46:2</w:t>
      </w:r>
      <w:r w:rsidRPr="00620714">
        <w:t xml:space="preserve"> </w:t>
      </w:r>
      <w:r w:rsidRPr="00620714">
        <w:rPr>
          <w:i/>
        </w:rPr>
        <w:t>Justitiekan</w:t>
      </w:r>
      <w:r w:rsidRPr="00620714">
        <w:rPr>
          <w:i/>
        </w:rPr>
        <w:t>s</w:t>
      </w:r>
      <w:r w:rsidRPr="00620714">
        <w:rPr>
          <w:i/>
        </w:rPr>
        <w:t xml:space="preserve">lern </w:t>
      </w:r>
      <w:r w:rsidRPr="00620714">
        <w:t>ökas med 500 000 kr.</w:t>
      </w:r>
    </w:p>
    <w:p w:rsidR="004D373F" w:rsidRPr="00620714" w:rsidRDefault="004D373F">
      <w:pPr>
        <w:pStyle w:val="R4"/>
      </w:pPr>
      <w:r w:rsidRPr="00620714">
        <w:t>Valmyndigheten</w:t>
      </w:r>
    </w:p>
    <w:p w:rsidR="004D373F" w:rsidRPr="00620714" w:rsidRDefault="004D373F">
      <w:r w:rsidRPr="00620714">
        <w:t>Regeringen föreslår att anslaget</w:t>
      </w:r>
      <w:r w:rsidRPr="00620714">
        <w:rPr>
          <w:i/>
        </w:rPr>
        <w:t xml:space="preserve"> 46:51 Valmyndigheten </w:t>
      </w:r>
      <w:r w:rsidRPr="00620714">
        <w:t>skall ökas med 3 000 000 kr för budgetåret 2001. I statsbudgeten finns för detta ändamål uppfört ett ramanslag på 3 450 000 kr. Ökningen föreslås finansieras genom att det under utgiftsområde 2 Samhällsekonomi och finansförvaltning uppfö</w:t>
      </w:r>
      <w:r w:rsidRPr="00620714">
        <w:t>r</w:t>
      </w:r>
      <w:r w:rsidRPr="00620714">
        <w:t xml:space="preserve">da anslaget </w:t>
      </w:r>
      <w:r w:rsidRPr="00620714">
        <w:rPr>
          <w:i/>
        </w:rPr>
        <w:t>1:5</w:t>
      </w:r>
      <w:r w:rsidRPr="00620714">
        <w:t xml:space="preserve"> </w:t>
      </w:r>
      <w:r w:rsidRPr="00620714">
        <w:rPr>
          <w:i/>
        </w:rPr>
        <w:t>Täckning av merkostnader för lokaler</w:t>
      </w:r>
      <w:r w:rsidRPr="00620714">
        <w:t xml:space="preserve"> minskas med motsv</w:t>
      </w:r>
      <w:r w:rsidRPr="00620714">
        <w:t>a</w:t>
      </w:r>
      <w:r w:rsidRPr="00620714">
        <w:t>rande belopp.</w:t>
      </w:r>
    </w:p>
    <w:p w:rsidR="004D373F" w:rsidRPr="00620714" w:rsidRDefault="004D373F">
      <w:pPr>
        <w:pStyle w:val="Normaltindrag"/>
      </w:pPr>
      <w:r w:rsidRPr="00620714">
        <w:t xml:space="preserve">Regeringen bedömer att inrättandet av den nya myndigheten blir dyrare än vad som tidigare beräknats. Det är enligt regeringen viktigt att myndigheten har tillräckliga </w:t>
      </w:r>
      <w:r w:rsidRPr="00620714">
        <w:t>resurser för att förbereda de allmänna valen år 2002. Reg</w:t>
      </w:r>
      <w:r w:rsidRPr="00620714">
        <w:t>e</w:t>
      </w:r>
      <w:r w:rsidRPr="00620714">
        <w:t>ringen anser därför att ytterligare medel måste skjutas till.</w:t>
      </w:r>
    </w:p>
    <w:p w:rsidR="004D373F" w:rsidRPr="00620714" w:rsidRDefault="004D373F">
      <w:pPr>
        <w:pStyle w:val="R4"/>
      </w:pPr>
      <w:r w:rsidRPr="00620714">
        <w:t>Kungliga hov- och slottsstaten</w:t>
      </w:r>
    </w:p>
    <w:p w:rsidR="004D373F" w:rsidRPr="00620714" w:rsidRDefault="004D373F">
      <w:r w:rsidRPr="00620714">
        <w:t>Regeringen föreslår att anslaget</w:t>
      </w:r>
      <w:r w:rsidRPr="00620714">
        <w:rPr>
          <w:i/>
        </w:rPr>
        <w:t xml:space="preserve"> 90:1 Kungliga hov- och slottsstaten </w:t>
      </w:r>
      <w:r w:rsidRPr="00620714">
        <w:t>skall ökas med 1 858 000 kr för budgetåret 2001. I statsbudgeten finns för detta ändamål uppfört ett ramanslag på 84 094 000 kr. Ökningen föreslås finansi</w:t>
      </w:r>
      <w:r w:rsidRPr="00620714">
        <w:t>e</w:t>
      </w:r>
      <w:r w:rsidRPr="00620714">
        <w:t>ras genom att det under utgiftsområde 2 Samhällsekonomi och finansförval</w:t>
      </w:r>
      <w:r w:rsidRPr="00620714">
        <w:t>t</w:t>
      </w:r>
      <w:r w:rsidRPr="00620714">
        <w:t xml:space="preserve">ning uppförda anslaget </w:t>
      </w:r>
      <w:r w:rsidRPr="00620714">
        <w:rPr>
          <w:i/>
        </w:rPr>
        <w:t>1:5</w:t>
      </w:r>
      <w:r w:rsidRPr="00620714">
        <w:t xml:space="preserve"> </w:t>
      </w:r>
      <w:r w:rsidRPr="00620714">
        <w:rPr>
          <w:i/>
        </w:rPr>
        <w:t>Täckning av merkostnader för lokaler</w:t>
      </w:r>
      <w:r w:rsidRPr="00620714">
        <w:t xml:space="preserve"> minskas med motsv</w:t>
      </w:r>
      <w:r w:rsidRPr="00620714">
        <w:t>a</w:t>
      </w:r>
      <w:r w:rsidRPr="00620714">
        <w:t>rande belopp.</w:t>
      </w:r>
    </w:p>
    <w:p w:rsidR="004D373F" w:rsidRPr="00620714" w:rsidRDefault="004D373F">
      <w:pPr>
        <w:pStyle w:val="Normaltindrag"/>
      </w:pPr>
      <w:r w:rsidRPr="00620714">
        <w:t>Regeringen anför att ökade insatser behövs för driften av de kungliga slo</w:t>
      </w:r>
      <w:r w:rsidRPr="00620714">
        <w:t>t</w:t>
      </w:r>
      <w:r w:rsidRPr="00620714">
        <w:t>tens parker. Detta gäller enligt regeringen särskilt Drottningholms parkomr</w:t>
      </w:r>
      <w:r w:rsidRPr="00620714">
        <w:t>å</w:t>
      </w:r>
      <w:r w:rsidRPr="00620714">
        <w:t>de, som sedan år 1991 är upptaget på FN:s världsarvslista som ett kulturarv av världsklass. Det är angeläget att vården av det historiska arvet främjas samt</w:t>
      </w:r>
      <w:r w:rsidRPr="00620714">
        <w:t>i</w:t>
      </w:r>
      <w:r w:rsidRPr="00620714">
        <w:t>digt som allmänheten erbjuds tillträde till slottsparkernas grönområden. Även föremålsvården på de kungliga slotten behöver enligt regeringen förstärkas. Regeringen anser därför att ytterligare 2 000 000 kr behövs för en förbättring av underhållet i parkerna samt för en förbätt</w:t>
      </w:r>
      <w:r w:rsidRPr="00620714">
        <w:t xml:space="preserve">ring av vård och konservering av konstskatterna. Till detta kommer den tidigare nämnda minskningen på 142 000 kr för slutlig justering av statliga avtalsförsäkringar. Sammantaget skall enligt regeringens förslag anslaget </w:t>
      </w:r>
      <w:r w:rsidRPr="00620714">
        <w:rPr>
          <w:i/>
        </w:rPr>
        <w:t>90:1</w:t>
      </w:r>
      <w:r w:rsidRPr="00620714">
        <w:t xml:space="preserve"> </w:t>
      </w:r>
      <w:r w:rsidRPr="00620714">
        <w:rPr>
          <w:i/>
        </w:rPr>
        <w:t>Kungliga hov- och slottsstaten</w:t>
      </w:r>
      <w:r w:rsidRPr="00620714">
        <w:t xml:space="preserve"> ökas med 1 858 000 kr.</w:t>
      </w:r>
    </w:p>
    <w:p w:rsidR="004D373F" w:rsidRPr="00620714" w:rsidRDefault="004D373F">
      <w:pPr>
        <w:pStyle w:val="R2"/>
      </w:pPr>
      <w:r w:rsidRPr="00620714">
        <w:br w:type="page"/>
        <w:t>Utskottets ställningstagande</w:t>
      </w:r>
    </w:p>
    <w:p w:rsidR="004D373F" w:rsidRPr="00620714" w:rsidRDefault="004D373F">
      <w:r w:rsidRPr="00620714">
        <w:t>Utskottet tillstyrker att riksdagen på tilläggsbudget till statsbudgeten för bu</w:t>
      </w:r>
      <w:r w:rsidRPr="00620714">
        <w:t>d</w:t>
      </w:r>
      <w:r w:rsidRPr="00620714">
        <w:t>getåret 2001 beslutar ändra anslagen under utgiftsområde 1 i enlighet med regeringens förslag.</w:t>
      </w:r>
    </w:p>
    <w:p w:rsidR="004D373F" w:rsidRPr="00620714" w:rsidRDefault="004D373F"/>
    <w:p w:rsidR="004D373F" w:rsidRPr="00620714" w:rsidRDefault="004D373F">
      <w:pPr>
        <w:pStyle w:val="Utskriftsdatum"/>
      </w:pPr>
      <w:r w:rsidRPr="00620714">
        <w:t>Stockholm den 25 oktober 2001</w:t>
      </w:r>
    </w:p>
    <w:p w:rsidR="004D373F" w:rsidRPr="00620714" w:rsidRDefault="004D373F">
      <w:r w:rsidRPr="00620714">
        <w:t>På konstitutionsutskottets vägnar</w:t>
      </w:r>
    </w:p>
    <w:p w:rsidR="004D373F" w:rsidRPr="00620714" w:rsidRDefault="004D373F">
      <w:pPr>
        <w:pStyle w:val="Normaltindrag"/>
      </w:pPr>
    </w:p>
    <w:p w:rsidR="004D373F" w:rsidRPr="00620714" w:rsidRDefault="004D373F">
      <w:pPr>
        <w:pStyle w:val="Normaltindrag"/>
      </w:pPr>
    </w:p>
    <w:p w:rsidR="004D373F" w:rsidRPr="00620714" w:rsidRDefault="004D373F">
      <w:pPr>
        <w:pStyle w:val="Ordfranden"/>
        <w:rPr>
          <w:noProof w:val="0"/>
        </w:rPr>
      </w:pPr>
      <w:bookmarkStart w:id="3" w:name="Ordförande"/>
      <w:bookmarkEnd w:id="3"/>
      <w:r w:rsidRPr="00620714">
        <w:rPr>
          <w:noProof w:val="0"/>
        </w:rPr>
        <w:t xml:space="preserve">Per Unckel </w:t>
      </w:r>
    </w:p>
    <w:p w:rsidR="004D373F" w:rsidRPr="00620714" w:rsidRDefault="004D373F">
      <w:pPr>
        <w:pStyle w:val="Deltagare"/>
        <w:rPr>
          <w:noProof w:val="0"/>
        </w:rPr>
      </w:pPr>
      <w:r w:rsidRPr="00620714">
        <w:rPr>
          <w:noProof w:val="0"/>
        </w:rPr>
        <w:t>Följande ledamöter har deltagit i beslutet: Per Unckel (m), Barbro Hietala Nordlund (s), Pär Axel Sahlberg (s), Kenneth Kvist (v), Ingvar Svensson (kd), Mats Berglind (s), Lars Hjertén (m), Inger René (m), Kerstin Kristiansson Karlstedt (s), Kenth Högström (s), Mats Einarsson (v), Björn von der Esch (kd), Per Lager (mp), Åsa Torstensson (c), Helena Bargholtz (fp), Britt-Marie Lindkvist (s) och Margareta Nachmanson (m).</w:t>
      </w:r>
    </w:p>
    <w:p w:rsidR="004D373F" w:rsidRPr="00620714" w:rsidRDefault="004D373F"/>
    <w:p w:rsidR="004D373F" w:rsidRPr="00620714" w:rsidRDefault="004D373F">
      <w:pPr>
        <w:pStyle w:val="Tryckort"/>
        <w:framePr w:wrap="around"/>
        <w:jc w:val="right"/>
      </w:pPr>
      <w:r w:rsidRPr="00620714">
        <w:t>Elanders Gotab, Stockholm  2001</w:t>
      </w:r>
    </w:p>
    <w:p w:rsidR="004D373F" w:rsidRPr="00620714" w:rsidRDefault="004D373F">
      <w:pPr>
        <w:pStyle w:val="Normaltindrag"/>
      </w:pPr>
    </w:p>
    <w:sectPr w:rsidR="004D373F" w:rsidRPr="0062071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373F" w:rsidRPr="00620714" w:rsidRDefault="004D373F">
      <w:pPr>
        <w:spacing w:before="0" w:line="240" w:lineRule="auto"/>
      </w:pPr>
      <w:r w:rsidRPr="00620714">
        <w:separator/>
      </w:r>
    </w:p>
  </w:endnote>
  <w:endnote w:type="continuationSeparator" w:id="0">
    <w:p w:rsidR="004D373F" w:rsidRPr="00620714" w:rsidRDefault="004D373F">
      <w:pPr>
        <w:spacing w:before="0" w:line="240" w:lineRule="auto"/>
      </w:pPr>
      <w:r w:rsidRPr="006207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adeGothic CondEighteen">
    <w:altName w:val="Calibri"/>
    <w:charset w:val="00"/>
    <w:family w:val="auto"/>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73F" w:rsidRPr="00620714" w:rsidRDefault="004D373F">
    <w:pPr>
      <w:pStyle w:val="SidfotV"/>
      <w:framePr w:w="8732" w:h="284" w:hRule="exact" w:hSpace="0" w:vSpace="0" w:wrap="around" w:xAlign="inside" w:y="13042" w:anchorLock="0"/>
    </w:pPr>
    <w:r w:rsidRPr="00620714">
      <w:fldChar w:fldCharType="begin" w:fldLock="1"/>
    </w:r>
    <w:r w:rsidRPr="00620714">
      <w:instrText xml:space="preserve"> P</w:instrText>
    </w:r>
    <w:r w:rsidRPr="00620714">
      <w:instrText>A</w:instrText>
    </w:r>
    <w:r w:rsidRPr="00620714">
      <w:instrText xml:space="preserve">GE </w:instrText>
    </w:r>
    <w:r w:rsidRPr="00620714">
      <w:fldChar w:fldCharType="separate"/>
    </w:r>
    <w:r w:rsidRPr="00620714">
      <w:t>2</w:t>
    </w:r>
    <w:r w:rsidRPr="00620714">
      <w:fldChar w:fldCharType="end"/>
    </w:r>
  </w:p>
  <w:p w:rsidR="004D373F" w:rsidRPr="00620714" w:rsidRDefault="004D373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73F" w:rsidRPr="00620714" w:rsidRDefault="004D373F">
    <w:pPr>
      <w:pStyle w:val="SidfotH"/>
      <w:framePr w:w="8732" w:h="284" w:hRule="exact" w:hSpace="0" w:vSpace="0" w:wrap="around" w:xAlign="inside" w:y="13042" w:anchorLock="0"/>
    </w:pPr>
    <w:r w:rsidRPr="00620714">
      <w:fldChar w:fldCharType="begin" w:fldLock="1"/>
    </w:r>
    <w:r w:rsidRPr="00620714">
      <w:instrText xml:space="preserve"> P</w:instrText>
    </w:r>
    <w:r w:rsidRPr="00620714">
      <w:instrText>A</w:instrText>
    </w:r>
    <w:r w:rsidRPr="00620714">
      <w:instrText xml:space="preserve">GE </w:instrText>
    </w:r>
    <w:r w:rsidRPr="00620714">
      <w:fldChar w:fldCharType="separate"/>
    </w:r>
    <w:r w:rsidRPr="00620714">
      <w:t>3</w:t>
    </w:r>
    <w:r w:rsidRPr="00620714">
      <w:fldChar w:fldCharType="end"/>
    </w:r>
  </w:p>
  <w:p w:rsidR="004D373F" w:rsidRPr="00620714" w:rsidRDefault="004D373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73F" w:rsidRPr="00620714" w:rsidRDefault="004D373F">
    <w:pPr>
      <w:pStyle w:val="SidfotV"/>
      <w:framePr w:w="8732" w:h="284" w:hRule="exact" w:hSpace="0" w:vSpace="0" w:wrap="around" w:xAlign="inside" w:y="13042" w:anchorLock="0"/>
    </w:pPr>
    <w:r w:rsidRPr="00620714">
      <w:fldChar w:fldCharType="begin" w:fldLock="1"/>
    </w:r>
    <w:r w:rsidRPr="00620714">
      <w:instrText xml:space="preserve"> if </w:instrText>
    </w:r>
    <w:r w:rsidRPr="00620714">
      <w:fldChar w:fldCharType="begin" w:fldLock="1"/>
    </w:r>
    <w:r w:rsidRPr="00620714">
      <w:instrText xml:space="preserve"> = </w:instrText>
    </w:r>
    <w:r w:rsidRPr="00620714">
      <w:fldChar w:fldCharType="begin" w:fldLock="1"/>
    </w:r>
    <w:r w:rsidRPr="00620714">
      <w:instrText xml:space="preserve"> = </w:instrText>
    </w:r>
    <w:r w:rsidRPr="00620714">
      <w:fldChar w:fldCharType="begin" w:fldLock="1"/>
    </w:r>
    <w:r w:rsidRPr="00620714">
      <w:instrText xml:space="preserve"> page</w:instrText>
    </w:r>
    <w:r w:rsidRPr="00620714">
      <w:fldChar w:fldCharType="separate"/>
    </w:r>
    <w:r w:rsidR="00620714">
      <w:rPr>
        <w:noProof/>
      </w:rPr>
      <w:instrText>1</w:instrText>
    </w:r>
    <w:r w:rsidRPr="00620714">
      <w:fldChar w:fldCharType="end"/>
    </w:r>
    <w:r w:rsidRPr="00620714">
      <w:instrText xml:space="preserve">/2 </w:instrText>
    </w:r>
    <w:r w:rsidRPr="00620714">
      <w:fldChar w:fldCharType="separate"/>
    </w:r>
    <w:r w:rsidR="00620714">
      <w:rPr>
        <w:noProof/>
      </w:rPr>
      <w:instrText>0,5</w:instrText>
    </w:r>
    <w:r w:rsidRPr="00620714">
      <w:fldChar w:fldCharType="end"/>
    </w:r>
    <w:r w:rsidRPr="00620714">
      <w:instrText xml:space="preserve"> - </w:instrText>
    </w:r>
    <w:r w:rsidRPr="00620714">
      <w:fldChar w:fldCharType="begin" w:fldLock="1"/>
    </w:r>
    <w:r w:rsidRPr="00620714">
      <w:instrText xml:space="preserve"> = int(</w:instrText>
    </w:r>
    <w:r w:rsidRPr="00620714">
      <w:fldChar w:fldCharType="begin" w:fldLock="1"/>
    </w:r>
    <w:r w:rsidRPr="00620714">
      <w:instrText xml:space="preserve"> page</w:instrText>
    </w:r>
    <w:r w:rsidRPr="00620714">
      <w:fldChar w:fldCharType="separate"/>
    </w:r>
    <w:r w:rsidR="00620714">
      <w:rPr>
        <w:noProof/>
      </w:rPr>
      <w:instrText>1</w:instrText>
    </w:r>
    <w:r w:rsidRPr="00620714">
      <w:fldChar w:fldCharType="end"/>
    </w:r>
    <w:r w:rsidRPr="00620714">
      <w:instrText xml:space="preserve">/2) </w:instrText>
    </w:r>
    <w:r w:rsidRPr="00620714">
      <w:fldChar w:fldCharType="separate"/>
    </w:r>
    <w:r w:rsidR="00620714">
      <w:rPr>
        <w:noProof/>
      </w:rPr>
      <w:instrText>0</w:instrText>
    </w:r>
    <w:r w:rsidRPr="00620714">
      <w:fldChar w:fldCharType="end"/>
    </w:r>
    <w:r w:rsidRPr="00620714">
      <w:fldChar w:fldCharType="separate"/>
    </w:r>
    <w:r w:rsidR="00620714">
      <w:rPr>
        <w:noProof/>
      </w:rPr>
      <w:instrText>0,5</w:instrText>
    </w:r>
    <w:r w:rsidRPr="00620714">
      <w:fldChar w:fldCharType="end"/>
    </w:r>
    <w:r w:rsidRPr="00620714">
      <w:instrText xml:space="preserve"> = 0 "</w:instrText>
    </w:r>
    <w:r w:rsidRPr="00620714">
      <w:fldChar w:fldCharType="begin" w:fldLock="1"/>
    </w:r>
    <w:r w:rsidRPr="00620714">
      <w:instrText xml:space="preserve"> P</w:instrText>
    </w:r>
    <w:r w:rsidRPr="00620714">
      <w:instrText>A</w:instrText>
    </w:r>
    <w:r w:rsidRPr="00620714">
      <w:instrText xml:space="preserve">GE </w:instrText>
    </w:r>
    <w:r w:rsidRPr="00620714">
      <w:fldChar w:fldCharType="separate"/>
    </w:r>
    <w:r w:rsidRPr="00620714">
      <w:instrText>6</w:instrText>
    </w:r>
    <w:r w:rsidRPr="00620714">
      <w:fldChar w:fldCharType="end"/>
    </w:r>
  </w:p>
  <w:p w:rsidR="004D373F" w:rsidRPr="00620714" w:rsidRDefault="004D373F">
    <w:pPr>
      <w:pStyle w:val="SidfotH"/>
      <w:framePr w:w="8732" w:h="284" w:hRule="exact" w:hSpace="0" w:vSpace="0" w:wrap="around" w:xAlign="inside" w:y="13042" w:anchorLock="0"/>
    </w:pPr>
    <w:r w:rsidRPr="00620714">
      <w:instrText>""</w:instrText>
    </w:r>
    <w:r w:rsidRPr="00620714">
      <w:fldChar w:fldCharType="begin" w:fldLock="1"/>
    </w:r>
    <w:r w:rsidRPr="00620714">
      <w:instrText xml:space="preserve"> P</w:instrText>
    </w:r>
    <w:r w:rsidRPr="00620714">
      <w:instrText>A</w:instrText>
    </w:r>
    <w:r w:rsidRPr="00620714">
      <w:instrText xml:space="preserve">GE </w:instrText>
    </w:r>
    <w:r w:rsidRPr="00620714">
      <w:fldChar w:fldCharType="separate"/>
    </w:r>
    <w:r w:rsidR="00620714">
      <w:rPr>
        <w:noProof/>
      </w:rPr>
      <w:instrText>1</w:instrText>
    </w:r>
    <w:r w:rsidRPr="00620714">
      <w:fldChar w:fldCharType="end"/>
    </w:r>
    <w:r w:rsidRPr="00620714">
      <w:instrText>"</w:instrText>
    </w:r>
    <w:r w:rsidRPr="00620714">
      <w:fldChar w:fldCharType="separate"/>
    </w:r>
    <w:r w:rsidR="00620714">
      <w:rPr>
        <w:noProof/>
      </w:rPr>
      <w:t>1</w:t>
    </w:r>
    <w:r w:rsidRPr="00620714">
      <w:fldChar w:fldCharType="end"/>
    </w:r>
  </w:p>
  <w:p w:rsidR="004D373F" w:rsidRPr="00620714" w:rsidRDefault="004D37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373F" w:rsidRPr="00620714" w:rsidRDefault="004D373F">
      <w:pPr>
        <w:pStyle w:val="Sidfot"/>
      </w:pPr>
    </w:p>
  </w:footnote>
  <w:footnote w:type="continuationSeparator" w:id="0">
    <w:p w:rsidR="004D373F" w:rsidRPr="00620714" w:rsidRDefault="004D373F">
      <w:pPr>
        <w:spacing w:before="0" w:line="240" w:lineRule="auto"/>
      </w:pPr>
      <w:r w:rsidRPr="006207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73F" w:rsidRPr="00620714" w:rsidRDefault="004D373F">
    <w:pPr>
      <w:pStyle w:val="SidhuvudKantJmn"/>
      <w:framePr w:w="8732" w:h="567" w:hRule="exact" w:vSpace="0" w:wrap="around" w:vAnchor="page" w:y="341" w:anchorLock="0"/>
    </w:pPr>
    <w:r w:rsidRPr="00620714">
      <w:rPr>
        <w:rStyle w:val="SidhuvudUtskott"/>
      </w:rPr>
      <w:t>2001/02:KU2y</w:t>
    </w:r>
    <w:r w:rsidRPr="00620714">
      <w:t xml:space="preserve">     </w:t>
    </w:r>
    <w:r w:rsidRPr="00620714">
      <w:rPr>
        <w:rStyle w:val="SidhuvudBilaga"/>
      </w:rPr>
      <w:t xml:space="preserve"> </w:t>
    </w:r>
  </w:p>
  <w:p w:rsidR="004D373F" w:rsidRPr="00620714" w:rsidRDefault="004D373F">
    <w:pPr>
      <w:pStyle w:val="SidhuvudKantJmn"/>
      <w:framePr w:w="8732" w:h="567" w:hRule="exact" w:vSpace="0" w:wrap="around" w:vAnchor="page" w:y="341" w:anchorLock="0"/>
    </w:pPr>
  </w:p>
  <w:p w:rsidR="004D373F" w:rsidRPr="00620714" w:rsidRDefault="004D373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73F" w:rsidRPr="00620714" w:rsidRDefault="004D373F">
    <w:pPr>
      <w:pStyle w:val="SidhuvudKantUdda"/>
      <w:framePr w:w="8732" w:h="567" w:hRule="exact" w:vSpace="0" w:wrap="around" w:vAnchor="page" w:y="341" w:anchorLock="0"/>
    </w:pPr>
    <w:r w:rsidRPr="00620714">
      <w:rPr>
        <w:rStyle w:val="SidhuvudBilaga"/>
      </w:rPr>
      <w:t xml:space="preserve"> </w:t>
    </w:r>
    <w:r w:rsidRPr="00620714">
      <w:t xml:space="preserve">     </w:t>
    </w:r>
    <w:r w:rsidRPr="00620714">
      <w:rPr>
        <w:rStyle w:val="SidhuvudUtskott"/>
      </w:rPr>
      <w:t>2001/02:KU2y</w:t>
    </w:r>
  </w:p>
  <w:p w:rsidR="004D373F" w:rsidRPr="00620714" w:rsidRDefault="004D373F">
    <w:pPr>
      <w:pStyle w:val="SidhuvudKantUdda"/>
      <w:framePr w:w="8732" w:h="567" w:hRule="exact" w:vSpace="0" w:wrap="around" w:vAnchor="page" w:y="341" w:anchorLock="0"/>
    </w:pPr>
  </w:p>
  <w:p w:rsidR="004D373F" w:rsidRPr="00620714" w:rsidRDefault="004D373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73F" w:rsidRPr="00620714" w:rsidRDefault="004D373F">
    <w:pPr>
      <w:pStyle w:val="SidhuvudKantUdda"/>
      <w:framePr w:w="8732" w:h="567" w:hRule="exact" w:vSpace="0" w:wrap="around" w:vAnchor="page" w:y="341" w:anchorLock="0"/>
    </w:pPr>
    <w:r w:rsidRPr="00620714">
      <w:t xml:space="preserve"> </w:t>
    </w:r>
  </w:p>
  <w:p w:rsidR="004D373F" w:rsidRPr="00620714" w:rsidRDefault="004D373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458455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102"/>
  </w:docVars>
  <w:rsids>
    <w:rsidRoot w:val="0036010C"/>
    <w:rsid w:val="0036010C"/>
    <w:rsid w:val="004D373F"/>
    <w:rsid w:val="0062071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314D0F-5D56-4BAF-88FF-B36122795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TabellHuvud">
    <w:name w:val="Tabell Huvud"/>
    <w:basedOn w:val="Normal"/>
    <w:pPr>
      <w:overflowPunct w:val="0"/>
      <w:autoSpaceDE w:val="0"/>
      <w:autoSpaceDN w:val="0"/>
      <w:adjustRightInd w:val="0"/>
      <w:spacing w:before="0" w:line="160" w:lineRule="exact"/>
      <w:jc w:val="right"/>
      <w:textAlignment w:val="baseline"/>
    </w:pPr>
    <w:rPr>
      <w:rFonts w:ascii="TradeGothic CondEighteen" w:hAnsi="TradeGothic CondEighteen"/>
      <w:spacing w:val="4"/>
      <w:sz w:val="14"/>
    </w:rPr>
  </w:style>
  <w:style w:type="paragraph" w:customStyle="1" w:styleId="TabellRader">
    <w:name w:val="Tabell Rader"/>
    <w:basedOn w:val="Normal"/>
    <w:pPr>
      <w:overflowPunct w:val="0"/>
      <w:autoSpaceDE w:val="0"/>
      <w:autoSpaceDN w:val="0"/>
      <w:adjustRightInd w:val="0"/>
      <w:spacing w:before="60" w:after="20" w:line="200" w:lineRule="exact"/>
      <w:jc w:val="right"/>
      <w:textAlignment w:val="baseline"/>
    </w:pPr>
    <w:rPr>
      <w:rFonts w:ascii="TradeGothic CondEighteen" w:hAnsi="TradeGothic CondEighteen"/>
      <w:spacing w:val="4"/>
      <w:sz w:val="16"/>
    </w:rPr>
  </w:style>
  <w:style w:type="paragraph" w:customStyle="1" w:styleId="TabellRubrik0">
    <w:name w:val="Tabell Rubrik"/>
    <w:basedOn w:val="Normal"/>
    <w:next w:val="Brdtext"/>
    <w:pPr>
      <w:shd w:val="solid" w:color="auto" w:fill="auto"/>
      <w:overflowPunct w:val="0"/>
      <w:autoSpaceDE w:val="0"/>
      <w:autoSpaceDN w:val="0"/>
      <w:adjustRightInd w:val="0"/>
      <w:spacing w:before="0" w:after="40" w:line="200" w:lineRule="exact"/>
      <w:jc w:val="left"/>
      <w:textAlignment w:val="baseline"/>
    </w:pPr>
    <w:rPr>
      <w:rFonts w:ascii="TradeGothic" w:hAnsi="TradeGothic"/>
      <w:b/>
      <w:color w:val="FFFFFF"/>
      <w:spacing w:val="2"/>
      <w:sz w:val="16"/>
    </w:rPr>
  </w:style>
  <w:style w:type="paragraph" w:customStyle="1" w:styleId="TabellUnderrubrik">
    <w:name w:val="Tabell Underrubrik"/>
    <w:basedOn w:val="TabellRubrik0"/>
    <w:next w:val="Brdtext"/>
    <w:pPr>
      <w:shd w:val="clear" w:color="auto" w:fill="auto"/>
      <w:spacing w:after="120"/>
    </w:pPr>
    <w:rPr>
      <w:b w:val="0"/>
      <w:i/>
      <w:color w:val="auto"/>
      <w:spacing w:val="0"/>
      <w:sz w:val="14"/>
    </w:rPr>
  </w:style>
  <w:style w:type="paragraph" w:styleId="Brdtext">
    <w:name w:val="Body Text"/>
    <w:basedOn w:val="Normal"/>
    <w:semiHidden/>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1506</Words>
  <Characters>8936</Characters>
  <Application>Microsoft Office Word</Application>
  <DocSecurity>4</DocSecurity>
  <Lines>241</Lines>
  <Paragraphs>121</Paragraphs>
  <ScaleCrop>false</ScaleCrop>
  <HeadingPairs>
    <vt:vector size="4" baseType="variant">
      <vt:variant>
        <vt:lpstr>Title</vt:lpstr>
      </vt:variant>
      <vt:variant>
        <vt:i4>1</vt:i4>
      </vt:variant>
      <vt:variant>
        <vt:lpstr>Rubriker</vt:lpstr>
      </vt:variant>
      <vt:variant>
        <vt:i4>1</vt:i4>
      </vt:variant>
    </vt:vector>
  </HeadingPairs>
  <TitlesOfParts>
    <vt:vector size="2" baseType="lpstr">
      <vt:lpstr>Konstitutionsutskottets yttrande</vt:lpstr>
      <vt:lpstr/>
    </vt:vector>
  </TitlesOfParts>
  <Company>Riksdagen</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yttrande</dc:title>
  <dc:subject>Konstitutionsutskottets yttrande</dc:subject>
  <dc:creator>Riksdagen</dc:creator>
  <cp:keywords>Riksdagen</cp:keywords>
  <cp:lastModifiedBy>Lars Brink</cp:lastModifiedBy>
  <cp:revision>2</cp:revision>
  <cp:lastPrinted>2001-10-26T06:45:00Z</cp:lastPrinted>
  <dcterms:created xsi:type="dcterms:W3CDTF">2025-12-16T00:58:00Z</dcterms:created>
  <dcterms:modified xsi:type="dcterms:W3CDTF">2025-12-16T00:58:00Z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KU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