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9BAFC1D535482C9FC2AFE3DDDFF19E"/>
        </w:placeholder>
        <w:text/>
      </w:sdtPr>
      <w:sdtEndPr/>
      <w:sdtContent>
        <w:p w:rsidRPr="009B062B" w:rsidR="00AF30DD" w:rsidP="00DA28CE" w:rsidRDefault="00AF30DD" w14:paraId="175C335B" w14:textId="77777777">
          <w:pPr>
            <w:pStyle w:val="Rubrik1"/>
            <w:spacing w:after="300"/>
          </w:pPr>
          <w:r w:rsidRPr="009B062B">
            <w:t>Förslag till riksdagsbeslut</w:t>
          </w:r>
        </w:p>
      </w:sdtContent>
    </w:sdt>
    <w:sdt>
      <w:sdtPr>
        <w:alias w:val="Yrkande 1"/>
        <w:tag w:val="b68f677b-9cfc-4cfa-ab47-32a2c304451b"/>
        <w:id w:val="413444338"/>
        <w:lock w:val="sdtLocked"/>
      </w:sdtPr>
      <w:sdtEndPr/>
      <w:sdtContent>
        <w:p w:rsidR="00F72E72" w:rsidRDefault="009A0AA4" w14:paraId="175C335C" w14:textId="77777777">
          <w:pPr>
            <w:pStyle w:val="Frslagstext"/>
            <w:numPr>
              <w:ilvl w:val="0"/>
              <w:numId w:val="0"/>
            </w:numPr>
          </w:pPr>
          <w:r>
            <w:t>Riksdagen ställer sig bakom det som anförs i motionen om en översyn av barns rätt att testamentera sin kvarlåtenskap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53F5FB5A2141B4A0A14F396CDC66A9"/>
        </w:placeholder>
        <w:text/>
      </w:sdtPr>
      <w:sdtEndPr/>
      <w:sdtContent>
        <w:p w:rsidRPr="009B062B" w:rsidR="006D79C9" w:rsidP="00333E95" w:rsidRDefault="006D79C9" w14:paraId="175C335D" w14:textId="77777777">
          <w:pPr>
            <w:pStyle w:val="Rubrik1"/>
          </w:pPr>
          <w:r>
            <w:t>Motivering</w:t>
          </w:r>
        </w:p>
      </w:sdtContent>
    </w:sdt>
    <w:p w:rsidR="00C50F36" w:rsidP="00C50F36" w:rsidRDefault="00C50F36" w14:paraId="175C335E" w14:textId="3AD6F3F8">
      <w:pPr>
        <w:pStyle w:val="Normalutanindragellerluft"/>
      </w:pPr>
      <w:r>
        <w:t>I dagsläget ärvs ett barn per automatik vid en bortgång lika av bägge sina föräldrar, och det fi</w:t>
      </w:r>
      <w:r w:rsidR="0009371D">
        <w:t xml:space="preserve">nns ingen möjlighet för en icke </w:t>
      </w:r>
      <w:r>
        <w:t xml:space="preserve">myndig att via testamente skriva bort en eller bägge föräldrarna från arv. </w:t>
      </w:r>
    </w:p>
    <w:p w:rsidRPr="00C50F36" w:rsidR="00C50F36" w:rsidP="00C50F36" w:rsidRDefault="00C50F36" w14:paraId="175C335F" w14:textId="09E67031">
      <w:pPr>
        <w:pStyle w:val="Citat"/>
      </w:pPr>
      <w:r w:rsidRPr="00C50F36">
        <w:t>I 2</w:t>
      </w:r>
      <w:r w:rsidR="0009371D">
        <w:t> kap. 2 </w:t>
      </w:r>
      <w:r w:rsidRPr="00C50F36">
        <w:t xml:space="preserve">§ ärvdabalken står det: </w:t>
      </w:r>
    </w:p>
    <w:p w:rsidRPr="00C50F36" w:rsidR="00C50F36" w:rsidP="00C50F36" w:rsidRDefault="00C50F36" w14:paraId="175C3360" w14:textId="77777777">
      <w:pPr>
        <w:pStyle w:val="Citat"/>
      </w:pPr>
      <w:r w:rsidRPr="00C50F36">
        <w:t xml:space="preserve">Finns det inga bröstarvingar, tar arvlåtarens föräldrar hälften var av arvet. </w:t>
      </w:r>
    </w:p>
    <w:p w:rsidRPr="00C50F36" w:rsidR="00C50F36" w:rsidP="00C50F36" w:rsidRDefault="00C50F36" w14:paraId="175C3361" w14:textId="77777777">
      <w:pPr>
        <w:pStyle w:val="Citat"/>
      </w:pPr>
      <w:r w:rsidRPr="00C50F36">
        <w:t xml:space="preserve">Är någon av föräldrarna död, delar arvlåtarens syskon den förälderns lott. I ett avlidet syskons ställe träder dess avkomlingar, och varje gren tar lika lott. Finns det inga syskon eller avkomlingar till dem, men lever någon av arvlåtarens föräldrar, tar den föräldern hela arvet. </w:t>
      </w:r>
    </w:p>
    <w:p w:rsidRPr="00C50F36" w:rsidR="00C50F36" w:rsidP="00C50F36" w:rsidRDefault="00C50F36" w14:paraId="175C3362" w14:textId="77777777">
      <w:pPr>
        <w:pStyle w:val="Citat"/>
      </w:pPr>
      <w:r w:rsidRPr="00C50F36">
        <w:lastRenderedPageBreak/>
        <w:t xml:space="preserve">Finns det halvsyskon efter arvlåtaren, tar de tillsammans med helsyskon eller deras avkomlingar del i lott, som skulle ha tillfallit deras förälder. Finns det inga helsyskon, och är båda föräldrarna döda, tar arvlåtarens halvsyskon hela arvet. I ett avlidet halvsyskons ställe träder dess avkomlingar. Lag (2005:435). </w:t>
      </w:r>
    </w:p>
    <w:p w:rsidR="00C50F36" w:rsidP="008C1675" w:rsidRDefault="00C50F36" w14:paraId="175C3363" w14:textId="77777777">
      <w:pPr>
        <w:pStyle w:val="Normalutanindragellerluft"/>
        <w:spacing w:before="126"/>
      </w:pPr>
      <w:r>
        <w:t xml:space="preserve">De allra flesta barn har inga större tillgångar, är försörjda av sina föräldrar och känner inget behov av ett testamente. Men det finns också barn med väsentliga tillgångar, till exempel genom arv, som helt saknar kontakt med sina arvtagare. I vissa särskilda fall saknas en naturlig kontakt med föräldrar, och en eventuell arvtagare kan vara en person man valt att ta avstånd ifrån. </w:t>
      </w:r>
    </w:p>
    <w:p w:rsidRPr="00C50F36" w:rsidR="00422B9E" w:rsidP="00C50F36" w:rsidRDefault="00C50F36" w14:paraId="175C3364" w14:textId="77777777">
      <w:r w:rsidRPr="00C50F36">
        <w:t xml:space="preserve">För dessa särskilda fall bör en översyn göras av möjligheterna att upprätta ett testamente med hjälp av en god man, så att barnet tillåts att själv bestämma om sin kvarlåtenskap. </w:t>
      </w:r>
    </w:p>
    <w:bookmarkStart w:name="_GoBack" w:displacedByCustomXml="next" w:id="1"/>
    <w:bookmarkEnd w:displacedByCustomXml="next" w:id="1"/>
    <w:sdt>
      <w:sdtPr>
        <w:rPr>
          <w:i/>
          <w:noProof/>
        </w:rPr>
        <w:alias w:val="CC_Underskrifter"/>
        <w:tag w:val="CC_Underskrifter"/>
        <w:id w:val="583496634"/>
        <w:lock w:val="sdtContentLocked"/>
        <w:placeholder>
          <w:docPart w:val="5C8AF80FCB0D46ADB1890E594947F8DB"/>
        </w:placeholder>
      </w:sdtPr>
      <w:sdtEndPr>
        <w:rPr>
          <w:i w:val="0"/>
          <w:noProof w:val="0"/>
        </w:rPr>
      </w:sdtEndPr>
      <w:sdtContent>
        <w:p w:rsidR="00C66720" w:rsidP="00C66720" w:rsidRDefault="00C66720" w14:paraId="175C3366" w14:textId="77777777"/>
        <w:p w:rsidRPr="008E0FE2" w:rsidR="004801AC" w:rsidP="00C66720" w:rsidRDefault="008C1675" w14:paraId="175C33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0B632E" w:rsidRDefault="000B632E" w14:paraId="175C336B" w14:textId="77777777"/>
    <w:sectPr w:rsidR="000B63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336D" w14:textId="77777777" w:rsidR="00626A50" w:rsidRDefault="00626A50" w:rsidP="000C1CAD">
      <w:pPr>
        <w:spacing w:line="240" w:lineRule="auto"/>
      </w:pPr>
      <w:r>
        <w:separator/>
      </w:r>
    </w:p>
  </w:endnote>
  <w:endnote w:type="continuationSeparator" w:id="0">
    <w:p w14:paraId="175C336E" w14:textId="77777777" w:rsidR="00626A50" w:rsidRDefault="00626A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3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3374" w14:textId="42D17E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16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C336B" w14:textId="77777777" w:rsidR="00626A50" w:rsidRDefault="00626A50" w:rsidP="000C1CAD">
      <w:pPr>
        <w:spacing w:line="240" w:lineRule="auto"/>
      </w:pPr>
      <w:r>
        <w:separator/>
      </w:r>
    </w:p>
  </w:footnote>
  <w:footnote w:type="continuationSeparator" w:id="0">
    <w:p w14:paraId="175C336C" w14:textId="77777777" w:rsidR="00626A50" w:rsidRDefault="00626A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5C33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C337E" wp14:anchorId="175C33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1675" w14:paraId="175C3381" w14:textId="77777777">
                          <w:pPr>
                            <w:jc w:val="right"/>
                          </w:pPr>
                          <w:sdt>
                            <w:sdtPr>
                              <w:alias w:val="CC_Noformat_Partikod"/>
                              <w:tag w:val="CC_Noformat_Partikod"/>
                              <w:id w:val="-53464382"/>
                              <w:placeholder>
                                <w:docPart w:val="957226A4C5D74229B8D64BAF5A40D23A"/>
                              </w:placeholder>
                              <w:text/>
                            </w:sdtPr>
                            <w:sdtEndPr/>
                            <w:sdtContent>
                              <w:r w:rsidR="00C50F36">
                                <w:t>M</w:t>
                              </w:r>
                            </w:sdtContent>
                          </w:sdt>
                          <w:sdt>
                            <w:sdtPr>
                              <w:alias w:val="CC_Noformat_Partinummer"/>
                              <w:tag w:val="CC_Noformat_Partinummer"/>
                              <w:id w:val="-1709555926"/>
                              <w:placeholder>
                                <w:docPart w:val="CBAC2E0763AC44E7B1CA0737830B41FA"/>
                              </w:placeholder>
                              <w:text/>
                            </w:sdtPr>
                            <w:sdtEndPr/>
                            <w:sdtContent>
                              <w:r w:rsidR="00C50F36">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C33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1675" w14:paraId="175C3381" w14:textId="77777777">
                    <w:pPr>
                      <w:jc w:val="right"/>
                    </w:pPr>
                    <w:sdt>
                      <w:sdtPr>
                        <w:alias w:val="CC_Noformat_Partikod"/>
                        <w:tag w:val="CC_Noformat_Partikod"/>
                        <w:id w:val="-53464382"/>
                        <w:placeholder>
                          <w:docPart w:val="957226A4C5D74229B8D64BAF5A40D23A"/>
                        </w:placeholder>
                        <w:text/>
                      </w:sdtPr>
                      <w:sdtEndPr/>
                      <w:sdtContent>
                        <w:r w:rsidR="00C50F36">
                          <w:t>M</w:t>
                        </w:r>
                      </w:sdtContent>
                    </w:sdt>
                    <w:sdt>
                      <w:sdtPr>
                        <w:alias w:val="CC_Noformat_Partinummer"/>
                        <w:tag w:val="CC_Noformat_Partinummer"/>
                        <w:id w:val="-1709555926"/>
                        <w:placeholder>
                          <w:docPart w:val="CBAC2E0763AC44E7B1CA0737830B41FA"/>
                        </w:placeholder>
                        <w:text/>
                      </w:sdtPr>
                      <w:sdtEndPr/>
                      <w:sdtContent>
                        <w:r w:rsidR="00C50F36">
                          <w:t>1587</w:t>
                        </w:r>
                      </w:sdtContent>
                    </w:sdt>
                  </w:p>
                </w:txbxContent>
              </v:textbox>
              <w10:wrap anchorx="page"/>
            </v:shape>
          </w:pict>
        </mc:Fallback>
      </mc:AlternateContent>
    </w:r>
  </w:p>
  <w:p w:rsidRPr="00293C4F" w:rsidR="00262EA3" w:rsidP="00776B74" w:rsidRDefault="00262EA3" w14:paraId="175C33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5C3371" w14:textId="77777777">
    <w:pPr>
      <w:jc w:val="right"/>
    </w:pPr>
  </w:p>
  <w:p w:rsidR="00262EA3" w:rsidP="00776B74" w:rsidRDefault="00262EA3" w14:paraId="175C33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1675" w14:paraId="175C33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5C3380" wp14:anchorId="175C33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1675" w14:paraId="175C33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0F36">
          <w:t>M</w:t>
        </w:r>
      </w:sdtContent>
    </w:sdt>
    <w:sdt>
      <w:sdtPr>
        <w:alias w:val="CC_Noformat_Partinummer"/>
        <w:tag w:val="CC_Noformat_Partinummer"/>
        <w:id w:val="-2014525982"/>
        <w:text/>
      </w:sdtPr>
      <w:sdtEndPr/>
      <w:sdtContent>
        <w:r w:rsidR="00C50F36">
          <w:t>1587</w:t>
        </w:r>
      </w:sdtContent>
    </w:sdt>
  </w:p>
  <w:p w:rsidRPr="008227B3" w:rsidR="00262EA3" w:rsidP="008227B3" w:rsidRDefault="008C1675" w14:paraId="175C33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1675" w14:paraId="175C33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:2009</w:t>
        </w:r>
      </w:sdtContent>
    </w:sdt>
  </w:p>
  <w:p w:rsidR="00262EA3" w:rsidP="00E03A3D" w:rsidRDefault="008C1675" w14:paraId="175C3379"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C50F36" w14:paraId="175C337A" w14:textId="77777777">
        <w:pPr>
          <w:pStyle w:val="FSHRub2"/>
        </w:pPr>
        <w:r>
          <w:t>Barns rätt att testamentera sin kvarlåtenskap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75C33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0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71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32E"/>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3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66"/>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50"/>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FA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67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BB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A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CA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198"/>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174"/>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F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720"/>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6E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7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5C335A"/>
  <w15:chartTrackingRefBased/>
  <w15:docId w15:val="{10F47BEB-F909-4942-8858-DBEDF237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9BAFC1D535482C9FC2AFE3DDDFF19E"/>
        <w:category>
          <w:name w:val="Allmänt"/>
          <w:gallery w:val="placeholder"/>
        </w:category>
        <w:types>
          <w:type w:val="bbPlcHdr"/>
        </w:types>
        <w:behaviors>
          <w:behavior w:val="content"/>
        </w:behaviors>
        <w:guid w:val="{4DD55FB8-3C9D-4682-9F59-3482FB55D68E}"/>
      </w:docPartPr>
      <w:docPartBody>
        <w:p w:rsidR="004A533D" w:rsidRDefault="004A533D">
          <w:pPr>
            <w:pStyle w:val="229BAFC1D535482C9FC2AFE3DDDFF19E"/>
          </w:pPr>
          <w:r w:rsidRPr="005A0A93">
            <w:rPr>
              <w:rStyle w:val="Platshllartext"/>
            </w:rPr>
            <w:t>Förslag till riksdagsbeslut</w:t>
          </w:r>
        </w:p>
      </w:docPartBody>
    </w:docPart>
    <w:docPart>
      <w:docPartPr>
        <w:name w:val="0B53F5FB5A2141B4A0A14F396CDC66A9"/>
        <w:category>
          <w:name w:val="Allmänt"/>
          <w:gallery w:val="placeholder"/>
        </w:category>
        <w:types>
          <w:type w:val="bbPlcHdr"/>
        </w:types>
        <w:behaviors>
          <w:behavior w:val="content"/>
        </w:behaviors>
        <w:guid w:val="{B36C71CE-E1E6-4E2F-BB73-760BB6CA1AB9}"/>
      </w:docPartPr>
      <w:docPartBody>
        <w:p w:rsidR="004A533D" w:rsidRDefault="004A533D">
          <w:pPr>
            <w:pStyle w:val="0B53F5FB5A2141B4A0A14F396CDC66A9"/>
          </w:pPr>
          <w:r w:rsidRPr="005A0A93">
            <w:rPr>
              <w:rStyle w:val="Platshllartext"/>
            </w:rPr>
            <w:t>Motivering</w:t>
          </w:r>
        </w:p>
      </w:docPartBody>
    </w:docPart>
    <w:docPart>
      <w:docPartPr>
        <w:name w:val="957226A4C5D74229B8D64BAF5A40D23A"/>
        <w:category>
          <w:name w:val="Allmänt"/>
          <w:gallery w:val="placeholder"/>
        </w:category>
        <w:types>
          <w:type w:val="bbPlcHdr"/>
        </w:types>
        <w:behaviors>
          <w:behavior w:val="content"/>
        </w:behaviors>
        <w:guid w:val="{B1052221-D490-46F4-911B-D766C8FECE71}"/>
      </w:docPartPr>
      <w:docPartBody>
        <w:p w:rsidR="004A533D" w:rsidRDefault="004A533D">
          <w:pPr>
            <w:pStyle w:val="957226A4C5D74229B8D64BAF5A40D23A"/>
          </w:pPr>
          <w:r>
            <w:rPr>
              <w:rStyle w:val="Platshllartext"/>
            </w:rPr>
            <w:t xml:space="preserve"> </w:t>
          </w:r>
        </w:p>
      </w:docPartBody>
    </w:docPart>
    <w:docPart>
      <w:docPartPr>
        <w:name w:val="CBAC2E0763AC44E7B1CA0737830B41FA"/>
        <w:category>
          <w:name w:val="Allmänt"/>
          <w:gallery w:val="placeholder"/>
        </w:category>
        <w:types>
          <w:type w:val="bbPlcHdr"/>
        </w:types>
        <w:behaviors>
          <w:behavior w:val="content"/>
        </w:behaviors>
        <w:guid w:val="{C40DD6CB-D540-4DB6-BEAB-CD8D6602C2CE}"/>
      </w:docPartPr>
      <w:docPartBody>
        <w:p w:rsidR="004A533D" w:rsidRDefault="004A533D">
          <w:pPr>
            <w:pStyle w:val="CBAC2E0763AC44E7B1CA0737830B41FA"/>
          </w:pPr>
          <w:r>
            <w:t xml:space="preserve"> </w:t>
          </w:r>
        </w:p>
      </w:docPartBody>
    </w:docPart>
    <w:docPart>
      <w:docPartPr>
        <w:name w:val="5C8AF80FCB0D46ADB1890E594947F8DB"/>
        <w:category>
          <w:name w:val="Allmänt"/>
          <w:gallery w:val="placeholder"/>
        </w:category>
        <w:types>
          <w:type w:val="bbPlcHdr"/>
        </w:types>
        <w:behaviors>
          <w:behavior w:val="content"/>
        </w:behaviors>
        <w:guid w:val="{128932AB-D36A-432A-8581-D4779098DC33}"/>
      </w:docPartPr>
      <w:docPartBody>
        <w:p w:rsidR="002C5B91" w:rsidRDefault="002C5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3D"/>
    <w:rsid w:val="002C5B91"/>
    <w:rsid w:val="004A533D"/>
    <w:rsid w:val="005A0D77"/>
    <w:rsid w:val="00807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9BAFC1D535482C9FC2AFE3DDDFF19E">
    <w:name w:val="229BAFC1D535482C9FC2AFE3DDDFF19E"/>
  </w:style>
  <w:style w:type="paragraph" w:customStyle="1" w:styleId="7C026954DCD84B6D9492EEC57A69D4A5">
    <w:name w:val="7C026954DCD84B6D9492EEC57A69D4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4D500095444546B1DAAFF0CB7BEF6F">
    <w:name w:val="384D500095444546B1DAAFF0CB7BEF6F"/>
  </w:style>
  <w:style w:type="paragraph" w:customStyle="1" w:styleId="0B53F5FB5A2141B4A0A14F396CDC66A9">
    <w:name w:val="0B53F5FB5A2141B4A0A14F396CDC66A9"/>
  </w:style>
  <w:style w:type="paragraph" w:customStyle="1" w:styleId="7811D12585B84DBA9110C381C78DA568">
    <w:name w:val="7811D12585B84DBA9110C381C78DA568"/>
  </w:style>
  <w:style w:type="paragraph" w:customStyle="1" w:styleId="9E9A97FA9A334396A3D6294DCB396864">
    <w:name w:val="9E9A97FA9A334396A3D6294DCB396864"/>
  </w:style>
  <w:style w:type="paragraph" w:customStyle="1" w:styleId="957226A4C5D74229B8D64BAF5A40D23A">
    <w:name w:val="957226A4C5D74229B8D64BAF5A40D23A"/>
  </w:style>
  <w:style w:type="paragraph" w:customStyle="1" w:styleId="CBAC2E0763AC44E7B1CA0737830B41FA">
    <w:name w:val="CBAC2E0763AC44E7B1CA0737830B4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337C1-7635-405C-A59B-0040130C7569}"/>
</file>

<file path=customXml/itemProps2.xml><?xml version="1.0" encoding="utf-8"?>
<ds:datastoreItem xmlns:ds="http://schemas.openxmlformats.org/officeDocument/2006/customXml" ds:itemID="{69B0D362-38AD-4FE2-BE47-8BBFB515C376}"/>
</file>

<file path=customXml/itemProps3.xml><?xml version="1.0" encoding="utf-8"?>
<ds:datastoreItem xmlns:ds="http://schemas.openxmlformats.org/officeDocument/2006/customXml" ds:itemID="{4076D94C-130E-4A58-84D5-68BD75E75FBF}"/>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1441</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M1587 Barns rätt att testamentera sin kvarlåtenskap</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