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714490" w:rsidRPr="00932F5F" w:rsidRDefault="00714490">
            <w:pPr>
              <w:pStyle w:val="HuvudRubrik"/>
            </w:pPr>
            <w:r w:rsidRPr="00932F5F">
              <w:t>Regeringskansliet</w:t>
            </w:r>
          </w:p>
          <w:p w:rsidR="00714490" w:rsidRPr="00932F5F" w:rsidRDefault="00714490">
            <w:pPr>
              <w:pStyle w:val="HuvudRubrik"/>
            </w:pPr>
            <w:r w:rsidRPr="00932F5F">
              <w:t>Faktapromemoria 2007/08:FPM111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714490" w:rsidRPr="00932F5F" w:rsidRDefault="00714490">
            <w:pPr>
              <w:pStyle w:val="HuvudRubrik"/>
              <w:rPr>
                <w:sz w:val="28"/>
              </w:rPr>
            </w:pPr>
            <w:r w:rsidRPr="00932F5F">
              <w:t>Förordning om märkning och marknadsföring av foder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714490" w:rsidRPr="00932F5F" w:rsidRDefault="00714490">
            <w:pPr>
              <w:pStyle w:val="Departement"/>
              <w:rPr>
                <w:sz w:val="28"/>
              </w:rPr>
            </w:pPr>
            <w:r w:rsidRPr="00932F5F">
              <w:t>Jordbruksdepartementet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714490" w:rsidRPr="00932F5F" w:rsidRDefault="00714490">
            <w:pPr>
              <w:pStyle w:val="Dokumentdatum"/>
            </w:pPr>
            <w:r w:rsidRPr="00932F5F">
              <w:t>2008-05-23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714490" w:rsidRPr="00932F5F" w:rsidRDefault="00714490">
            <w:pPr>
              <w:pStyle w:val="Dokumentbeteckning"/>
            </w:pPr>
            <w:r w:rsidRPr="00932F5F">
              <w:t>Dokumentbeteckning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14490" w:rsidRPr="00932F5F" w:rsidRDefault="00714490">
            <w:bookmarkStart w:id="0" w:name="KomNr"/>
            <w:bookmarkEnd w:id="0"/>
            <w:r w:rsidRPr="00932F5F">
              <w:t>KOM(2008)124</w:t>
            </w:r>
          </w:p>
        </w:tc>
      </w:tr>
      <w:tr w:rsidR="00000000" w:rsidRPr="009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14490" w:rsidRPr="00932F5F" w:rsidRDefault="00714490">
            <w:pPr>
              <w:pStyle w:val="Dokumentbeteckning-titel"/>
            </w:pPr>
            <w:r w:rsidRPr="00932F5F">
              <w:t>Förslag till Europaparlamentets och rådets förordning om utsläppande på mar</w:t>
            </w:r>
            <w:r w:rsidRPr="00932F5F">
              <w:t>k</w:t>
            </w:r>
            <w:r w:rsidRPr="00932F5F">
              <w:t>naden och användning av foder</w:t>
            </w:r>
          </w:p>
        </w:tc>
      </w:tr>
    </w:tbl>
    <w:p w:rsidR="00714490" w:rsidRPr="00932F5F" w:rsidRDefault="00714490">
      <w:pPr>
        <w:pStyle w:val="Rubrik1"/>
        <w:numPr>
          <w:ilvl w:val="0"/>
          <w:numId w:val="0"/>
        </w:numPr>
      </w:pPr>
      <w:r w:rsidRPr="00932F5F">
        <w:t>Sammanfattning</w:t>
      </w:r>
    </w:p>
    <w:p w:rsidR="00714490" w:rsidRPr="00932F5F" w:rsidRDefault="00714490">
      <w:r w:rsidRPr="00932F5F">
        <w:t>Syftet med förslaget, som är ett led i kommissionens förenklingsprogram, är att konsolidera, revidera och modernisera foderlagstiftningen gällande mär</w:t>
      </w:r>
      <w:r w:rsidRPr="00932F5F">
        <w:t>k</w:t>
      </w:r>
      <w:r w:rsidRPr="00932F5F">
        <w:t>ning och avyttring av foder. Genom förslaget sammanförs bestämme</w:t>
      </w:r>
      <w:r w:rsidRPr="00932F5F">
        <w:t>l</w:t>
      </w:r>
      <w:r w:rsidRPr="00932F5F">
        <w:t>serna i ett flertal rådsdirektiv till en förordning. Förslaget har gen</w:t>
      </w:r>
      <w:r w:rsidRPr="00932F5F">
        <w:t>e</w:t>
      </w:r>
      <w:r w:rsidRPr="00932F5F">
        <w:t>rellt sett mottagits positivt av såväl berörda näringar som av medlemsstaterna. Regeringen välkomnar generellt sett förslaget men avser att efter genomförd remissb</w:t>
      </w:r>
      <w:r w:rsidRPr="00932F5F">
        <w:t>e</w:t>
      </w:r>
      <w:r w:rsidRPr="00932F5F">
        <w:t>handling återkomma med mera preciser</w:t>
      </w:r>
      <w:r w:rsidRPr="00932F5F">
        <w:t>a</w:t>
      </w:r>
      <w:r w:rsidRPr="00932F5F">
        <w:t>de synpunkter.</w:t>
      </w:r>
    </w:p>
    <w:p w:rsidR="00714490" w:rsidRPr="00932F5F" w:rsidRDefault="00714490">
      <w:pPr>
        <w:pStyle w:val="Rubrik1"/>
      </w:pPr>
      <w:r w:rsidRPr="00932F5F">
        <w:t>Förslaget</w:t>
      </w:r>
    </w:p>
    <w:p w:rsidR="00714490" w:rsidRPr="00932F5F" w:rsidRDefault="00714490">
      <w:pPr>
        <w:pStyle w:val="Rubrik2"/>
      </w:pPr>
      <w:r w:rsidRPr="00932F5F">
        <w:t>Ärendets bakgrund</w:t>
      </w:r>
    </w:p>
    <w:p w:rsidR="00714490" w:rsidRPr="00932F5F" w:rsidRDefault="00714490">
      <w:pPr>
        <w:spacing w:line="240" w:lineRule="auto"/>
      </w:pPr>
      <w:r w:rsidRPr="00932F5F">
        <w:t>Syftet med förslaget, som är ett led i kommissionens förenklingsprogram och ligger i linje med Lissabonstrategin, är att konsolidera, revidera och mode</w:t>
      </w:r>
      <w:r w:rsidRPr="00932F5F">
        <w:t>r</w:t>
      </w:r>
      <w:r w:rsidRPr="00932F5F">
        <w:t>nisera foderlagstiftningen. Genom förslaget sammanförs bestämmelserna i ett flertal rådsdirektiv, bl.a. 79/373/EEG om saluföring av foderblandningar, 96/25/EG om avyttring av foderblan</w:t>
      </w:r>
      <w:r w:rsidRPr="00932F5F">
        <w:t>d</w:t>
      </w:r>
      <w:r w:rsidRPr="00932F5F">
        <w:t>ningar, 82/471/EEG om vissa produkter som används i djurfoder och 93/74/EG om foder för särskilda näringsbehov, i en förordning. Förenklingen av lagstiftningen får inte medföra försämringar vare sig beträffande folkhälsoskyddet eller djurskyddet, men ska underlätta den inre marknadens funktion, minska den administrativa börd</w:t>
      </w:r>
      <w:r w:rsidRPr="00932F5F">
        <w:t>an för foderf</w:t>
      </w:r>
      <w:r w:rsidRPr="00932F5F">
        <w:t>ö</w:t>
      </w:r>
      <w:r w:rsidRPr="00932F5F">
        <w:t>retagarna och därmed öka livsmedelsindustrins konkurrenskraft samtidigt som globala aspekter beaktas.</w:t>
      </w:r>
    </w:p>
    <w:p w:rsidR="00714490" w:rsidRPr="00932F5F" w:rsidRDefault="00714490">
      <w:r w:rsidRPr="00932F5F">
        <w:t>Kommissionen presenterade sitt förslag den 4 mars 2008.</w:t>
      </w:r>
    </w:p>
    <w:p w:rsidR="00714490" w:rsidRPr="00932F5F" w:rsidRDefault="00714490">
      <w:pPr>
        <w:pStyle w:val="Rubrik2"/>
      </w:pPr>
      <w:r w:rsidRPr="00932F5F">
        <w:lastRenderedPageBreak/>
        <w:t>Förslagets innehåll</w:t>
      </w:r>
    </w:p>
    <w:p w:rsidR="00714490" w:rsidRPr="00932F5F" w:rsidRDefault="00714490">
      <w:r w:rsidRPr="00932F5F">
        <w:rPr>
          <w:u w:val="single"/>
        </w:rPr>
        <w:t>Inledande bestämmelser och allmänna villkor</w:t>
      </w:r>
    </w:p>
    <w:p w:rsidR="00714490" w:rsidRPr="00932F5F" w:rsidRDefault="00714490">
      <w:r w:rsidRPr="00932F5F">
        <w:t>Inledningsvis anges att den föreslagna förordningens syfte är att i enlighet med de principer som fastställs i förordning (EG) nr 178/2002, EU:s s.k. ”allmänna livsmedelslag”, harmonisera villkoren för utsläppande på markn</w:t>
      </w:r>
      <w:r w:rsidRPr="00932F5F">
        <w:t>a</w:t>
      </w:r>
      <w:r w:rsidRPr="00932F5F">
        <w:t>den och användningen av foder, så att tillräcklig användar- och konsumenti</w:t>
      </w:r>
      <w:r w:rsidRPr="00932F5F">
        <w:t>n</w:t>
      </w:r>
      <w:r w:rsidRPr="00932F5F">
        <w:t>formation samt en effektivt fungerande marknad säkerställs. Förordningens bestämmelser ska inte påverka andra gemenskapsbestämmelser som fas</w:t>
      </w:r>
      <w:r w:rsidRPr="00932F5F">
        <w:t>t</w:t>
      </w:r>
      <w:r w:rsidRPr="00932F5F">
        <w:t xml:space="preserve">ställts t.ex. i förordningarna (EG) nr 999/2001, den s.k. TSE-förordningen, eller (EG) 1774/2002, den s.k. ABP-förordningen (animaliska biprodukter). </w:t>
      </w:r>
    </w:p>
    <w:p w:rsidR="00714490" w:rsidRPr="00932F5F" w:rsidRDefault="00714490">
      <w:r w:rsidRPr="00932F5F">
        <w:t xml:space="preserve">Bland de allmänna villkor som anges kan nämnas att </w:t>
      </w:r>
    </w:p>
    <w:p w:rsidR="00714490" w:rsidRPr="00932F5F" w:rsidRDefault="00714490">
      <w:r w:rsidRPr="00932F5F">
        <w:t xml:space="preserve">• vid tillämpningen av förordningen ska vad som anges i EU:s allmänna </w:t>
      </w:r>
      <w:r w:rsidRPr="00932F5F">
        <w:tab/>
        <w:t>livsmedelslag om kraven på foder för livsmedelsproduc</w:t>
      </w:r>
      <w:r w:rsidRPr="00932F5F">
        <w:t>e</w:t>
      </w:r>
      <w:r w:rsidRPr="00932F5F">
        <w:t xml:space="preserve">rande djur, </w:t>
      </w:r>
      <w:r w:rsidRPr="00932F5F">
        <w:tab/>
        <w:t xml:space="preserve">innefattande tillverkarnas ansvar avseende inverkan på människors och </w:t>
      </w:r>
      <w:r w:rsidRPr="00932F5F">
        <w:tab/>
        <w:t>djurs hälsa, spårbarhet m.m. även gälla foder för icke liv</w:t>
      </w:r>
      <w:r w:rsidRPr="00932F5F">
        <w:t>s</w:t>
      </w:r>
      <w:r w:rsidRPr="00932F5F">
        <w:t>medelsproduce-</w:t>
      </w:r>
      <w:r w:rsidRPr="00932F5F">
        <w:tab/>
        <w:t>rande djur</w:t>
      </w:r>
    </w:p>
    <w:p w:rsidR="00714490" w:rsidRPr="00932F5F" w:rsidRDefault="00714490">
      <w:r w:rsidRPr="00932F5F">
        <w:t>• foder inte får ha några direkt negativa effekter på miljön</w:t>
      </w:r>
    </w:p>
    <w:p w:rsidR="00714490" w:rsidRPr="00932F5F" w:rsidRDefault="00714490">
      <w:r w:rsidRPr="00932F5F">
        <w:t xml:space="preserve">• kontrollerande myndighet ska kunna få tillgång till all information om </w:t>
      </w:r>
      <w:r w:rsidRPr="00932F5F">
        <w:tab/>
        <w:t>fodrens sammansättning</w:t>
      </w:r>
    </w:p>
    <w:p w:rsidR="00714490" w:rsidRPr="00932F5F" w:rsidRDefault="00714490">
      <w:r w:rsidRPr="00932F5F">
        <w:t>Utsläppande på marknaden av särskilda typer av foder</w:t>
      </w:r>
    </w:p>
    <w:p w:rsidR="00714490" w:rsidRPr="00932F5F" w:rsidRDefault="00714490">
      <w:r w:rsidRPr="00932F5F">
        <w:t>I förslaget anges bestämmelser för ”foder avsedda för särskilda näringsb</w:t>
      </w:r>
      <w:r w:rsidRPr="00932F5F">
        <w:t>e</w:t>
      </w:r>
      <w:r w:rsidRPr="00932F5F">
        <w:t>hov”, vilka är foder som fyller ett särskilt näringssyfte på grund av sin sa</w:t>
      </w:r>
      <w:r w:rsidRPr="00932F5F">
        <w:t>m</w:t>
      </w:r>
      <w:r w:rsidRPr="00932F5F">
        <w:t>mansättning eller den tillverkningsmetod som använts. Foder för särskilda näringsbehov kan godkännas efter ansökan till kommissionen, som vid b</w:t>
      </w:r>
      <w:r w:rsidRPr="00932F5F">
        <w:t>e</w:t>
      </w:r>
      <w:r w:rsidRPr="00932F5F">
        <w:t>hov ska överlämna ansökningsakten till Europeiska myndigheten för livsm</w:t>
      </w:r>
      <w:r w:rsidRPr="00932F5F">
        <w:t>e</w:t>
      </w:r>
      <w:r w:rsidRPr="00932F5F">
        <w:t>delssäkerhet (EFSA) för yttrande. Godkända foder avsedda för särskilda näringsbehov ska införas i en förteckning, som ska antas genom kommitt</w:t>
      </w:r>
      <w:r w:rsidRPr="00932F5F">
        <w:t>é</w:t>
      </w:r>
      <w:r w:rsidRPr="00932F5F">
        <w:t xml:space="preserve">förfarande. </w:t>
      </w:r>
    </w:p>
    <w:p w:rsidR="00714490" w:rsidRPr="00932F5F" w:rsidRDefault="00714490"/>
    <w:p w:rsidR="00714490" w:rsidRPr="00932F5F" w:rsidRDefault="00714490">
      <w:r w:rsidRPr="00932F5F">
        <w:t>Märkning, presentation och förpackning</w:t>
      </w:r>
    </w:p>
    <w:p w:rsidR="00714490" w:rsidRPr="00932F5F" w:rsidRDefault="00714490">
      <w:r w:rsidRPr="00932F5F">
        <w:t>Märkningsuppgifterna är väsentliga för foderanvändarna samt för spå</w:t>
      </w:r>
      <w:r w:rsidRPr="00932F5F">
        <w:t>r</w:t>
      </w:r>
      <w:r w:rsidRPr="00932F5F">
        <w:t>ning och kontrolländamål. Märkning och presentation av foder får inte utformas så att användaren vilseleds. Märkning och presentation av foder kan särskilt uppl</w:t>
      </w:r>
      <w:r w:rsidRPr="00932F5F">
        <w:t>y</w:t>
      </w:r>
      <w:r w:rsidRPr="00932F5F">
        <w:t>sa om att ett visst ämne förekommer i fodret eller inte, eller att fodret har särskilda näringsegenskaper, förutsatt att påståendet är objektivt och att det kan kontrolleras av behörig myndighet. Foder får emellertid inte tillskr</w:t>
      </w:r>
      <w:r w:rsidRPr="00932F5F">
        <w:t>i</w:t>
      </w:r>
      <w:r w:rsidRPr="00932F5F">
        <w:t>vas egensk</w:t>
      </w:r>
      <w:r w:rsidRPr="00932F5F">
        <w:t>a</w:t>
      </w:r>
      <w:r w:rsidRPr="00932F5F">
        <w:t>per som att det förebygger, behandlar eller botar sjukdom, eller att det har särskilda näringssyften andra än</w:t>
      </w:r>
      <w:r w:rsidRPr="00932F5F">
        <w:t xml:space="preserve"> vad som enligt ovan avses med ”foder a</w:t>
      </w:r>
      <w:r w:rsidRPr="00932F5F">
        <w:t>v</w:t>
      </w:r>
      <w:r w:rsidRPr="00932F5F">
        <w:t>sedda för särskilda näringssyften”. Ansvarig för märkningen är det företag som tillverkat fodret eller det företag som saluför de</w:t>
      </w:r>
      <w:r w:rsidRPr="00932F5F">
        <w:t>t</w:t>
      </w:r>
      <w:r w:rsidRPr="00932F5F">
        <w:t xml:space="preserve">samma. </w:t>
      </w:r>
    </w:p>
    <w:p w:rsidR="00714490" w:rsidRPr="00932F5F" w:rsidRDefault="00714490"/>
    <w:p w:rsidR="00714490" w:rsidRPr="00932F5F" w:rsidRDefault="00714490">
      <w:r w:rsidRPr="00932F5F">
        <w:t xml:space="preserve">Beträffande mera allmänna och </w:t>
      </w:r>
      <w:r w:rsidRPr="00932F5F">
        <w:rPr>
          <w:u w:val="single"/>
        </w:rPr>
        <w:t>obligatoriska</w:t>
      </w:r>
      <w:r w:rsidRPr="00932F5F">
        <w:t xml:space="preserve"> märkningsregler kan följande nämnas</w:t>
      </w:r>
    </w:p>
    <w:p w:rsidR="00714490" w:rsidRPr="00932F5F" w:rsidRDefault="00714490">
      <w:r w:rsidRPr="00932F5F">
        <w:t xml:space="preserve">• Typen av foder ska anges, dvs. om det är en foderråvara, helfoder eller </w:t>
      </w:r>
      <w:r w:rsidRPr="00932F5F">
        <w:tab/>
        <w:t>tilläggsfoder.</w:t>
      </w:r>
    </w:p>
    <w:p w:rsidR="00714490" w:rsidRPr="00932F5F" w:rsidRDefault="00714490">
      <w:r w:rsidRPr="00932F5F">
        <w:t>• Ingående fodertillsatser ska förtecknas.</w:t>
      </w:r>
    </w:p>
    <w:p w:rsidR="00714490" w:rsidRPr="00932F5F" w:rsidRDefault="00714490">
      <w:r w:rsidRPr="00932F5F">
        <w:t xml:space="preserve">• För foderblandningar ska den avsedda djurarten eller –kategorin anges </w:t>
      </w:r>
      <w:r w:rsidRPr="00932F5F">
        <w:tab/>
        <w:t>innefattande även användningsanvisningar.</w:t>
      </w:r>
    </w:p>
    <w:p w:rsidR="00714490" w:rsidRPr="00932F5F" w:rsidRDefault="00714490">
      <w:r w:rsidRPr="00932F5F">
        <w:t>• Det nuvarande märkningssystemet med s.k. obligatorisk ”öppen deklar</w:t>
      </w:r>
      <w:r w:rsidRPr="00932F5F">
        <w:t>a</w:t>
      </w:r>
      <w:r w:rsidRPr="00932F5F">
        <w:t>-</w:t>
      </w:r>
      <w:r w:rsidRPr="00932F5F">
        <w:tab/>
        <w:t xml:space="preserve">tion” för foderblandningar, dvs. att mängden av ingående råvaror ska </w:t>
      </w:r>
      <w:r w:rsidRPr="00932F5F">
        <w:tab/>
        <w:t>anges i procenttal (+/- 15 %), ändras till att respektive råv</w:t>
      </w:r>
      <w:r w:rsidRPr="00932F5F">
        <w:t>a</w:t>
      </w:r>
      <w:r w:rsidRPr="00932F5F">
        <w:t xml:space="preserve">ra ska anges i </w:t>
      </w:r>
      <w:r w:rsidRPr="00932F5F">
        <w:tab/>
        <w:t xml:space="preserve">fallande ordning efter vikt. – Viktsprocenten av ingående råvaror </w:t>
      </w:r>
      <w:r w:rsidRPr="00932F5F">
        <w:rPr>
          <w:u w:val="single"/>
        </w:rPr>
        <w:t>får</w:t>
      </w:r>
      <w:r w:rsidRPr="00932F5F">
        <w:t xml:space="preserve"> </w:t>
      </w:r>
      <w:r w:rsidRPr="00932F5F">
        <w:tab/>
        <w:t>dock, för den som så önskar, anges. - Ingående råvaror ska dock kvalit</w:t>
      </w:r>
      <w:r w:rsidRPr="00932F5F">
        <w:t>a</w:t>
      </w:r>
      <w:r w:rsidRPr="00932F5F">
        <w:t>-</w:t>
      </w:r>
      <w:r w:rsidRPr="00932F5F">
        <w:tab/>
        <w:t>tivt sett anges mera precist i förhållande till nuvarande märkningsregler.</w:t>
      </w:r>
    </w:p>
    <w:p w:rsidR="00714490" w:rsidRPr="00932F5F" w:rsidRDefault="00714490">
      <w:r w:rsidRPr="00932F5F">
        <w:t xml:space="preserve"> • Om inte ingående råvaror i en foderblandning för livsmedelsproduc</w:t>
      </w:r>
      <w:r w:rsidRPr="00932F5F">
        <w:t>e</w:t>
      </w:r>
      <w:r w:rsidRPr="00932F5F">
        <w:t>-</w:t>
      </w:r>
      <w:r w:rsidRPr="00932F5F">
        <w:tab/>
        <w:t xml:space="preserve">rande djur frivilligt redovisats i viktsprocent ska tillverkaren på begäran </w:t>
      </w:r>
      <w:r w:rsidRPr="00932F5F">
        <w:tab/>
        <w:t>lämna up</w:t>
      </w:r>
      <w:r w:rsidRPr="00932F5F">
        <w:t>p</w:t>
      </w:r>
      <w:r w:rsidRPr="00932F5F">
        <w:t xml:space="preserve">gifter om den kvantitativa sammansättningen i intervallet +/- </w:t>
      </w:r>
      <w:r w:rsidRPr="00932F5F">
        <w:tab/>
        <w:t>15 % av den verkliga sammansättningen, såvida inte fode</w:t>
      </w:r>
      <w:r w:rsidRPr="00932F5F">
        <w:t>r</w:t>
      </w:r>
      <w:r w:rsidRPr="00932F5F">
        <w:t xml:space="preserve">tillverkaren </w:t>
      </w:r>
      <w:r w:rsidRPr="00932F5F">
        <w:tab/>
        <w:t>bedömer sådan information som kommersiellt känslig och skulle inneb</w:t>
      </w:r>
      <w:r w:rsidRPr="00932F5F">
        <w:t>ä</w:t>
      </w:r>
      <w:r w:rsidRPr="00932F5F">
        <w:t>-</w:t>
      </w:r>
      <w:r w:rsidRPr="00932F5F">
        <w:tab/>
        <w:t>ra intrång på dennes immateriella rättigheter.</w:t>
      </w:r>
    </w:p>
    <w:p w:rsidR="00714490" w:rsidRPr="00932F5F" w:rsidRDefault="00714490">
      <w:r w:rsidRPr="00932F5F">
        <w:t xml:space="preserve">• Undantag från märkningsbestämmelserna i förordningen medges för t.ex. </w:t>
      </w:r>
      <w:r w:rsidRPr="00932F5F">
        <w:tab/>
        <w:t>de fall då en foderföretagare i primärproduktionen levererar foderråv</w:t>
      </w:r>
      <w:r w:rsidRPr="00932F5F">
        <w:t>a</w:t>
      </w:r>
      <w:r w:rsidRPr="00932F5F">
        <w:t xml:space="preserve">ror </w:t>
      </w:r>
      <w:r w:rsidRPr="00932F5F">
        <w:tab/>
        <w:t xml:space="preserve">till en annan primärproducent för användning i den egna produktionen. </w:t>
      </w:r>
    </w:p>
    <w:p w:rsidR="00714490" w:rsidRPr="00932F5F" w:rsidRDefault="00714490">
      <w:r w:rsidRPr="00932F5F">
        <w:t>Utöver de obligatoriska märkningskraven kan även foderblandningar mä</w:t>
      </w:r>
      <w:r w:rsidRPr="00932F5F">
        <w:t>r</w:t>
      </w:r>
      <w:r w:rsidRPr="00932F5F">
        <w:t xml:space="preserve">kas med vissa </w:t>
      </w:r>
      <w:r w:rsidRPr="00932F5F">
        <w:rPr>
          <w:u w:val="single"/>
        </w:rPr>
        <w:t>frivilliga</w:t>
      </w:r>
      <w:r w:rsidRPr="00932F5F">
        <w:t xml:space="preserve"> men specificerade uppgifter.</w:t>
      </w:r>
    </w:p>
    <w:p w:rsidR="00714490" w:rsidRPr="00932F5F" w:rsidRDefault="00714490"/>
    <w:p w:rsidR="00714490" w:rsidRPr="00932F5F" w:rsidRDefault="00714490">
      <w:r w:rsidRPr="00932F5F">
        <w:t>Gemenskapsförteckning över foderråvaror och geme</w:t>
      </w:r>
      <w:r w:rsidRPr="00932F5F">
        <w:t>n</w:t>
      </w:r>
      <w:r w:rsidRPr="00932F5F">
        <w:t>skapsriktlinjer för god märkningspraxis</w:t>
      </w:r>
    </w:p>
    <w:p w:rsidR="00714490" w:rsidRPr="00932F5F" w:rsidRDefault="00714490">
      <w:r w:rsidRPr="00932F5F">
        <w:t>I syfte att förbättra märkningen av foder ska en gemenskapsförteckning över foderråvaror upprättas. De förteckningar som finns i rådande geme</w:t>
      </w:r>
      <w:r w:rsidRPr="00932F5F">
        <w:t>n</w:t>
      </w:r>
      <w:r w:rsidRPr="00932F5F">
        <w:t>skapslagstiftning ska utgöra utgångspunkten i förteckningen, men beh</w:t>
      </w:r>
      <w:r w:rsidRPr="00932F5F">
        <w:t>ö</w:t>
      </w:r>
      <w:r w:rsidRPr="00932F5F">
        <w:t>ver uppdateras och kompletteras med råvaror som alltefte</w:t>
      </w:r>
      <w:r w:rsidRPr="00932F5F">
        <w:t>r</w:t>
      </w:r>
      <w:r w:rsidRPr="00932F5F">
        <w:t>som tas i bruk. För varje foderråvara ska uppgifter finnas om t.ex. namn, beskrivning av fode</w:t>
      </w:r>
      <w:r w:rsidRPr="00932F5F">
        <w:t>r</w:t>
      </w:r>
      <w:r w:rsidRPr="00932F5F">
        <w:t>råvaran inklusive tillverkningsprocess och särskilda näringsmässiga ege</w:t>
      </w:r>
      <w:r w:rsidRPr="00932F5F">
        <w:t>n</w:t>
      </w:r>
      <w:r w:rsidRPr="00932F5F">
        <w:t>skaper.</w:t>
      </w:r>
    </w:p>
    <w:p w:rsidR="00714490" w:rsidRPr="00932F5F" w:rsidRDefault="00714490">
      <w:r w:rsidRPr="00932F5F">
        <w:t>Genom uppmuntran från kommissionen ska även gemenskapsriktlinjer för god märkningspraxis utarbetas, dels för sällskapsdjur, dels för livsmedel</w:t>
      </w:r>
      <w:r w:rsidRPr="00932F5F">
        <w:t>s</w:t>
      </w:r>
      <w:r w:rsidRPr="00932F5F">
        <w:t>producerande djur. Dessa riktlinjer avser den frivilliga märkningen av foder.</w:t>
      </w:r>
    </w:p>
    <w:p w:rsidR="00714490" w:rsidRPr="00932F5F" w:rsidRDefault="00714490">
      <w:r w:rsidRPr="00932F5F">
        <w:t>Gemenskapsförteckningen över foderråvaror och riktlinjerna för god mär</w:t>
      </w:r>
      <w:r w:rsidRPr="00932F5F">
        <w:t>k</w:t>
      </w:r>
      <w:r w:rsidRPr="00932F5F">
        <w:t>ningspraxis ska utarbetas och u</w:t>
      </w:r>
      <w:r w:rsidRPr="00932F5F">
        <w:t>t</w:t>
      </w:r>
      <w:r w:rsidRPr="00932F5F">
        <w:t>vecklas i samråd med företrädare för den europeiska foderbranschen, berörda myndigheter i medlemsstaterna, EFSA och andra berörda parter, t.ex. fode</w:t>
      </w:r>
      <w:r w:rsidRPr="00932F5F">
        <w:t>r</w:t>
      </w:r>
      <w:r w:rsidRPr="00932F5F">
        <w:t>användarna. Kommissionen ska genom kommittéförfarande godkänna förteckningen och märkningsriktli</w:t>
      </w:r>
      <w:r w:rsidRPr="00932F5F">
        <w:t>n</w:t>
      </w:r>
      <w:r w:rsidRPr="00932F5F">
        <w:t>jerna.</w:t>
      </w:r>
    </w:p>
    <w:p w:rsidR="00714490" w:rsidRPr="00932F5F" w:rsidRDefault="00714490"/>
    <w:p w:rsidR="00714490" w:rsidRPr="00932F5F" w:rsidRDefault="00714490">
      <w:r w:rsidRPr="00932F5F">
        <w:t>Allmänna bestämmelser och slutbestämmelser</w:t>
      </w:r>
    </w:p>
    <w:p w:rsidR="00714490" w:rsidRPr="00932F5F" w:rsidRDefault="00714490">
      <w:r w:rsidRPr="00932F5F">
        <w:t>Medlemsstaterna ska fastställa regler om ekonomiska påföljder vid övertr</w:t>
      </w:r>
      <w:r w:rsidRPr="00932F5F">
        <w:t>ä</w:t>
      </w:r>
      <w:r w:rsidRPr="00932F5F">
        <w:t xml:space="preserve">delse av bestämmelserna i förordningen. Påföljderna ska vara effektiva, proportionella och avskräckande. </w:t>
      </w:r>
    </w:p>
    <w:p w:rsidR="00714490" w:rsidRPr="00932F5F" w:rsidRDefault="00714490"/>
    <w:p w:rsidR="00714490" w:rsidRPr="00932F5F" w:rsidRDefault="00714490">
      <w:r w:rsidRPr="00932F5F">
        <w:rPr>
          <w:rStyle w:val="Rubrik2Char"/>
        </w:rPr>
        <w:t>1.3</w:t>
      </w:r>
      <w:r w:rsidRPr="00932F5F">
        <w:rPr>
          <w:rStyle w:val="Rubrik2Char"/>
        </w:rPr>
        <w:tab/>
        <w:t>Gällande svenska regler och förslagets effekt på de</w:t>
      </w:r>
      <w:r w:rsidRPr="00932F5F">
        <w:rPr>
          <w:rStyle w:val="Rubrik2Char"/>
        </w:rPr>
        <w:t>s</w:t>
      </w:r>
      <w:r w:rsidRPr="00932F5F">
        <w:rPr>
          <w:rStyle w:val="Rubrik2Char"/>
        </w:rPr>
        <w:t>sa</w:t>
      </w:r>
    </w:p>
    <w:p w:rsidR="00714490" w:rsidRPr="00932F5F" w:rsidRDefault="00714490">
      <w:r w:rsidRPr="00932F5F">
        <w:t>Lagstiftningen om märkning och utsläppande av foder på marknaden är redan i dag harmoniserad inom EU och regleras genom direktiv som upphävs i och med att förordningen träder i kraft. Genom att förslaget är i form av en förordning blir den direkt tillämplig i medlemsstaterna och beh</w:t>
      </w:r>
      <w:r w:rsidRPr="00932F5F">
        <w:t>ö</w:t>
      </w:r>
      <w:r w:rsidRPr="00932F5F">
        <w:t xml:space="preserve">ver alltså inte överföras till nationell lagstiftning. </w:t>
      </w:r>
    </w:p>
    <w:p w:rsidR="00714490" w:rsidRPr="00932F5F" w:rsidRDefault="00714490">
      <w:pPr>
        <w:pStyle w:val="Rubrik2"/>
        <w:numPr>
          <w:ilvl w:val="0"/>
          <w:numId w:val="0"/>
        </w:numPr>
        <w:ind w:left="567" w:hanging="567"/>
      </w:pPr>
      <w:r w:rsidRPr="00932F5F">
        <w:t>1.4</w:t>
      </w:r>
      <w:r w:rsidRPr="00932F5F">
        <w:tab/>
        <w:t>Budgetära konsekvenser / Konsekvensanalys</w:t>
      </w:r>
    </w:p>
    <w:p w:rsidR="00714490" w:rsidRPr="00932F5F" w:rsidRDefault="00714490">
      <w:r w:rsidRPr="00932F5F">
        <w:t>Förslaget har inga budgetära konsekvenser varken på EU- eller nationell nivå.</w:t>
      </w:r>
    </w:p>
    <w:p w:rsidR="00714490" w:rsidRPr="00932F5F" w:rsidRDefault="00714490">
      <w:pPr>
        <w:pStyle w:val="Rubrik1"/>
      </w:pPr>
      <w:r w:rsidRPr="00932F5F">
        <w:t>Ståndpunkter</w:t>
      </w:r>
    </w:p>
    <w:p w:rsidR="00714490" w:rsidRPr="00932F5F" w:rsidRDefault="00714490">
      <w:pPr>
        <w:pStyle w:val="Rubrik2"/>
      </w:pPr>
      <w:r w:rsidRPr="00932F5F">
        <w:t>Preliminär svensk ståndpunkt</w:t>
      </w:r>
    </w:p>
    <w:p w:rsidR="00714490" w:rsidRPr="00932F5F" w:rsidRDefault="00714490">
      <w:r w:rsidRPr="00932F5F">
        <w:t>Regeringen stöder förslagets syfte om en harmoniserad lagstiftning på fode</w:t>
      </w:r>
      <w:r w:rsidRPr="00932F5F">
        <w:t>r</w:t>
      </w:r>
      <w:r w:rsidRPr="00932F5F">
        <w:t>området för att förbättra det europeiska jordbrukets konkurrenskraft och därmed ekonomi, med minskad administrativ börda för berörda näringsgr</w:t>
      </w:r>
      <w:r w:rsidRPr="00932F5F">
        <w:t>e</w:t>
      </w:r>
      <w:r w:rsidRPr="00932F5F">
        <w:t xml:space="preserve">nar och med bibehållen nivå på foder- och livsmedelssäkerheten. </w:t>
      </w:r>
    </w:p>
    <w:p w:rsidR="00714490" w:rsidRPr="00932F5F" w:rsidRDefault="00714490">
      <w:r w:rsidRPr="00932F5F">
        <w:t>Regeringen välkomnar förslaget och anser det vara viktigt att berörda delar av foderlagstiftningen uppdateras i syfte att förenkla och modernisera de</w:t>
      </w:r>
      <w:r w:rsidRPr="00932F5F">
        <w:t>n</w:t>
      </w:r>
      <w:r w:rsidRPr="00932F5F">
        <w:t>samma, samtidigt som den anpassas till de principer som antagits genom den allmä</w:t>
      </w:r>
      <w:r w:rsidRPr="00932F5F">
        <w:t>n</w:t>
      </w:r>
      <w:r w:rsidRPr="00932F5F">
        <w:t>na livsmedelslagen, förordning (EG) nr 178/2002.</w:t>
      </w:r>
    </w:p>
    <w:p w:rsidR="00714490" w:rsidRPr="00932F5F" w:rsidRDefault="00714490">
      <w:r w:rsidRPr="00932F5F">
        <w:t>Regeringen stöder att märkningsbestämmelserna för foderblandningar fö</w:t>
      </w:r>
      <w:r w:rsidRPr="00932F5F">
        <w:t>r</w:t>
      </w:r>
      <w:r w:rsidRPr="00932F5F">
        <w:t>enklas och att det av säkerhetsskäl är viktigare att benämningen på de ing</w:t>
      </w:r>
      <w:r w:rsidRPr="00932F5F">
        <w:t>å</w:t>
      </w:r>
      <w:r w:rsidRPr="00932F5F">
        <w:t>ende råvaro</w:t>
      </w:r>
      <w:r w:rsidRPr="00932F5F">
        <w:t>r</w:t>
      </w:r>
      <w:r w:rsidRPr="00932F5F">
        <w:t>na preciseras än att den procentuella sammansättningen anges. Detta är i linje med förslaget. Regeringen stöder vidare att branschen, dvs. fode</w:t>
      </w:r>
      <w:r w:rsidRPr="00932F5F">
        <w:t>r</w:t>
      </w:r>
      <w:r w:rsidRPr="00932F5F">
        <w:t>tillverkarna och foderanvändarna i större utsträckning ansvarar för att rik</w:t>
      </w:r>
      <w:r w:rsidRPr="00932F5F">
        <w:t>t</w:t>
      </w:r>
      <w:r w:rsidRPr="00932F5F">
        <w:t>linjer tas fram beträffande den frivilliga märkningen av foder, samt att listor upprättas över de foderråvaror som används vid tillverkning av foder. Ytterligare synpunkter kommer att redovisas när inkomn</w:t>
      </w:r>
      <w:r w:rsidRPr="00932F5F">
        <w:t>a remissvar har bearb</w:t>
      </w:r>
      <w:r w:rsidRPr="00932F5F">
        <w:t>e</w:t>
      </w:r>
      <w:r w:rsidRPr="00932F5F">
        <w:t>tats.</w:t>
      </w:r>
    </w:p>
    <w:p w:rsidR="00714490" w:rsidRPr="00932F5F" w:rsidRDefault="00714490">
      <w:pPr>
        <w:pStyle w:val="Rubrik2"/>
      </w:pPr>
      <w:r w:rsidRPr="00932F5F">
        <w:t>Medlemsstaternas ståndpunkter</w:t>
      </w:r>
    </w:p>
    <w:p w:rsidR="00714490" w:rsidRPr="00932F5F" w:rsidRDefault="00714490">
      <w:r w:rsidRPr="00932F5F">
        <w:t>Generellt sett har förslagit mottagits väl av medlemsstaterna.</w:t>
      </w:r>
    </w:p>
    <w:p w:rsidR="00714490" w:rsidRPr="00932F5F" w:rsidRDefault="00714490">
      <w:pPr>
        <w:pStyle w:val="Rubrik2"/>
      </w:pPr>
      <w:r w:rsidRPr="00932F5F">
        <w:t>Institutionernas ståndpunkter</w:t>
      </w:r>
    </w:p>
    <w:p w:rsidR="00714490" w:rsidRPr="00932F5F" w:rsidRDefault="00714490">
      <w:r w:rsidRPr="00932F5F">
        <w:t>Institutionernas ståndpunkter, förutom kommissionens, är för närv</w:t>
      </w:r>
      <w:r w:rsidRPr="00932F5F">
        <w:t>a</w:t>
      </w:r>
      <w:r w:rsidRPr="00932F5F">
        <w:t>rande inte kända.</w:t>
      </w:r>
    </w:p>
    <w:p w:rsidR="00714490" w:rsidRPr="00932F5F" w:rsidRDefault="00714490">
      <w:pPr>
        <w:pStyle w:val="Rubrik2"/>
      </w:pPr>
      <w:r w:rsidRPr="00932F5F">
        <w:t>Remissinstansernas ståndpunkter</w:t>
      </w:r>
    </w:p>
    <w:p w:rsidR="00714490" w:rsidRPr="00932F5F" w:rsidRDefault="00714490">
      <w:r w:rsidRPr="00932F5F">
        <w:t xml:space="preserve">Förslaget remissbehandlas för närvarande av Statens jordbruksverk. Allmänt kan dock konstateras att förslaget har mottagits positivt av foderbranschen. </w:t>
      </w:r>
    </w:p>
    <w:p w:rsidR="00714490" w:rsidRPr="00932F5F" w:rsidRDefault="00714490">
      <w:pPr>
        <w:pStyle w:val="Rubrik1"/>
      </w:pPr>
      <w:r w:rsidRPr="00932F5F">
        <w:t>Förslagets förutsättningar</w:t>
      </w:r>
    </w:p>
    <w:p w:rsidR="00714490" w:rsidRPr="00932F5F" w:rsidRDefault="00714490">
      <w:pPr>
        <w:pStyle w:val="Rubrik2"/>
      </w:pPr>
      <w:r w:rsidRPr="00932F5F">
        <w:t>Rättslig grund och beslutsförfarande</w:t>
      </w:r>
    </w:p>
    <w:p w:rsidR="00714490" w:rsidRPr="00932F5F" w:rsidRDefault="00714490">
      <w:r w:rsidRPr="00932F5F">
        <w:t>Artiklarna 37 och 152.4b i EG-fördraget utgör rättslig grund. Beslut fattas  av rådet med kvalificerad majoritet och med medbeslutande av Europapa</w:t>
      </w:r>
      <w:r w:rsidRPr="00932F5F">
        <w:t>r</w:t>
      </w:r>
      <w:r w:rsidRPr="00932F5F">
        <w:t>lamentet, i enlighet med artikel 251 i fördraget.</w:t>
      </w:r>
    </w:p>
    <w:p w:rsidR="00714490" w:rsidRPr="00932F5F" w:rsidRDefault="00714490">
      <w:pPr>
        <w:pStyle w:val="Rubrik2"/>
      </w:pPr>
      <w:r w:rsidRPr="00932F5F">
        <w:t>Subsidiaritets- och proportionalitetsprincipen</w:t>
      </w:r>
    </w:p>
    <w:p w:rsidR="00714490" w:rsidRPr="00932F5F" w:rsidRDefault="00714490">
      <w:r w:rsidRPr="00932F5F">
        <w:t>Huvudsyftet med gemenskapsåtgärderna är att fastställa villkor för avyttring och användning av foder inom EU, då detta inte är något som kan regleras genom nationell lagstiftning om den inre mar</w:t>
      </w:r>
      <w:r w:rsidRPr="00932F5F">
        <w:t>k</w:t>
      </w:r>
      <w:r w:rsidRPr="00932F5F">
        <w:t>naden ska fungera smidigt. Att bestämmelserna läggs fast i form av en förordning motiveras av att skillnader i hur direktiv genomförs i olika medlemsstater utgör hinder för den fria rö</w:t>
      </w:r>
      <w:r w:rsidRPr="00932F5F">
        <w:t>r</w:t>
      </w:r>
      <w:r w:rsidRPr="00932F5F">
        <w:t>ligheten för foder. Gemenskapsåtgä</w:t>
      </w:r>
      <w:r w:rsidRPr="00932F5F">
        <w:t>r</w:t>
      </w:r>
      <w:r w:rsidRPr="00932F5F">
        <w:t>derna syftar dessutom till att förbättra det europeiska jordbrukets produktivitet samt konkurrenskraft, och därmed inkomster, genom enhetliga produktionsförutsättningar. Gemenskapsåtgä</w:t>
      </w:r>
      <w:r w:rsidRPr="00932F5F">
        <w:t>r</w:t>
      </w:r>
      <w:r w:rsidRPr="00932F5F">
        <w:t>derna ska resultera i likartade nivåer på foder- och livsmedelsäkerheten i me</w:t>
      </w:r>
      <w:r w:rsidRPr="00932F5F">
        <w:t>d</w:t>
      </w:r>
      <w:r w:rsidRPr="00932F5F">
        <w:t>lemsstaterna. Förslaget är d</w:t>
      </w:r>
      <w:r w:rsidRPr="00932F5F">
        <w:t>ärför, anför kommissionen, förenligt med subs</w:t>
      </w:r>
      <w:r w:rsidRPr="00932F5F">
        <w:t>i</w:t>
      </w:r>
      <w:r w:rsidRPr="00932F5F">
        <w:t xml:space="preserve">diaritetsprincipen. </w:t>
      </w:r>
    </w:p>
    <w:p w:rsidR="00714490" w:rsidRPr="00932F5F" w:rsidRDefault="00714490">
      <w:r w:rsidRPr="00932F5F">
        <w:t>Förslaget innebär harmonisering av bestämmelserna för saluföring och a</w:t>
      </w:r>
      <w:r w:rsidRPr="00932F5F">
        <w:t>n</w:t>
      </w:r>
      <w:r w:rsidRPr="00932F5F">
        <w:t>vändning av foder och bidrar därmed till en fungerande fodersektor inom EU. Enligt kommissionen har de föreslagna åtgärdernas förväntade för- och nackdelar jämförts, hela tiden med bibehållen foder- och livsmedelss</w:t>
      </w:r>
      <w:r w:rsidRPr="00932F5F">
        <w:t>ä</w:t>
      </w:r>
      <w:r w:rsidRPr="00932F5F">
        <w:t>kerhet i åtanke, under beaktande av att de inte ska innebära orimligt stora eller omotiverade administrativa bördor. Kommissionen påpekar att om harmon</w:t>
      </w:r>
      <w:r w:rsidRPr="00932F5F">
        <w:t>i</w:t>
      </w:r>
      <w:r w:rsidRPr="00932F5F">
        <w:t>seringen inte genomförs bibehålls de nationella saluförings- och produ</w:t>
      </w:r>
      <w:r w:rsidRPr="00932F5F">
        <w:t>k</w:t>
      </w:r>
      <w:r w:rsidRPr="00932F5F">
        <w:t>tionsbestämmelserna innebärande, i jämförelse med förslagets bestämmelser</w:t>
      </w:r>
      <w:r w:rsidRPr="00932F5F">
        <w:t>, en högre administr</w:t>
      </w:r>
      <w:r w:rsidRPr="00932F5F">
        <w:t>a</w:t>
      </w:r>
      <w:r w:rsidRPr="00932F5F">
        <w:t xml:space="preserve">tiv börda. </w:t>
      </w:r>
    </w:p>
    <w:p w:rsidR="00714490" w:rsidRPr="00932F5F" w:rsidRDefault="00714490">
      <w:pPr>
        <w:pStyle w:val="Rubrik1"/>
      </w:pPr>
      <w:r w:rsidRPr="00932F5F">
        <w:t>Övrigt</w:t>
      </w:r>
    </w:p>
    <w:p w:rsidR="00714490" w:rsidRPr="00932F5F" w:rsidRDefault="00714490">
      <w:pPr>
        <w:pStyle w:val="Rubrik2"/>
      </w:pPr>
      <w:r w:rsidRPr="00932F5F">
        <w:t>Fortsatt behandling av ärendet</w:t>
      </w:r>
    </w:p>
    <w:p w:rsidR="00714490" w:rsidRPr="00932F5F" w:rsidRDefault="00714490">
      <w:r w:rsidRPr="00932F5F">
        <w:t>Förslaget är för närvarande under remissbehandling i Sverige. Det första rådsarbetsgruppsmötet genomfördes den 21 april, då kommissionen present</w:t>
      </w:r>
      <w:r w:rsidRPr="00932F5F">
        <w:t>e</w:t>
      </w:r>
      <w:r w:rsidRPr="00932F5F">
        <w:t>rade förslaget och medlemsstaterna bereddes möjlighet att ge ett första utl</w:t>
      </w:r>
      <w:r w:rsidRPr="00932F5F">
        <w:t>å</w:t>
      </w:r>
      <w:r w:rsidRPr="00932F5F">
        <w:t>tande. Arbetet i råd</w:t>
      </w:r>
      <w:r w:rsidRPr="00932F5F">
        <w:t>s</w:t>
      </w:r>
      <w:r w:rsidRPr="00932F5F">
        <w:t>arbetsgruppen kommer sannolikt att fortsätta under såväl det franska som det tjeckiska ordf</w:t>
      </w:r>
      <w:r w:rsidRPr="00932F5F">
        <w:t>ö</w:t>
      </w:r>
      <w:r w:rsidRPr="00932F5F">
        <w:t>randeskapet.</w:t>
      </w:r>
    </w:p>
    <w:p w:rsidR="00714490" w:rsidRPr="00932F5F" w:rsidRDefault="00714490">
      <w:pPr>
        <w:pStyle w:val="Rubrik2"/>
      </w:pPr>
      <w:r w:rsidRPr="00932F5F">
        <w:t>Fackuttryck / termer</w:t>
      </w:r>
    </w:p>
    <w:sectPr w:rsidR="00714490" w:rsidRPr="00932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490" w:rsidRPr="00932F5F" w:rsidRDefault="00714490">
      <w:r w:rsidRPr="00932F5F">
        <w:separator/>
      </w:r>
    </w:p>
  </w:endnote>
  <w:endnote w:type="continuationSeparator" w:id="0">
    <w:p w:rsidR="00714490" w:rsidRPr="00932F5F" w:rsidRDefault="00714490">
      <w:r w:rsidRPr="00932F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7144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714490">
    <w:pPr>
      <w:pStyle w:val="SidfotH"/>
      <w:framePr w:wrap="around"/>
    </w:pPr>
    <w:r w:rsidRPr="00932F5F">
      <w:t>2</w:t>
    </w:r>
  </w:p>
  <w:p w:rsidR="00714490" w:rsidRPr="00932F5F" w:rsidRDefault="007144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714490">
    <w:pPr>
      <w:pStyle w:val="SidfotH"/>
      <w:framePr w:wrap="around"/>
    </w:pPr>
    <w:r w:rsidRPr="00932F5F">
      <w:t>1</w:t>
    </w:r>
  </w:p>
  <w:p w:rsidR="00714490" w:rsidRPr="00932F5F" w:rsidRDefault="007144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490" w:rsidRPr="00932F5F" w:rsidRDefault="00714490">
      <w:r w:rsidRPr="00932F5F">
        <w:separator/>
      </w:r>
    </w:p>
  </w:footnote>
  <w:footnote w:type="continuationSeparator" w:id="0">
    <w:p w:rsidR="00714490" w:rsidRPr="00932F5F" w:rsidRDefault="00714490">
      <w:r w:rsidRPr="00932F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7144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714490">
    <w:pPr>
      <w:pStyle w:val="Kantrubrik"/>
      <w:framePr w:h="1157" w:hRule="exact" w:wrap="around" w:y="738"/>
    </w:pPr>
    <w:r w:rsidRPr="00932F5F">
      <w:t>2007/08:FPM111</w:t>
    </w:r>
  </w:p>
  <w:p w:rsidR="00714490" w:rsidRPr="00932F5F" w:rsidRDefault="007144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490" w:rsidRPr="00932F5F" w:rsidRDefault="00932F5F">
    <w:pPr>
      <w:pStyle w:val="Sidhuvud"/>
    </w:pPr>
    <w:r w:rsidRPr="00932F5F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8049420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490" w:rsidRDefault="00714490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9541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714490" w:rsidRDefault="00714490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95410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35014445">
    <w:abstractNumId w:val="4"/>
  </w:num>
  <w:num w:numId="2" w16cid:durableId="787622308">
    <w:abstractNumId w:val="1"/>
  </w:num>
  <w:num w:numId="3" w16cid:durableId="726029187">
    <w:abstractNumId w:val="2"/>
  </w:num>
  <w:num w:numId="4" w16cid:durableId="104665401">
    <w:abstractNumId w:val="3"/>
  </w:num>
  <w:num w:numId="5" w16cid:durableId="1775899015">
    <w:abstractNumId w:val="5"/>
  </w:num>
  <w:num w:numId="6" w16cid:durableId="24900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8-05-23"/>
    <w:docVar w:name="Ar" w:val="2007/08"/>
    <w:docVar w:name="Dep" w:val="Jordbruksdepartementet"/>
    <w:docVar w:name="DepWeb" w:val="Jordbruksdepartementet"/>
    <w:docVar w:name="GDB1" w:val="KOM(2008)124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förordning om utsläppande på marknaden och användning av foder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8)124"/>
    <w:docVar w:name="Nr" w:val="111"/>
    <w:docVar w:name="RD_APPVERSION" w:val="3.00"/>
    <w:docVar w:name="Rub" w:val="Förordning om märkning och marknadsföring av foder"/>
    <w:docVar w:name="UppDat" w:val="2008-05-23"/>
    <w:docVar w:name="Utsk" w:val="Miljö- och jordbruksutskottet"/>
  </w:docVars>
  <w:rsids>
    <w:rsidRoot w:val="002A184A"/>
    <w:rsid w:val="002A184A"/>
    <w:rsid w:val="00714490"/>
    <w:rsid w:val="009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0A751B-C814-4E1D-821E-5EB6118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link w:val="Rubrik2Char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Pr>
      <w:sz w:val="28"/>
      <w:lang w:val="sv-SE" w:eastAsia="sv-SE" w:bidi="ar-SA"/>
    </w:rPr>
  </w:style>
  <w:style w:type="character" w:customStyle="1" w:styleId="Rubrik2Char">
    <w:name w:val="Rubrik 2 Char"/>
    <w:basedOn w:val="Rubrik1Char"/>
    <w:link w:val="Rubrik2"/>
    <w:rPr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0203aa\Application%20Data\Microsoft\Mallar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1439</Words>
  <Characters>9831</Characters>
  <Application>Microsoft Office Word</Application>
  <DocSecurity>4</DocSecurity>
  <Lines>196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FPM_200708__111</vt:lpstr>
    </vt:vector>
  </TitlesOfParts>
  <Company>RD-DTSL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FPM_200708__111</dc:title>
  <dc:subject>FPM_200708__111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2008-05-23T14:37:00Z</cp:lastPrinted>
  <dcterms:created xsi:type="dcterms:W3CDTF">2025-12-17T11:54:00Z</dcterms:created>
  <dcterms:modified xsi:type="dcterms:W3CDTF">2025-12-17T11:54:00Z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111</vt:lpwstr>
  </property>
  <property fmtid="{D5CDD505-2E9C-101B-9397-08002B2CF9AE}" pid="4" name="GDB1">
    <vt:lpwstr>KOM(2008)124</vt:lpwstr>
  </property>
  <property fmtid="{D5CDD505-2E9C-101B-9397-08002B2CF9AE}" pid="5" name="GDT1">
    <vt:lpwstr> </vt:lpwstr>
  </property>
  <property fmtid="{D5CDD505-2E9C-101B-9397-08002B2CF9AE}" pid="6" name="Dep">
    <vt:lpwstr>Jordbruksdepartementet</vt:lpwstr>
  </property>
  <property fmtid="{D5CDD505-2E9C-101B-9397-08002B2CF9AE}" pid="7" name="Rub">
    <vt:lpwstr>Förordning om märkning och marknadsföring av foder</vt:lpwstr>
  </property>
  <property fmtid="{D5CDD505-2E9C-101B-9397-08002B2CF9AE}" pid="8" name="UppDat">
    <vt:lpwstr>2008-05-23</vt:lpwstr>
  </property>
  <property fmtid="{D5CDD505-2E9C-101B-9397-08002B2CF9AE}" pid="9" name="AnkDat">
    <vt:lpwstr>2008-05-23</vt:lpwstr>
  </property>
  <property fmtid="{D5CDD505-2E9C-101B-9397-08002B2CF9AE}" pid="10" name="Utsk">
    <vt:lpwstr>Miljö- och jordbruksutskottet</vt:lpwstr>
  </property>
  <property fmtid="{D5CDD505-2E9C-101B-9397-08002B2CF9AE}" pid="11" name="Ar">
    <vt:lpwstr>2007/08</vt:lpwstr>
  </property>
  <property fmtid="{D5CDD505-2E9C-101B-9397-08002B2CF9AE}" pid="12" name="Dokumenttyp">
    <vt:lpwstr> FaktaPM</vt:lpwstr>
  </property>
  <property fmtid="{D5CDD505-2E9C-101B-9397-08002B2CF9AE}" pid="13" name="Epostadress">
    <vt:lpwstr>jb0203aa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JA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Sekretariatet för EU-möten i Sverige 2009">
    <vt:lpwstr>NEJ</vt:lpwstr>
  </property>
  <property fmtid="{D5CDD505-2E9C-101B-9397-08002B2CF9AE}" pid="41" name="DepID">
    <vt:lpwstr>8;0;0;448</vt:lpwstr>
  </property>
  <property fmtid="{D5CDD505-2E9C-101B-9397-08002B2CF9AE}" pid="42" name="Sprak">
    <vt:lpwstr>Svenska</vt:lpwstr>
  </property>
  <property fmtid="{D5CDD505-2E9C-101B-9397-08002B2CF9AE}" pid="43" name="DokID">
    <vt:i4>80</vt:i4>
  </property>
</Properties>
</file>