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TU15, dock tidigast klockan 16.00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2021/22:460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Återvinning av kompositmaterial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2021/22:484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Ekocid och Stockholm+50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2021/22:487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Underhåll på befintliga vägar och järnvägar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2021/22:488 av Patrik Jönsson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slitna järnvägsnätet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2021/22:490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Initiativ för att ge det nordiska samarbetet en pånyttfödelse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2022:10 Statens insatser för att säkra skyddsutrustning – krishantering till ett högt pris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2021/22:242 En förstärkt spelreglering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 xml:space="preserve">med anledning av prop. 2021/22:228 Skattelättnad för arbetsresor – ett enklare och färdmedelsneutralt regelverk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2021/22:4706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2021/22:4717 av Hampus Hagman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2021/22:4718 av Gulan Avci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2021/22:4719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2021/22:4728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2021/22:239 Ytterligare åtgärder mot fordonsmålvakter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2021/22:4736 av Helena Gellerman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2021/22:4738 av Anders Åkesson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204 Förslag till Europaparlamentets och rådets direktiv om ändring av direktiv 2011/83/EU om avtal om finansiella tjänster som ingåtts på distans samt om upphävande av direktiv 2002/65/EG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juli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2021/22:KU36 Val och beslut i kommuner och regioner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2021/22:KU34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2021/22:JuU39 Bättre tillgång till finansiell information i brottsbekämpningen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2021/22:JuU43 Skärpt straff för gravfridsbrott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2021/22:JuU32 Sekretess för ljuddämpare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2021/22:SoU18 Socialtjänstfrågor –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2021/22:FiU32 Kompletterande bestämmelser till EU:s förordning om återhämtning och resolution av centrala motparter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efter debattens slut i TU15, dock tidigast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2021/22:KrU8 Idrott och friluftsliv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2021/22:MJU24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2021/22:UU19 Förbättrade rättsliga förutsättningar för att kunna ta emot militärt stöd från andra stater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 </w:t>
            </w:r>
            <w:r>
              <w:rPr>
                <w:i/>
                <w:iCs/>
                <w:rtl w:val="0"/>
              </w:rPr>
              <w:t>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2021/22:SkU26 Innebörden av begreppet helt försäkringsbestånd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2021/22:SkU27 Ändrade transparensregler inom energibeskattningen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2021/22:SoU29 Värdlandsavtal mellan Sverige och Internationella vaccininstitutet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2021/22:TU17 Genomförande av direktivet om inrättande av en europeisk kodex för elektronisk kommunikation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2021/22:TU15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2021/22:FiU36 En utvidgad rätt till återköp och flytt av fond- och depåförsäkringar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2021/22:JuU36 Effektivare bevisupptagning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2021/22:JuU38 Skärpta straff för knivbrott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2021/22:CU18 Ändringar i lagar som genomför internationella bestämmelser om radiologiska skador och skador vid sjötransporter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2021/22:CU19 Ett moderniserat konsumentskydd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 och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2021/22:NU21 Genomförande av elmarknadsdirektivet när det gäller nätverksamhet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54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2021/22:NU17 Ursprungsgarantier – genomförande av det omarbetade förnybartdirektivet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2021/22:NU24 Kommissionens meddelande om gemensamma europeiska åtgärder för säkrare och mer hållbar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2021/22:NU27 Sveriges energiförsörjning och import av rysk energi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2021/22:NU28 Subsidiaritetsprövning av kommissionens förslag till direktiv om tillbörlig aktsamhet för företag i fråga om hållbarhet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2021/22:SoU16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2021/22:SoU17 E-hälsa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2021/22:SoU26 Nya regler för organdonation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2022-05-18</SAFIR_Sammantradesdatum_Doc>
    <SAFIR_SammantradeID xmlns="C07A1A6C-0B19-41D9-BDF8-F523BA3921EB">4bfb2c9a-d62c-4602-a574-b3d0a75a4d0b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D0D05-B7A0-46C3-8AA0-693FD83055E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