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049D5E" w14:textId="77777777">
      <w:pPr>
        <w:pStyle w:val="Normalutanindragellerluft"/>
      </w:pPr>
      <w:bookmarkStart w:name="_Toc106800475" w:id="0"/>
      <w:bookmarkStart w:name="_Toc106801300" w:id="1"/>
    </w:p>
    <w:p xmlns:w14="http://schemas.microsoft.com/office/word/2010/wordml" w:rsidRPr="009B062B" w:rsidR="00AF30DD" w:rsidP="007D3856" w:rsidRDefault="007D3856" w14:paraId="38160354" w14:textId="77777777">
      <w:pPr>
        <w:pStyle w:val="RubrikFrslagTIllRiksdagsbeslut"/>
      </w:pPr>
      <w:sdt>
        <w:sdtPr>
          <w:alias w:val="CC_Boilerplate_4"/>
          <w:tag w:val="CC_Boilerplate_4"/>
          <w:id w:val="-1644581176"/>
          <w:lock w:val="sdtContentLocked"/>
          <w:placeholder>
            <w:docPart w:val="BAF9EA28DCC84FF093DF0BFFDF45019C"/>
          </w:placeholder>
          <w:text/>
        </w:sdtPr>
        <w:sdtEndPr/>
        <w:sdtContent>
          <w:r w:rsidRPr="009B062B" w:rsidR="00AF30DD">
            <w:t>Förslag till riksdagsbeslut</w:t>
          </w:r>
        </w:sdtContent>
      </w:sdt>
      <w:bookmarkEnd w:id="0"/>
      <w:bookmarkEnd w:id="1"/>
    </w:p>
    <w:sdt>
      <w:sdtPr>
        <w:tag w:val="3b4549e3-0229-4d4d-a8f7-1a70cee9c53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en skatterättslig översyn för att stimulera en levande, dynamisk och konkurrenskraftig konstmarknad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523090589B48139FE4A2D357BF620B"/>
        </w:placeholder>
        <w:text/>
      </w:sdtPr>
      <w:sdtEndPr/>
      <w:sdtContent>
        <w:p xmlns:w14="http://schemas.microsoft.com/office/word/2010/wordml" w:rsidRPr="009B062B" w:rsidR="006D79C9" w:rsidP="00333E95" w:rsidRDefault="006D79C9" w14:paraId="3F9FE96E" w14:textId="77777777">
          <w:pPr>
            <w:pStyle w:val="Rubrik1"/>
          </w:pPr>
          <w:r>
            <w:t>Motivering</w:t>
          </w:r>
        </w:p>
      </w:sdtContent>
    </w:sdt>
    <w:bookmarkEnd w:displacedByCustomXml="prev" w:id="3"/>
    <w:bookmarkEnd w:displacedByCustomXml="prev" w:id="4"/>
    <w:p xmlns:w14="http://schemas.microsoft.com/office/word/2010/wordml" w:rsidR="006E3950" w:rsidP="006E3950" w:rsidRDefault="006E3950" w14:paraId="0B27E7E9" w14:textId="22A2EA2E">
      <w:pPr>
        <w:pStyle w:val="Rubrik3"/>
      </w:pPr>
      <w:r>
        <w:t>Bakgrund</w:t>
      </w:r>
    </w:p>
    <w:p xmlns:w14="http://schemas.microsoft.com/office/word/2010/wordml" w:rsidR="006E3950" w:rsidP="006E3950" w:rsidRDefault="006E3950" w14:paraId="2B61D66D" w14:textId="6A50091D">
      <w:r>
        <w:t xml:space="preserve">Ordet konst kommer från tyskans </w:t>
      </w:r>
      <w:proofErr w:type="spellStart"/>
      <w:r>
        <w:t>Kunst</w:t>
      </w:r>
      <w:proofErr w:type="spellEnd"/>
      <w:r>
        <w:t xml:space="preserve"> och betyder kunnande eller skicklighet. Ur ett europeiskt historiskt perspektiv fick konsten först under 1600- och 1700-talet en samhällelig uppbyggnad genom inrättandet av de kungliga akademierna. Fastän den europeiska konsten främst blommade ut under upplysningstiden har det sedan urminnes tider funnits individer som i ett socialt sammanhang har skapat meningsbärande konstnärliga verk vilka genomfördes i bestående tekniker som finns kvar i vår tid.</w:t>
      </w:r>
    </w:p>
    <w:p xmlns:w14="http://schemas.microsoft.com/office/word/2010/wordml" w:rsidR="006E3950" w:rsidP="006E3950" w:rsidRDefault="006E3950" w14:paraId="1447E057" w14:textId="3646113E">
      <w:r>
        <w:t>Under medeltiden betecknades ett kvalificerat utfört hantverk som konst och utfördes ofta av en grupp individer inom ramen för en läromästares verkstad. Kyrkan var den vanligaste beställaren och skråväsendet reglerade det konstnärliga utövandet hela vägen in i renässansen. (SOU 2018:23, Konstnär – oavsett villkor, s. 48–49.)</w:t>
      </w:r>
    </w:p>
    <w:p xmlns:w14="http://schemas.microsoft.com/office/word/2010/wordml" w:rsidR="006E3950" w:rsidP="006E3950" w:rsidRDefault="006E3950" w14:paraId="29342B47" w14:textId="21257BAC">
      <w:r>
        <w:lastRenderedPageBreak/>
        <w:t>Under renässansen strävade de främsta konstnärerna efter att frigöra sig från skråna. Mötet med vetenskapen gjorde avtryck och ramarna för det konstnärliga arbetet sattes av de nya beställarna som sedermera blev musiker, bildkonstnärer och författare. Under 1700-talet fick konstnärerna en friare ställning och marknads</w:t>
        <w:softHyphen/>
        <w:t>förutsätt</w:t>
        <w:softHyphen/>
        <w:t>ningarna växte. På 1800-talet fick konsten nya finansiärer i och med industrialiser</w:t>
        <w:softHyphen/>
        <w:t>ingen av samhället med den ökande handeln, städernas framväxt och det framväxande borger</w:t>
        <w:softHyphen/>
        <w:t>skapet. Tidningen, allmänna teatrar, nationalmuseer med konstbildande samlingar, konstsalonger, konserthus och opera gav konsten flera sociala arenor. Den offentliga finansieringen av kulturen var dock begränsad och kulturlivet fick bäras upp av förmögna mecenater. Paris, Wien och Berlin blev viktiga platser för realismen och naturalismen som banade väg för ny samhällskritisk konst influerad av de sociala rörelserna.</w:t>
      </w:r>
    </w:p>
    <w:p xmlns:w14="http://schemas.microsoft.com/office/word/2010/wordml" w:rsidR="006E3950" w:rsidP="006E3950" w:rsidRDefault="006E3950" w14:paraId="1F299ED2" w14:textId="78B775F5">
      <w:r>
        <w:t xml:space="preserve">De ekonomiska och sociala samhällsförändringarna som banade väg för det demokratiska välfärdssamhällets framväxt under tidigt 1900-tal möjliggjorde kulturen och bildningen för bredare grupper i samhället. Den bärande idén var att se konsten som en allmän egendom. Kulturen gavs en vidare förståelse, nära kopplad till demokratiseringen av samhället. Under 1930-talet inrättades Konstrådet och andra nationella, regionala och kommunala kulturinstitutioner i Sverige. Ambitionen var att låta fler få möjlighet att möta konsten i alla dess olika uttryck. Det var en utveckling som innebar att konstnärer fick nya arbetsmöjligheter genom offentlig finansiering. Konstnärernas riksorganisation bildades år 1937 för att ge en samlad röst till landets bildkonstnärer. De drev även politiska frågor som exempelvis frågan om </w:t>
      </w:r>
      <w:proofErr w:type="spellStart"/>
      <w:r>
        <w:t>enprocentsregeln</w:t>
      </w:r>
      <w:proofErr w:type="spellEnd"/>
      <w:r>
        <w:t>.</w:t>
      </w:r>
    </w:p>
    <w:p xmlns:w14="http://schemas.microsoft.com/office/word/2010/wordml" w:rsidR="006E3950" w:rsidP="006E3950" w:rsidRDefault="006E3950" w14:paraId="207FA91D" w14:textId="5D8C529B">
      <w:r>
        <w:t>På 1960-talet inleddes en ny epok i svensk kulturpolitik. Namnkunniga konstnärer från olika konstområden och företrädare för samtliga partier deltog i grupparbetet som sedermera blev 1964 års kulturpolitiska utredning. Uppgiften var att sammanföra en tidigare splittrad politik till en mer genom</w:t>
        <w:softHyphen/>
        <w:t>tänkt helhet, med mål om styrning och utbyggnad av en samhällelig kulturell infra</w:t>
        <w:softHyphen/>
        <w:t>struktur. År 1964 infördes de statliga inkomstgarantierna för konstnärer.</w:t>
      </w:r>
    </w:p>
    <w:p xmlns:w14="http://schemas.microsoft.com/office/word/2010/wordml" w:rsidR="006E3950" w:rsidP="006E3950" w:rsidRDefault="006E3950" w14:paraId="4189371C" w14:textId="4705611F">
      <w:r>
        <w:t xml:space="preserve"> 1970-talets konst- och kulturpolitik utgick från det nationella målet att medverka till att skapa en bättre samhällsmiljö. De konstnärliga uttrycksformerna skulle tillsammans med massmedierna belysa samhällets sätt att fungera och därmed synliggöra behovet av förändringar. Nyckelbegreppen var yttrandefrihet, decentralisering, jämlikhet, konstnärlig förnyelse och vård av kulturarvet. (SOU 1972:66 och SOU 1972:67) År 1975 </w:t>
      </w:r>
      <w:r>
        <w:lastRenderedPageBreak/>
        <w:t>fick konstnärerna sin första fördjupade utredning. I betänkandet Kulturrådet: Konstnärerna och samhället betonades den konstnärliga kreativitetens särställning i förhållande till annan kreativitet: Den utgör det elementära instrumentet för alla mänsk</w:t>
        <w:softHyphen/>
        <w:t>liga uttryck och därmed för all kommunikation. (SOU 1975:14, s. 61.) Konstens frihet och möjligheterna till konstnärlig förnyelse ansågs angeläget.</w:t>
      </w:r>
    </w:p>
    <w:p xmlns:w14="http://schemas.microsoft.com/office/word/2010/wordml" w:rsidR="006E3950" w:rsidP="006E3950" w:rsidRDefault="006E3950" w14:paraId="0C22CA21" w14:textId="73A83F9C">
      <w:r>
        <w:t>Under 1990-talet växte det politiska intresset för kulturens betydelse för lokal och regional tillväxt. Forskningen visade att kulturen kan stärka platsens attraktivitet och därmed generera sysselsättning och tillväxt. De kulturella och kreativa näringarna expanderade och fick ett starkare fotfäste i politiken. Detta förstärkte incitamenten att genomföra en förnyad översyn av de statliga insatserna för konstnärskapets villkor. Utredningen framhöll behovet av sysselsättnings- och efterfrågefrämjande insatser i form av ökad konstbildning, kultur i arbetslivet, estetik i skolan, ersättningar för det konstnärliga arbetet och förnyad skattepolitik på området. Därtill utvecklades bidrag till fria konstnärer och centrumbildningar. (SOU 1990:39.)</w:t>
      </w:r>
    </w:p>
    <w:p xmlns:w14="http://schemas.microsoft.com/office/word/2010/wordml" w:rsidR="006E3950" w:rsidP="006E3950" w:rsidRDefault="006E3950" w14:paraId="141F8659" w14:textId="371974D1">
      <w:r>
        <w:t>Den sista nationella kulturpolitiska utredningen genomfördes under den borgerliga regeringens inflytande. I propositionen Tid för kultur betonades betydelsen av konstnärlig kvalitet och fokus blev att revidera dåvarande bidrags- och ersättningssystem. Arbetslinjen blev en av de centrala utgångspunkterna liksom erfarenhetsutbyte mellan kulturpolitiken, näringspolitiken och den regionala tillväxtpolitiken. (Prop. 2009/10:3 s. 53.)</w:t>
      </w:r>
    </w:p>
    <w:p xmlns:w14="http://schemas.microsoft.com/office/word/2010/wordml" w:rsidR="006E3950" w:rsidP="006E3950" w:rsidRDefault="006E3950" w14:paraId="5F23A0AB" w14:textId="6B49F406">
      <w:pPr>
        <w:pStyle w:val="Rubrik3"/>
      </w:pPr>
      <w:r>
        <w:t>Konstpolitiken och coronapandemin</w:t>
      </w:r>
    </w:p>
    <w:p xmlns:w14="http://schemas.microsoft.com/office/word/2010/wordml" w:rsidR="006E3950" w:rsidP="006E3950" w:rsidRDefault="006E3950" w14:paraId="74D7B4DB" w14:textId="77777777">
      <w:pPr>
        <w:ind w:firstLine="0"/>
      </w:pPr>
      <w:r>
        <w:t>Under pandemin infördes stora krisstöd till kulturlivet för att mildra effekterna av inställda evenemang och förlorade inkomster. Totalt avsattes flera miljarder kronor under 2020–2021, fördelade via bland annat Statens kulturråd, Konstnärsnämnden och Filminstitutet. Stöden omfattade akuta ersättningar, arbetsstipendier och särskilda satsningar på olika kulturformer. För bild- och formkonsten genomfördes riktade insatser, bland annat inköp av konst av statliga, regionala och kommunala aktörer för att ge konstnärer inkomster. Hemma residens och arbetsstipendier gav även konstnärer möjlighet att fortsätta skapa trots restriktioner.</w:t>
      </w:r>
    </w:p>
    <w:p xmlns:w14="http://schemas.microsoft.com/office/word/2010/wordml" w:rsidR="006E3950" w:rsidP="006E3950" w:rsidRDefault="006E3950" w14:paraId="1242359D" w14:textId="77777777">
      <w:pPr>
        <w:pStyle w:val="Normalutanindragellerluft"/>
      </w:pPr>
    </w:p>
    <w:p xmlns:w14="http://schemas.microsoft.com/office/word/2010/wordml" w:rsidR="006E3950" w:rsidP="006E3950" w:rsidRDefault="006E3950" w14:paraId="110F8BD9" w14:textId="77777777">
      <w:pPr>
        <w:pStyle w:val="Normalutanindragellerluft"/>
      </w:pPr>
      <w:r>
        <w:t> </w:t>
      </w:r>
    </w:p>
    <w:p xmlns:w14="http://schemas.microsoft.com/office/word/2010/wordml" w:rsidR="006E3950" w:rsidP="006E3950" w:rsidRDefault="006E3950" w14:paraId="1C74C612" w14:textId="77777777"/>
    <w:p xmlns:w14="http://schemas.microsoft.com/office/word/2010/wordml" w:rsidR="006E3950" w:rsidP="006E3950" w:rsidRDefault="006E3950" w14:paraId="64847AE2" w14:textId="2EF37746">
      <w:r>
        <w:lastRenderedPageBreak/>
        <w:t>För återhämtningen tillsattes utredningen Återstart för kulturen som ledde till rapporten Från kris till kraft (SOU 2021:77). Utredningen lämnade flera förslag för att stärka konstpolitiken efter pandemin. Ett centralt förslag är att Konstnärsnämndens anslag för stipendier och bidrag förstärks med 65 miljoner kronor per år under 2022–2023 och därefter med 48 miljoner kronor årligen från 2024. Pandemin har ytterligare försvagat de redan osäkra ekonomiska villkoren för många konstnärer, vilket gör långsiktiga stöd avgörande för att kunna fortsätta bedriva verksamhet.</w:t>
      </w:r>
    </w:p>
    <w:p xmlns:w14="http://schemas.microsoft.com/office/word/2010/wordml" w:rsidR="006E3950" w:rsidP="006E3950" w:rsidRDefault="006E3950" w14:paraId="59108B47" w14:textId="50452799">
      <w:pPr>
        <w:pStyle w:val="Normalutanindragellerluft"/>
      </w:pPr>
      <w:r>
        <w:t xml:space="preserve">Den socialdemokratiskt ledda regeringen införde ett särskilt återstartsbidrag under </w:t>
      </w:r>
      <w:proofErr w:type="gramStart"/>
      <w:r>
        <w:t>2021-2022</w:t>
      </w:r>
      <w:proofErr w:type="gramEnd"/>
      <w:r>
        <w:t xml:space="preserve"> som uppgick till cirka 660 miljoner kronor och som riktades till framåtblickande projekt inom kulturlivet. Sammantaget gav dessa satsningar konstnärer, kulturorganisationer och institutioner möjlighet att fortsätta sin verksamhet, anpassa sig till nya förutsättningar och bidra till en bred återuppbyggnad av kulturlivet efter pandemin. Efter valet 2022 förlängdes inte återstartsambitionerna av högerregeringen. </w:t>
      </w:r>
    </w:p>
    <w:p xmlns:w14="http://schemas.microsoft.com/office/word/2010/wordml" w:rsidR="006E3950" w:rsidP="006E3950" w:rsidRDefault="006E3950" w14:paraId="4CEDF573" w14:textId="2531D41E">
      <w:pPr>
        <w:pStyle w:val="Rubrik3"/>
      </w:pPr>
      <w:r>
        <w:t>Konstmarknaden</w:t>
      </w:r>
    </w:p>
    <w:p xmlns:w14="http://schemas.microsoft.com/office/word/2010/wordml" w:rsidR="006E3950" w:rsidP="006E3950" w:rsidRDefault="006E3950" w14:paraId="4B3FC492" w14:textId="6688B26C">
      <w:pPr>
        <w:ind w:firstLine="0"/>
      </w:pPr>
      <w:r>
        <w:t>Den konflikt som råder mellan en marknad som ställer krav på lönsamhet och konstnärernas behov av frihet i sitt skapande, är en fortsatt kulturpolitisk diskussion. Idag är den privata marknaden dominerande när det gäller efterfrågan på konstnärliga prestationer. Det finns dock ännu inget som tyder på att marknaden kommer att kunna, fullt ut, finansiera enskilda konstnärer i deras skapandeprocess. Det offentliga har därför ett ansvar för att upprätthålla viktiga funktioner såsom utbildning, kompetensutveckling, långsiktiga bidrag, ateljéer och – för samhällets kreativa och öppna miljö – offentligt inköp av konst. Men för att stärka konstmarknaden behövs de marknadsmässiga villkoren stimuleras ytterligare, liksom den offentliga konstpolitiken.</w:t>
      </w:r>
    </w:p>
    <w:p xmlns:w14="http://schemas.microsoft.com/office/word/2010/wordml" w:rsidR="006E3950" w:rsidP="006E3950" w:rsidRDefault="006E3950" w14:paraId="6864F745" w14:textId="77777777">
      <w:r>
        <w:t>Konst, arkitektur, form och design påverkar alla människor dagligen och handlar i grunden om livskvalitet. Sverige har en internationellt erkänd position som ett land med högkvalitativa konstutbildningar, internationellt utbyte och främjandeinsatser för konstnärer. Men i takt med globaliseringen har konkurrensen hårdnat och nya marknads</w:t>
        <w:softHyphen/>
        <w:t>mässiga insatser är nödvändiga för att stärka svensk konst inhemskt och i den globala konkurrensen.</w:t>
      </w:r>
    </w:p>
    <w:p xmlns:w14="http://schemas.microsoft.com/office/word/2010/wordml" w:rsidR="006E3950" w:rsidP="006E3950" w:rsidRDefault="006E3950" w14:paraId="046EF0EE" w14:textId="77777777">
      <w:pPr>
        <w:pStyle w:val="Normalutanindragellerluft"/>
      </w:pPr>
    </w:p>
    <w:p xmlns:w14="http://schemas.microsoft.com/office/word/2010/wordml" w:rsidR="006E3950" w:rsidP="006E3950" w:rsidRDefault="006E3950" w14:paraId="2F1D8C4A" w14:textId="77777777">
      <w:pPr>
        <w:pStyle w:val="Normalutanindragellerluft"/>
      </w:pPr>
    </w:p>
    <w:p xmlns:w14="http://schemas.microsoft.com/office/word/2010/wordml" w:rsidR="006E3950" w:rsidP="006E3950" w:rsidRDefault="006E3950" w14:paraId="1B9BC4B5" w14:textId="77777777">
      <w:pPr>
        <w:pStyle w:val="Normalutanindragellerluft"/>
      </w:pPr>
    </w:p>
    <w:p xmlns:w14="http://schemas.microsoft.com/office/word/2010/wordml" w:rsidR="006E3950" w:rsidP="006E3950" w:rsidRDefault="006E3950" w14:paraId="604ADC40" w14:textId="686E2F94">
      <w:r>
        <w:lastRenderedPageBreak/>
        <w:t>Konstmarknaden utgörs av en primär- och en sekundärmarknad. Primär- eller förstahandsmarknaden är den marknad där ett konstverk säljs för första gången, vilket vanligen sker i ett galleri eller direkt från konstnären. Andrahandsmarknaden utgörs av konstverk som har sålts tidigare. På andrahandsmarknaden är de främsta aktörerna auktionshus och konsthandlare. Det är även inom andrahandsmarknaden som konstnären har rätt till en följerätt om 5 procent.</w:t>
      </w:r>
    </w:p>
    <w:p xmlns:w14="http://schemas.microsoft.com/office/word/2010/wordml" w:rsidR="006E3950" w:rsidP="006E3950" w:rsidRDefault="006E3950" w14:paraId="4AD105C9" w14:textId="5A6A4A9C">
      <w:pPr>
        <w:pStyle w:val="Rubrik3"/>
      </w:pPr>
      <w:r>
        <w:t>Åtgärder för att stimulera konstmarknaden</w:t>
      </w:r>
    </w:p>
    <w:p xmlns:w14="http://schemas.microsoft.com/office/word/2010/wordml" w:rsidRPr="006E3950" w:rsidR="006E3950" w:rsidP="006E3950" w:rsidRDefault="006E3950" w14:paraId="2A4E6544" w14:textId="77777777">
      <w:pPr>
        <w:ind w:firstLine="0"/>
      </w:pPr>
      <w:r>
        <w:t xml:space="preserve">I syfte att stimulera svensk konst krävs åtgärder på förstahandsmarknaden. Utan galleriernas insatser blir det svårt att ge plats åt nya förmågor, presentera svenska konstnärer för en nationell och internationell publik samt involvera museer, konsthallar och mässor för nya </w:t>
      </w:r>
      <w:r w:rsidRPr="006E3950">
        <w:t>verk. Den svenska konstmarknaden är därtill mycket underutvecklad ur ett internationellt perspektiv, detta samtidigt som den globala förstahandsmarknaden för konsten ständigt växer och omsätter mer.</w:t>
      </w:r>
    </w:p>
    <w:p xmlns:w14="http://schemas.microsoft.com/office/word/2010/wordml" w:rsidR="006E3950" w:rsidP="006E3950" w:rsidRDefault="006E3950" w14:paraId="5A4FBD0F" w14:textId="2907C647">
      <w:r w:rsidRPr="006E3950">
        <w:t>För att fler konstnärer ska kunna leva på sin utbildning och sitt skapande samt för att stärka svensk konkurrens på konstmarknaden behöver marknaden stimuleras. I dagsläget investeras mer än en halv miljard kronor i utbudet av konst via kostnaden för konstutbildningar och Konstnärsnämndens</w:t>
      </w:r>
      <w:r>
        <w:t xml:space="preserve"> stöd till konstnärer, medan efterfrågan på samtidskonst inte stimuleras alls.</w:t>
      </w:r>
    </w:p>
    <w:p xmlns:w14="http://schemas.microsoft.com/office/word/2010/wordml" w:rsidR="006E3950" w:rsidP="006E3950" w:rsidRDefault="006E3950" w14:paraId="7B59956B" w14:textId="04D8E4F3">
      <w:r>
        <w:t>En åtgärd som hade genererat en sådan effekt är att göra konsten på primärmarknaden avdragsgill i likhet med flertalet europeiska länder. Där konsten på primärmarknaden är avdragsgill har försäljningen av konst till bolag ökat. Därtill finns redan regelmässig infrastruktur för att göra konsten avdragsgill då svenska företag redan idag kan köpa designmöbler avdragsgillt. Åtgärden handlar om att utveckla möjligheten till att även omfatta konst.</w:t>
      </w:r>
    </w:p>
    <w:p xmlns:w14="http://schemas.microsoft.com/office/word/2010/wordml" w:rsidR="00BB6339" w:rsidP="006E3950" w:rsidRDefault="006E3950" w14:paraId="2A46792C" w14:textId="5A14BB9C">
      <w:r>
        <w:t xml:space="preserve">En annan åtgärd är att stötta gallerister att marknadsföra och visa svenska konstnärer internationellt. För 15–20 år sedan var fler svenska gallerier med på de ledande konstmässorna som Art Basel, </w:t>
      </w:r>
      <w:proofErr w:type="spellStart"/>
      <w:r>
        <w:t>Frieze</w:t>
      </w:r>
      <w:proofErr w:type="spellEnd"/>
      <w:r>
        <w:t xml:space="preserve"> och </w:t>
      </w:r>
      <w:proofErr w:type="spellStart"/>
      <w:r>
        <w:t>Armory</w:t>
      </w:r>
      <w:proofErr w:type="spellEnd"/>
      <w:r>
        <w:t xml:space="preserve">. Konstbranschen har sedan dess konsoliderats vilket skapat globala gallerier med superstjärnor till konstnärer som nu dominerar de stora mässorna. Det medför ekonomiska hinder för medelstora gallerier att profilera sina konstnärer och </w:t>
      </w:r>
      <w:proofErr w:type="spellStart"/>
      <w:r>
        <w:t>nätverka</w:t>
      </w:r>
      <w:proofErr w:type="spellEnd"/>
      <w:r>
        <w:t xml:space="preserve"> på dessa mässor för att föra ut svensk samtidskonst. Stöd för internationellt kulturutbyte i kommersiella sammanhang kan idag sökas av konst</w:t>
        <w:softHyphen/>
        <w:t>närer hos Konstnärsnämnden och i år finns möjlighet för kommersiella aktörer, som gallerister, att söka stöd från Kulturrådet i samband med åtaganden utomlands som bidrar till konstfrämjande och internationalisering. Små gallerier som </w:t>
      </w:r>
      <w:r>
        <w:lastRenderedPageBreak/>
        <w:t>visar nyetablerade konstnärer har oftast inte marginalerna att ta denna risk. Ett stöd för logistik och mässavgifter främjar en större marknad för svenska konstnärer och stärker bilden av Sverige som ett kreativt land.</w:t>
      </w:r>
    </w:p>
    <w:sdt>
      <w:sdtPr>
        <w:rPr>
          <w:i/>
          <w:noProof/>
        </w:rPr>
        <w:alias w:val="CC_Underskrifter"/>
        <w:tag w:val="CC_Underskrifter"/>
        <w:id w:val="583496634"/>
        <w:lock w:val="sdtContentLocked"/>
        <w:placeholder>
          <w:docPart w:val="38B72B38C4FC4CA6946D708E97ED2CCB"/>
        </w:placeholder>
      </w:sdtPr>
      <w:sdtEndPr/>
      <w:sdtContent>
        <w:p xmlns:w14="http://schemas.microsoft.com/office/word/2010/wordml" w:rsidR="007D3856" w:rsidP="007D3856" w:rsidRDefault="007D3856" w14:paraId="1379E651" w14:textId="77777777">
          <w:pPr/>
          <w:r/>
        </w:p>
        <w:p xmlns:w14="http://schemas.microsoft.com/office/word/2010/wordml" w:rsidR="007D3856" w:rsidP="007D3856" w:rsidRDefault="007D3856" w14:paraId="196DEE8C" w14:textId="2372C7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E95E23" w14:textId="296537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8EA2" w14:textId="77777777" w:rsidR="006E3950" w:rsidRDefault="006E3950" w:rsidP="000C1CAD">
      <w:pPr>
        <w:spacing w:line="240" w:lineRule="auto"/>
      </w:pPr>
      <w:r>
        <w:separator/>
      </w:r>
    </w:p>
  </w:endnote>
  <w:endnote w:type="continuationSeparator" w:id="0">
    <w:p w14:paraId="4E0F54C0" w14:textId="77777777" w:rsidR="006E3950" w:rsidRDefault="006E39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4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0B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360A" w14:textId="79EAEAB1" w:rsidR="00262EA3" w:rsidRPr="007D3856" w:rsidRDefault="00262EA3" w:rsidP="007D3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03D8" w14:textId="77777777" w:rsidR="006E3950" w:rsidRDefault="006E3950" w:rsidP="000C1CAD">
      <w:pPr>
        <w:spacing w:line="240" w:lineRule="auto"/>
      </w:pPr>
      <w:r>
        <w:separator/>
      </w:r>
    </w:p>
  </w:footnote>
  <w:footnote w:type="continuationSeparator" w:id="0">
    <w:p w14:paraId="544ACF5C" w14:textId="77777777" w:rsidR="006E3950" w:rsidRDefault="006E39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199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3852D" wp14:anchorId="7C5B90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3856" w14:paraId="1E1F1CE0" w14:textId="1FFC8730">
                          <w:pPr>
                            <w:jc w:val="right"/>
                          </w:pPr>
                          <w:sdt>
                            <w:sdtPr>
                              <w:alias w:val="CC_Noformat_Partikod"/>
                              <w:tag w:val="CC_Noformat_Partikod"/>
                              <w:id w:val="-53464382"/>
                              <w:placeholder>
                                <w:docPart w:val="E0F12FF35F404A01A13CF4C4AD4245DD"/>
                              </w:placeholder>
                              <w:text/>
                            </w:sdtPr>
                            <w:sdtEndPr/>
                            <w:sdtContent>
                              <w:r w:rsidR="006E3950">
                                <w:t>S</w:t>
                              </w:r>
                            </w:sdtContent>
                          </w:sdt>
                          <w:sdt>
                            <w:sdtPr>
                              <w:alias w:val="CC_Noformat_Partinummer"/>
                              <w:tag w:val="CC_Noformat_Partinummer"/>
                              <w:id w:val="-1709555926"/>
                              <w:placeholder>
                                <w:docPart w:val="80AD520C17704C60BE51F2A0E5AFC04E"/>
                              </w:placeholder>
                              <w:text/>
                            </w:sdtPr>
                            <w:sdtEndPr/>
                            <w:sdtContent>
                              <w:r w:rsidR="006E3950">
                                <w:t>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5B9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3856" w14:paraId="1E1F1CE0" w14:textId="1FFC8730">
                    <w:pPr>
                      <w:jc w:val="right"/>
                    </w:pPr>
                    <w:sdt>
                      <w:sdtPr>
                        <w:alias w:val="CC_Noformat_Partikod"/>
                        <w:tag w:val="CC_Noformat_Partikod"/>
                        <w:id w:val="-53464382"/>
                        <w:placeholder>
                          <w:docPart w:val="E0F12FF35F404A01A13CF4C4AD4245DD"/>
                        </w:placeholder>
                        <w:text/>
                      </w:sdtPr>
                      <w:sdtEndPr/>
                      <w:sdtContent>
                        <w:r w:rsidR="006E3950">
                          <w:t>S</w:t>
                        </w:r>
                      </w:sdtContent>
                    </w:sdt>
                    <w:sdt>
                      <w:sdtPr>
                        <w:alias w:val="CC_Noformat_Partinummer"/>
                        <w:tag w:val="CC_Noformat_Partinummer"/>
                        <w:id w:val="-1709555926"/>
                        <w:placeholder>
                          <w:docPart w:val="80AD520C17704C60BE51F2A0E5AFC04E"/>
                        </w:placeholder>
                        <w:text/>
                      </w:sdtPr>
                      <w:sdtEndPr/>
                      <w:sdtContent>
                        <w:r w:rsidR="006E3950">
                          <w:t>431</w:t>
                        </w:r>
                      </w:sdtContent>
                    </w:sdt>
                  </w:p>
                </w:txbxContent>
              </v:textbox>
              <w10:wrap anchorx="page"/>
            </v:shape>
          </w:pict>
        </mc:Fallback>
      </mc:AlternateContent>
    </w:r>
  </w:p>
  <w:p w:rsidRPr="00293C4F" w:rsidR="00262EA3" w:rsidP="00776B74" w:rsidRDefault="00262EA3" w14:paraId="7E7AE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B93918" w14:textId="77777777">
    <w:pPr>
      <w:jc w:val="right"/>
    </w:pPr>
  </w:p>
  <w:p w:rsidR="00262EA3" w:rsidP="00776B74" w:rsidRDefault="00262EA3" w14:paraId="5FD02B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3856" w14:paraId="2DB85D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E429A8" wp14:anchorId="50A8E8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3856" w14:paraId="14D80038" w14:textId="2CD0A3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3950">
          <w:t>S</w:t>
        </w:r>
      </w:sdtContent>
    </w:sdt>
    <w:sdt>
      <w:sdtPr>
        <w:alias w:val="CC_Noformat_Partinummer"/>
        <w:tag w:val="CC_Noformat_Partinummer"/>
        <w:id w:val="-2014525982"/>
        <w:text/>
      </w:sdtPr>
      <w:sdtEndPr/>
      <w:sdtContent>
        <w:r w:rsidR="006E3950">
          <w:t>431</w:t>
        </w:r>
      </w:sdtContent>
    </w:sdt>
  </w:p>
  <w:p w:rsidRPr="008227B3" w:rsidR="00262EA3" w:rsidP="008227B3" w:rsidRDefault="007D3856" w14:paraId="3D8D15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3856" w14:paraId="686D49BE" w14:textId="10154C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:2735</w:t>
        </w:r>
      </w:sdtContent>
    </w:sdt>
  </w:p>
  <w:p w:rsidR="00262EA3" w:rsidP="00E03A3D" w:rsidRDefault="007D3856" w14:paraId="43B2FCCD" w14:textId="48868286">
    <w:pPr>
      <w:pStyle w:val="Motionr"/>
    </w:pPr>
    <w:sdt>
      <w:sdtPr>
        <w:alias w:val="CC_Noformat_Avtext"/>
        <w:tag w:val="CC_Noformat_Avtext"/>
        <w:id w:val="-2020768203"/>
        <w:lock w:val="sdtContentLocked"/>
        <w:placeholder>
          <w:docPart w:val="E0F12FF35F404A01A13CF4C4AD4245DD"/>
        </w:placeholder>
        <w15:appearance w15:val="hidden"/>
        <w:text/>
      </w:sdtPr>
      <w:sdtEndPr/>
      <w:sdtContent>
        <w:r>
          <w:t>av Lawen Redar (S)</w:t>
        </w:r>
      </w:sdtContent>
    </w:sdt>
  </w:p>
  <w:sdt>
    <w:sdtPr>
      <w:alias w:val="CC_Noformat_Rubtext"/>
      <w:tag w:val="CC_Noformat_Rubtext"/>
      <w:id w:val="-218060500"/>
      <w:lock w:val="sdtContentLocked"/>
      <w:placeholder>
        <w:docPart w:val="80AD520C17704C60BE51F2A0E5AFC04E"/>
      </w:placeholder>
      <w:text/>
    </w:sdtPr>
    <w:sdtEndPr/>
    <w:sdtContent>
      <w:p w:rsidR="00262EA3" w:rsidP="00283E0F" w:rsidRDefault="006E3950" w14:paraId="44992B33" w14:textId="470DBEDB">
        <w:pPr>
          <w:pStyle w:val="FSHRub2"/>
        </w:pPr>
        <w:r>
          <w:t>Åtgärder för en levande, dynamisk och konkurrenskraftig konstmarknad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431B1E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39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0"/>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85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2B"/>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C1C48"/>
  <w15:chartTrackingRefBased/>
  <w15:docId w15:val="{6437F0CE-045F-4087-A577-F88022A2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486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9EA28DCC84FF093DF0BFFDF45019C"/>
        <w:category>
          <w:name w:val="Allmänt"/>
          <w:gallery w:val="placeholder"/>
        </w:category>
        <w:types>
          <w:type w:val="bbPlcHdr"/>
        </w:types>
        <w:behaviors>
          <w:behavior w:val="content"/>
        </w:behaviors>
        <w:guid w:val="{A465BADE-8450-4698-8402-21105AB71AD9}"/>
      </w:docPartPr>
      <w:docPartBody>
        <w:p w:rsidR="00126594" w:rsidRDefault="00126594">
          <w:pPr>
            <w:pStyle w:val="BAF9EA28DCC84FF093DF0BFFDF45019C"/>
          </w:pPr>
          <w:r w:rsidRPr="005A0A93">
            <w:rPr>
              <w:rStyle w:val="Platshllartext"/>
            </w:rPr>
            <w:t>Förslag till riksdagsbeslut</w:t>
          </w:r>
        </w:p>
      </w:docPartBody>
    </w:docPart>
    <w:docPart>
      <w:docPartPr>
        <w:name w:val="7BB905C4B1194E4D9C58476B048B9371"/>
        <w:category>
          <w:name w:val="Allmänt"/>
          <w:gallery w:val="placeholder"/>
        </w:category>
        <w:types>
          <w:type w:val="bbPlcHdr"/>
        </w:types>
        <w:behaviors>
          <w:behavior w:val="content"/>
        </w:behaviors>
        <w:guid w:val="{E40BDFA9-0E3B-4DD0-B73A-26205048E0D2}"/>
      </w:docPartPr>
      <w:docPartBody>
        <w:p w:rsidR="00126594" w:rsidRDefault="00126594">
          <w:pPr>
            <w:pStyle w:val="7BB905C4B1194E4D9C58476B048B9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523090589B48139FE4A2D357BF620B"/>
        <w:category>
          <w:name w:val="Allmänt"/>
          <w:gallery w:val="placeholder"/>
        </w:category>
        <w:types>
          <w:type w:val="bbPlcHdr"/>
        </w:types>
        <w:behaviors>
          <w:behavior w:val="content"/>
        </w:behaviors>
        <w:guid w:val="{A7C0504C-C091-4C9D-AD9E-928A714A6585}"/>
      </w:docPartPr>
      <w:docPartBody>
        <w:p w:rsidR="00126594" w:rsidRDefault="00126594">
          <w:pPr>
            <w:pStyle w:val="67523090589B48139FE4A2D357BF620B"/>
          </w:pPr>
          <w:r w:rsidRPr="005A0A93">
            <w:rPr>
              <w:rStyle w:val="Platshllartext"/>
            </w:rPr>
            <w:t>Motivering</w:t>
          </w:r>
        </w:p>
      </w:docPartBody>
    </w:docPart>
    <w:docPart>
      <w:docPartPr>
        <w:name w:val="38B72B38C4FC4CA6946D708E97ED2CCB"/>
        <w:category>
          <w:name w:val="Allmänt"/>
          <w:gallery w:val="placeholder"/>
        </w:category>
        <w:types>
          <w:type w:val="bbPlcHdr"/>
        </w:types>
        <w:behaviors>
          <w:behavior w:val="content"/>
        </w:behaviors>
        <w:guid w:val="{84F0561C-7364-478D-B2F7-D2A1AA3B77B0}"/>
      </w:docPartPr>
      <w:docPartBody>
        <w:p w:rsidR="00126594" w:rsidRDefault="00126594">
          <w:pPr>
            <w:pStyle w:val="38B72B38C4FC4CA6946D708E97ED2CCB"/>
          </w:pPr>
          <w:r w:rsidRPr="009B077E">
            <w:rPr>
              <w:rStyle w:val="Platshllartext"/>
            </w:rPr>
            <w:t>Namn på motionärer infogas/tas bort via panelen.</w:t>
          </w:r>
        </w:p>
      </w:docPartBody>
    </w:docPart>
    <w:docPart>
      <w:docPartPr>
        <w:name w:val="E0F12FF35F404A01A13CF4C4AD4245DD"/>
        <w:category>
          <w:name w:val="Allmänt"/>
          <w:gallery w:val="placeholder"/>
        </w:category>
        <w:types>
          <w:type w:val="bbPlcHdr"/>
        </w:types>
        <w:behaviors>
          <w:behavior w:val="content"/>
        </w:behaviors>
        <w:guid w:val="{DE4FC32A-8D7E-4B02-AA14-C865B68DA0C4}"/>
      </w:docPartPr>
      <w:docPartBody>
        <w:p w:rsidR="00126594" w:rsidRDefault="00126594">
          <w:pPr>
            <w:pStyle w:val="E0F12FF35F404A01A13CF4C4AD4245DD"/>
          </w:pPr>
          <w:r>
            <w:rPr>
              <w:rStyle w:val="Platshllartext"/>
            </w:rPr>
            <w:t xml:space="preserve"> </w:t>
          </w:r>
        </w:p>
      </w:docPartBody>
    </w:docPart>
    <w:docPart>
      <w:docPartPr>
        <w:name w:val="80AD520C17704C60BE51F2A0E5AFC04E"/>
        <w:category>
          <w:name w:val="Allmänt"/>
          <w:gallery w:val="placeholder"/>
        </w:category>
        <w:types>
          <w:type w:val="bbPlcHdr"/>
        </w:types>
        <w:behaviors>
          <w:behavior w:val="content"/>
        </w:behaviors>
        <w:guid w:val="{8C2D5241-8494-478E-9498-2104E5B8B6A7}"/>
      </w:docPartPr>
      <w:docPartBody>
        <w:p w:rsidR="00126594" w:rsidRDefault="00126594">
          <w:pPr>
            <w:pStyle w:val="80AD520C17704C60BE51F2A0E5AFC0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94"/>
    <w:rsid w:val="00126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9EA28DCC84FF093DF0BFFDF45019C">
    <w:name w:val="BAF9EA28DCC84FF093DF0BFFDF45019C"/>
  </w:style>
  <w:style w:type="paragraph" w:customStyle="1" w:styleId="7BB905C4B1194E4D9C58476B048B9371">
    <w:name w:val="7BB905C4B1194E4D9C58476B048B9371"/>
  </w:style>
  <w:style w:type="paragraph" w:customStyle="1" w:styleId="67523090589B48139FE4A2D357BF620B">
    <w:name w:val="67523090589B48139FE4A2D357BF620B"/>
  </w:style>
  <w:style w:type="paragraph" w:customStyle="1" w:styleId="38B72B38C4FC4CA6946D708E97ED2CCB">
    <w:name w:val="38B72B38C4FC4CA6946D708E97ED2CCB"/>
  </w:style>
  <w:style w:type="paragraph" w:customStyle="1" w:styleId="E0F12FF35F404A01A13CF4C4AD4245DD">
    <w:name w:val="E0F12FF35F404A01A13CF4C4AD4245DD"/>
  </w:style>
  <w:style w:type="paragraph" w:customStyle="1" w:styleId="80AD520C17704C60BE51F2A0E5AFC04E">
    <w:name w:val="80AD520C17704C60BE51F2A0E5AFC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DB036-3DE1-4491-8409-899B264020FE}"/>
</file>

<file path=customXml/itemProps2.xml><?xml version="1.0" encoding="utf-8"?>
<ds:datastoreItem xmlns:ds="http://schemas.openxmlformats.org/officeDocument/2006/customXml" ds:itemID="{A3BD4B85-B77E-49A5-B3FF-62CD4205605E}"/>
</file>

<file path=customXml/itemProps3.xml><?xml version="1.0" encoding="utf-8"?>
<ds:datastoreItem xmlns:ds="http://schemas.openxmlformats.org/officeDocument/2006/customXml" ds:itemID="{325FBB58-1D02-4B6A-9ED5-2CBE53B0A94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1483</Words>
  <Characters>9630</Characters>
  <Application>Microsoft Office Word</Application>
  <DocSecurity>0</DocSecurity>
  <Lines>156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