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32147">
        <w:tblPrEx>
          <w:tblCellMar>
            <w:top w:w="0" w:type="dxa"/>
            <w:bottom w:w="0" w:type="dxa"/>
          </w:tblCellMar>
        </w:tblPrEx>
        <w:trPr>
          <w:cantSplit/>
          <w:trHeight w:hRule="exact" w:val="1260"/>
        </w:trPr>
        <w:tc>
          <w:tcPr>
            <w:tcW w:w="6024" w:type="dxa"/>
            <w:gridSpan w:val="2"/>
            <w:vMerge w:val="restart"/>
          </w:tcPr>
          <w:p w:rsidR="002E6309" w:rsidRPr="00B32147" w:rsidRDefault="002E6309">
            <w:pPr>
              <w:pStyle w:val="HuvudRubrik"/>
            </w:pPr>
            <w:bookmarkStart w:id="0" w:name="BetänkandeRubrik"/>
            <w:bookmarkEnd w:id="0"/>
            <w:r w:rsidRPr="00B32147">
              <w:t>Försvarsutskottets betänkande</w:t>
            </w:r>
            <w:r w:rsidR="00B32147" w:rsidRPr="00B32147">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95711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E6309" w:rsidRPr="00B32147" w:rsidRDefault="002E6309">
                                  <w:pPr>
                                    <w:pStyle w:val="Logo"/>
                                  </w:pPr>
                                  <w:r w:rsidRPr="00B32147">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254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E6309" w:rsidRPr="00B32147" w:rsidRDefault="002E6309">
                            <w:pPr>
                              <w:pStyle w:val="Logo"/>
                            </w:pPr>
                            <w:r w:rsidRPr="00B32147">
                              <w:object w:dxaOrig="840" w:dyaOrig="1545">
                                <v:shape id="_x0000_i1025" type="#_x0000_t75" style="width:90.45pt;height:77.15pt" fillcolor="window">
                                  <v:imagedata r:id="rId7" o:title="" cropright="-75835f"/>
                                </v:shape>
                                <o:OLEObject Type="Embed" ProgID="Word.Picture.8" ShapeID="_x0000_i1025" DrawAspect="Content" ObjectID="_1827342541" r:id="rId9"/>
                              </w:object>
                            </w:r>
                          </w:p>
                        </w:txbxContent>
                      </v:textbox>
                      <w10:wrap anchorx="page" anchory="page"/>
                    </v:shape>
                  </w:pict>
                </mc:Fallback>
              </mc:AlternateContent>
            </w:r>
          </w:p>
          <w:p w:rsidR="002E6309" w:rsidRPr="00B32147" w:rsidRDefault="002E6309">
            <w:pPr>
              <w:pStyle w:val="HuvudRubrikRad2"/>
            </w:pPr>
            <w:bookmarkStart w:id="17" w:name="BetänkandeNr"/>
            <w:bookmarkEnd w:id="17"/>
            <w:r w:rsidRPr="00B32147">
              <w:t>1999/2000:FöU5</w:t>
            </w:r>
          </w:p>
          <w:p w:rsidR="002E6309" w:rsidRPr="00B32147" w:rsidRDefault="002E6309">
            <w:pPr>
              <w:pStyle w:val="BetnkandeRubrik"/>
            </w:pPr>
            <w:bookmarkStart w:id="18" w:name="Huvudrubrik"/>
            <w:bookmarkEnd w:id="18"/>
            <w:r w:rsidRPr="00B32147">
              <w:t>Samhällets räddningstjänst, m.m.</w:t>
            </w:r>
          </w:p>
        </w:tc>
        <w:tc>
          <w:tcPr>
            <w:tcW w:w="1559" w:type="dxa"/>
            <w:tcBorders>
              <w:bottom w:val="nil"/>
            </w:tcBorders>
          </w:tcPr>
          <w:p w:rsidR="002E6309" w:rsidRPr="00B32147" w:rsidRDefault="002E6309">
            <w:pPr>
              <w:spacing w:before="0" w:line="230" w:lineRule="auto"/>
              <w:rPr>
                <w:sz w:val="24"/>
              </w:rPr>
            </w:pPr>
          </w:p>
        </w:tc>
      </w:tr>
      <w:tr w:rsidR="00000000" w:rsidRPr="00B32147">
        <w:tblPrEx>
          <w:tblCellMar>
            <w:top w:w="0" w:type="dxa"/>
            <w:bottom w:w="0" w:type="dxa"/>
          </w:tblCellMar>
        </w:tblPrEx>
        <w:trPr>
          <w:cantSplit/>
          <w:trHeight w:hRule="exact" w:val="240"/>
        </w:trPr>
        <w:tc>
          <w:tcPr>
            <w:tcW w:w="6024" w:type="dxa"/>
            <w:gridSpan w:val="2"/>
            <w:vMerge/>
            <w:tcBorders>
              <w:top w:val="nil"/>
              <w:bottom w:val="nil"/>
            </w:tcBorders>
          </w:tcPr>
          <w:p w:rsidR="002E6309" w:rsidRPr="00B32147" w:rsidRDefault="002E6309">
            <w:pPr>
              <w:spacing w:before="40" w:after="900" w:line="280" w:lineRule="exact"/>
              <w:jc w:val="left"/>
              <w:rPr>
                <w:sz w:val="28"/>
              </w:rPr>
            </w:pPr>
          </w:p>
        </w:tc>
        <w:tc>
          <w:tcPr>
            <w:tcW w:w="1559" w:type="dxa"/>
          </w:tcPr>
          <w:p w:rsidR="002E6309" w:rsidRPr="00B32147" w:rsidRDefault="002E6309">
            <w:pPr>
              <w:pStyle w:val="rtal"/>
            </w:pPr>
            <w:r w:rsidRPr="00B32147">
              <w:t>1999/2000</w:t>
            </w:r>
          </w:p>
        </w:tc>
      </w:tr>
      <w:tr w:rsidR="00000000" w:rsidRPr="00B32147">
        <w:tblPrEx>
          <w:tblCellMar>
            <w:top w:w="0" w:type="dxa"/>
            <w:bottom w:w="0" w:type="dxa"/>
          </w:tblCellMar>
        </w:tblPrEx>
        <w:trPr>
          <w:cantSplit/>
          <w:trHeight w:val="560"/>
        </w:trPr>
        <w:tc>
          <w:tcPr>
            <w:tcW w:w="6024" w:type="dxa"/>
            <w:gridSpan w:val="2"/>
            <w:vMerge/>
            <w:tcBorders>
              <w:top w:val="nil"/>
              <w:bottom w:val="single" w:sz="6" w:space="0" w:color="auto"/>
            </w:tcBorders>
          </w:tcPr>
          <w:p w:rsidR="002E6309" w:rsidRPr="00B32147" w:rsidRDefault="002E6309">
            <w:pPr>
              <w:spacing w:before="40" w:after="900" w:line="280" w:lineRule="exact"/>
              <w:jc w:val="left"/>
              <w:rPr>
                <w:sz w:val="28"/>
              </w:rPr>
            </w:pPr>
          </w:p>
        </w:tc>
        <w:tc>
          <w:tcPr>
            <w:tcW w:w="1559" w:type="dxa"/>
            <w:tcBorders>
              <w:bottom w:val="single" w:sz="6" w:space="0" w:color="auto"/>
            </w:tcBorders>
          </w:tcPr>
          <w:p w:rsidR="002E6309" w:rsidRPr="00B32147" w:rsidRDefault="002E6309">
            <w:pPr>
              <w:pStyle w:val="rtal"/>
            </w:pPr>
            <w:r w:rsidRPr="00B32147">
              <w:t>FöU5</w:t>
            </w:r>
          </w:p>
        </w:tc>
      </w:tr>
      <w:tr w:rsidR="00000000" w:rsidRPr="00B32147">
        <w:tblPrEx>
          <w:tblCellMar>
            <w:top w:w="0" w:type="dxa"/>
            <w:bottom w:w="0" w:type="dxa"/>
          </w:tblCellMar>
        </w:tblPrEx>
        <w:trPr>
          <w:cantSplit/>
          <w:trHeight w:hRule="exact" w:val="660"/>
        </w:trPr>
        <w:tc>
          <w:tcPr>
            <w:tcW w:w="3012" w:type="dxa"/>
          </w:tcPr>
          <w:p w:rsidR="002E6309" w:rsidRPr="00B32147" w:rsidRDefault="002E6309">
            <w:pPr>
              <w:pStyle w:val="StatusSida1"/>
            </w:pPr>
          </w:p>
        </w:tc>
        <w:tc>
          <w:tcPr>
            <w:tcW w:w="3012" w:type="dxa"/>
          </w:tcPr>
          <w:p w:rsidR="002E6309" w:rsidRPr="00B32147" w:rsidRDefault="002E6309">
            <w:pPr>
              <w:pStyle w:val="UtskriftsdatumSida1"/>
              <w:rPr>
                <w:b/>
                <w:sz w:val="28"/>
              </w:rPr>
            </w:pPr>
          </w:p>
        </w:tc>
        <w:tc>
          <w:tcPr>
            <w:tcW w:w="1559" w:type="dxa"/>
          </w:tcPr>
          <w:p w:rsidR="002E6309" w:rsidRPr="00B32147" w:rsidRDefault="002E6309"/>
        </w:tc>
      </w:tr>
    </w:tbl>
    <w:p w:rsidR="002E6309" w:rsidRPr="00B32147" w:rsidRDefault="002E6309">
      <w:pPr>
        <w:pStyle w:val="Rubrik1"/>
        <w:spacing w:before="0"/>
      </w:pPr>
      <w:bookmarkStart w:id="19" w:name="_Toc481551081"/>
      <w:r w:rsidRPr="00B32147">
        <w:t>Sammanfattning</w:t>
      </w:r>
      <w:bookmarkEnd w:id="19"/>
    </w:p>
    <w:p w:rsidR="002E6309" w:rsidRPr="00B32147" w:rsidRDefault="002E6309">
      <w:r w:rsidRPr="00B32147">
        <w:t>Utskottet behandlar i betänkandet 13 motioner från den allmänna motionst</w:t>
      </w:r>
      <w:r w:rsidRPr="00B32147">
        <w:t>i</w:t>
      </w:r>
      <w:r w:rsidRPr="00B32147">
        <w:t>den med yrkanden som har beröring med samhällets räddningstjänst. Det är frågor som bl.a. rör det allmänna säkerhetsmedevetandet, transport av farligt gods, monopolet inom sotningsväsendet, gemensam teknik för radiokomm</w:t>
      </w:r>
      <w:r w:rsidRPr="00B32147">
        <w:t>u</w:t>
      </w:r>
      <w:r w:rsidRPr="00B32147">
        <w:t>nikation m.m.</w:t>
      </w:r>
    </w:p>
    <w:p w:rsidR="002E6309" w:rsidRPr="00B32147" w:rsidRDefault="002E6309">
      <w:pPr>
        <w:pStyle w:val="Normaltindrag"/>
      </w:pPr>
      <w:r w:rsidRPr="00B32147">
        <w:t xml:space="preserve">Frågan om </w:t>
      </w:r>
      <w:r w:rsidRPr="00B32147">
        <w:rPr>
          <w:i/>
        </w:rPr>
        <w:t>transport av farligt gods</w:t>
      </w:r>
      <w:r w:rsidRPr="00B32147">
        <w:t>, som i dagarna fått ökad aktualitet g</w:t>
      </w:r>
      <w:r w:rsidRPr="00B32147">
        <w:t>e</w:t>
      </w:r>
      <w:r w:rsidRPr="00B32147">
        <w:t>nom den allvarliga gasololyckan vid bangården i centrala Borlänge, up</w:t>
      </w:r>
      <w:r w:rsidRPr="00B32147">
        <w:t>p</w:t>
      </w:r>
      <w:r w:rsidRPr="00B32147">
        <w:t>märksammas särskilt av utskottet. Utskottet utgår ifrån att regeringen följer frågan om transport av farligt gods med uppmärksamhet och återkommer till riksdagen med en redovisning i denna angelägna fråga.</w:t>
      </w:r>
    </w:p>
    <w:p w:rsidR="002E6309" w:rsidRPr="00B32147" w:rsidRDefault="002E6309">
      <w:pPr>
        <w:pStyle w:val="Normaltindrag"/>
      </w:pPr>
      <w:r w:rsidRPr="00B32147">
        <w:t xml:space="preserve">När det gäller </w:t>
      </w:r>
      <w:r w:rsidRPr="00B32147">
        <w:rPr>
          <w:i/>
        </w:rPr>
        <w:t>monopolet inom sotningsväsendet</w:t>
      </w:r>
      <w:r w:rsidRPr="00B32147">
        <w:t xml:space="preserve"> kan utskottet konstatera att denna fråga under lång tid varit föremål för ett omfattande utrednings- och beredningsarbete. Utskottet utgår ifrån att frågan kommer att beredas skyndsamt inom Regeringskansliet och att regeringen återkommer till rik</w:t>
      </w:r>
      <w:r w:rsidRPr="00B32147">
        <w:t>s</w:t>
      </w:r>
      <w:r w:rsidRPr="00B32147">
        <w:t>dagen med förslag i ärendet, senast under nästa riksmöte. Utskottet anser att detta bör riksdagen som sin mening ge regeringen till känna.</w:t>
      </w:r>
    </w:p>
    <w:p w:rsidR="002E6309" w:rsidRPr="00B32147" w:rsidRDefault="002E6309">
      <w:r w:rsidRPr="00B32147">
        <w:t xml:space="preserve">En reservation </w:t>
      </w:r>
      <w:r w:rsidRPr="00B32147">
        <w:rPr>
          <w:i/>
        </w:rPr>
        <w:t>(s, v, c)</w:t>
      </w:r>
      <w:r w:rsidRPr="00B32147">
        <w:t xml:space="preserve"> om monopolet inom sotningsväsendet har fogats till betänkandet.</w:t>
      </w:r>
    </w:p>
    <w:p w:rsidR="002E6309" w:rsidRPr="00B32147" w:rsidRDefault="002E6309">
      <w:pPr>
        <w:pStyle w:val="Rubrik1"/>
      </w:pPr>
      <w:bookmarkStart w:id="20" w:name="Textstart"/>
      <w:bookmarkStart w:id="21" w:name="_Toc481551082"/>
      <w:bookmarkEnd w:id="20"/>
      <w:r w:rsidRPr="00B32147">
        <w:t>Motionerna</w:t>
      </w:r>
      <w:bookmarkEnd w:id="21"/>
    </w:p>
    <w:p w:rsidR="002E6309" w:rsidRPr="00B32147" w:rsidRDefault="002E6309">
      <w:pPr>
        <w:pStyle w:val="R2"/>
        <w:spacing w:before="123"/>
      </w:pPr>
      <w:r w:rsidRPr="00B32147">
        <w:t>Motioner väckta under den allmänna motionstiden 1999</w:t>
      </w:r>
    </w:p>
    <w:p w:rsidR="002E6309" w:rsidRPr="00B32147" w:rsidRDefault="002E6309">
      <w:r w:rsidRPr="00B32147">
        <w:t>1999/2000:Fö213 av Åke Carnerö m.fl. (kd) vari yrkas</w:t>
      </w:r>
    </w:p>
    <w:p w:rsidR="002E6309" w:rsidRPr="00B32147" w:rsidRDefault="002E6309">
      <w:pPr>
        <w:pStyle w:val="Normaltindrag"/>
      </w:pPr>
      <w:r w:rsidRPr="00B32147">
        <w:t>1. att riksdagen som sin mening ger regeringen till känna vad i motionen anförts om ett utbildningsprogram för tvärsektoriellt olycksförebyggande arb</w:t>
      </w:r>
      <w:r w:rsidRPr="00B32147">
        <w:t>e</w:t>
      </w:r>
      <w:r w:rsidRPr="00B32147">
        <w:t>te,</w:t>
      </w:r>
    </w:p>
    <w:p w:rsidR="002E6309" w:rsidRPr="00B32147" w:rsidRDefault="002E6309">
      <w:pPr>
        <w:pStyle w:val="Normaltindrag"/>
      </w:pPr>
      <w:r w:rsidRPr="00B32147">
        <w:t>4. att riksdagen som sin mening ger regeringen till känna vad i motionen anförts om att vidareutveckla Räddningsverkets handlingsprogram vad gäller den enskilda människans förmåga till förebyggande åtgä</w:t>
      </w:r>
      <w:r w:rsidRPr="00B32147">
        <w:t>r</w:t>
      </w:r>
      <w:r w:rsidRPr="00B32147">
        <w:t>der,</w:t>
      </w:r>
    </w:p>
    <w:p w:rsidR="002E6309" w:rsidRPr="00B32147" w:rsidRDefault="002E6309">
      <w:pPr>
        <w:pStyle w:val="Normaltindrag"/>
      </w:pPr>
      <w:r w:rsidRPr="00B32147">
        <w:t>5. att riksdagen som sin mening ger regeringen till känna vad i motionen anförts om en utredning om vardagens hot och risker.</w:t>
      </w:r>
    </w:p>
    <w:p w:rsidR="002E6309" w:rsidRPr="00B32147" w:rsidRDefault="002E6309">
      <w:r w:rsidRPr="00B32147">
        <w:lastRenderedPageBreak/>
        <w:t>1999/2000:Fö401 av Henrik Westman (m) vari yrkas att riksdagen som sin mening ger regeringen till känna vad i motionen anförts om införande av utbildning i samhällets skydds- och räddningstjänstfrågor.</w:t>
      </w:r>
    </w:p>
    <w:p w:rsidR="002E6309" w:rsidRPr="00B32147" w:rsidRDefault="002E6309">
      <w:r w:rsidRPr="00B32147">
        <w:t>1999/2000:Fö701 av Gudrun Lindvall m.fl. (mp) vari yrkas att riksdagen som sin mening ger regeringen till känna vad i motionen anförts om avregl</w:t>
      </w:r>
      <w:r w:rsidRPr="00B32147">
        <w:t>e</w:t>
      </w:r>
      <w:r w:rsidRPr="00B32147">
        <w:t>ring av sotningsmonopolet.</w:t>
      </w:r>
    </w:p>
    <w:p w:rsidR="002E6309" w:rsidRPr="00B32147" w:rsidRDefault="002E6309">
      <w:r w:rsidRPr="00B32147">
        <w:t>1999/2000:Fö702 av Stig Sandström m.fl. (v) vari yrkas att riksdagen som sin mening ger regeringen till känna vad i motionen anförts om behovet av en katastroffond.</w:t>
      </w:r>
    </w:p>
    <w:p w:rsidR="002E6309" w:rsidRPr="00B32147" w:rsidRDefault="002E6309">
      <w:r w:rsidRPr="00B32147">
        <w:t>1999/2000:Fö703 av Kenneth Lantz (kd) vari yrkas</w:t>
      </w:r>
    </w:p>
    <w:p w:rsidR="002E6309" w:rsidRPr="00B32147" w:rsidRDefault="002E6309">
      <w:pPr>
        <w:pStyle w:val="Normaltindrag"/>
      </w:pPr>
      <w:r w:rsidRPr="00B32147">
        <w:t>1. att riksdagen som sin mening ger regeringen till känna vad i motionen anförts om transporter av farligt gods,</w:t>
      </w:r>
    </w:p>
    <w:p w:rsidR="002E6309" w:rsidRPr="00B32147" w:rsidRDefault="002E6309">
      <w:pPr>
        <w:pStyle w:val="Normaltindrag"/>
      </w:pPr>
      <w:r w:rsidRPr="00B32147">
        <w:t>2. att riksdagen som sin mening ger regeringen till känna vad i motionen anförts om behovet av ett samlat dokument över regelverk och ansvar när det gäller transporter av farligt gods.</w:t>
      </w:r>
    </w:p>
    <w:p w:rsidR="002E6309" w:rsidRPr="00B32147" w:rsidRDefault="002E6309">
      <w:r w:rsidRPr="00B32147">
        <w:t>1999/2000:Fö704 av Karin Enström (m) vari yrkas att riksdagen som sin mening ger regeringen till känna vad i motionen anförts om regler för vid</w:t>
      </w:r>
      <w:r w:rsidRPr="00B32147">
        <w:t>a</w:t>
      </w:r>
      <w:r w:rsidRPr="00B32147">
        <w:t>retransporter av farligt gods.</w:t>
      </w:r>
    </w:p>
    <w:p w:rsidR="002E6309" w:rsidRPr="00B32147" w:rsidRDefault="002E6309">
      <w:r w:rsidRPr="00B32147">
        <w:t>1999/2000:Fö705 av Jarl Lander och Ann-Kristine Johansson (s) vari yrkas att riksdagen som sin mening ger regeringen till känna vad i motionen a</w:t>
      </w:r>
      <w:r w:rsidRPr="00B32147">
        <w:t>n</w:t>
      </w:r>
      <w:r w:rsidRPr="00B32147">
        <w:t>förts om ersättning för skador i samband med översvämningar av reglerade vattendrag.</w:t>
      </w:r>
    </w:p>
    <w:p w:rsidR="002E6309" w:rsidRPr="00B32147" w:rsidRDefault="002E6309">
      <w:r w:rsidRPr="00B32147">
        <w:t>1999/2000:Fö706 av Jarl Lander och Anita Jönsson (s) vari yrkas att riksd</w:t>
      </w:r>
      <w:r w:rsidRPr="00B32147">
        <w:t>a</w:t>
      </w:r>
      <w:r w:rsidRPr="00B32147">
        <w:t>gen som sin mening ger regeringen till känna vad i motionen anförts om nationella insatser vid kriser och katastrofer.</w:t>
      </w:r>
    </w:p>
    <w:p w:rsidR="002E6309" w:rsidRPr="00B32147" w:rsidRDefault="002E6309">
      <w:r w:rsidRPr="00B32147">
        <w:t xml:space="preserve">1999/2000:Fö707 av Lennart Daléus (c) vari yrkas </w:t>
      </w:r>
    </w:p>
    <w:p w:rsidR="002E6309" w:rsidRPr="00B32147" w:rsidRDefault="002E6309">
      <w:pPr>
        <w:pStyle w:val="Normaltindrag"/>
      </w:pPr>
      <w:r w:rsidRPr="00B32147">
        <w:t>1. att riksdagen som sin mening ger regeringen till känna vad i motionen anförts om behovet av brandförsvarsplaner för landets nationalparker,</w:t>
      </w:r>
    </w:p>
    <w:p w:rsidR="002E6309" w:rsidRPr="00B32147" w:rsidRDefault="002E6309">
      <w:pPr>
        <w:pStyle w:val="Normaltindrag"/>
      </w:pPr>
      <w:r w:rsidRPr="00B32147">
        <w:t>2. att riksdagen som sin mening ger regeringen till känna vad i motionen anförts om behovet av en översyn av samordningsfrågor mellan olika my</w:t>
      </w:r>
      <w:r w:rsidRPr="00B32147">
        <w:t>n</w:t>
      </w:r>
      <w:r w:rsidRPr="00B32147">
        <w:t>digheter.</w:t>
      </w:r>
    </w:p>
    <w:p w:rsidR="002E6309" w:rsidRPr="00B32147" w:rsidRDefault="002E6309">
      <w:r w:rsidRPr="00B32147">
        <w:t>1999/2000:Fö801 av Bengt Silfverstrand och Marianne Jönsson (s) vari yrkas att riksdagen som sin mening ger regeringen till känna vad i motionen anförts om förbud mot försäljning av smällare.</w:t>
      </w:r>
    </w:p>
    <w:p w:rsidR="002E6309" w:rsidRPr="00B32147" w:rsidRDefault="002E6309">
      <w:r w:rsidRPr="00B32147">
        <w:t>1999/2000:Fö802 av Torgny Danielsson m.fl. (s) vari yrkas att riksdagen som sin mening ger regeringen till känna vad i motionen anförts om överf</w:t>
      </w:r>
      <w:r w:rsidRPr="00B32147">
        <w:t>ö</w:t>
      </w:r>
      <w:r w:rsidRPr="00B32147">
        <w:t>ring av uppgifter från Sprängämnesinspektionen till Räddningsverket.</w:t>
      </w:r>
    </w:p>
    <w:p w:rsidR="002E6309" w:rsidRPr="00B32147" w:rsidRDefault="002E6309">
      <w:r w:rsidRPr="00B32147">
        <w:t>1999/2000Fö803 av Gunnar Axén (m) vari yrkas att riksdagen som sin m</w:t>
      </w:r>
      <w:r w:rsidRPr="00B32147">
        <w:t>e</w:t>
      </w:r>
      <w:r w:rsidRPr="00B32147">
        <w:t>ning ger regeringen till känna vad i motionen anförts om radiokommunik</w:t>
      </w:r>
      <w:r w:rsidRPr="00B32147">
        <w:t>a</w:t>
      </w:r>
      <w:r w:rsidRPr="00B32147">
        <w:t>tion.</w:t>
      </w:r>
    </w:p>
    <w:p w:rsidR="002E6309" w:rsidRPr="00B32147" w:rsidRDefault="002E6309">
      <w:r w:rsidRPr="00B32147">
        <w:t xml:space="preserve">1999/2000:Ju223 av Berit Jóhannesson m.fl. (v) vari yrkas </w:t>
      </w:r>
    </w:p>
    <w:p w:rsidR="002E6309" w:rsidRPr="00B32147" w:rsidRDefault="002E6309">
      <w:pPr>
        <w:pStyle w:val="Normaltindrag"/>
      </w:pPr>
      <w:r w:rsidRPr="00B32147">
        <w:t>3. att riksdagen hos regeringen begär att Räddningsverket får i uppdrag att utveckla åtgärder i syfte att utöka andelen ungdomar med invandrarbakgrund inom brandmannayrket.</w:t>
      </w:r>
    </w:p>
    <w:p w:rsidR="002E6309" w:rsidRPr="00B32147" w:rsidRDefault="002E6309">
      <w:pPr>
        <w:pStyle w:val="Rubrik1"/>
      </w:pPr>
      <w:bookmarkStart w:id="22" w:name="_Toc481551083"/>
      <w:r w:rsidRPr="00B32147">
        <w:t>Utskottet</w:t>
      </w:r>
      <w:bookmarkEnd w:id="22"/>
    </w:p>
    <w:p w:rsidR="002E6309" w:rsidRPr="00B32147" w:rsidRDefault="002E6309">
      <w:pPr>
        <w:pStyle w:val="Rubrik2"/>
        <w:spacing w:before="123"/>
      </w:pPr>
      <w:bookmarkStart w:id="23" w:name="_Toc481551084"/>
      <w:r w:rsidRPr="00B32147">
        <w:t>Samhällets räddningstjänst m.m.</w:t>
      </w:r>
      <w:bookmarkEnd w:id="23"/>
    </w:p>
    <w:p w:rsidR="002E6309" w:rsidRPr="00B32147" w:rsidRDefault="002E6309">
      <w:pPr>
        <w:pStyle w:val="R3"/>
        <w:spacing w:before="123"/>
      </w:pPr>
      <w:r w:rsidRPr="00B32147">
        <w:t>Motionerna</w:t>
      </w:r>
    </w:p>
    <w:p w:rsidR="002E6309" w:rsidRPr="00B32147" w:rsidRDefault="002E6309">
      <w:pPr>
        <w:rPr>
          <w:i/>
        </w:rPr>
      </w:pPr>
      <w:r w:rsidRPr="00B32147">
        <w:t xml:space="preserve">I </w:t>
      </w:r>
      <w:r w:rsidRPr="00B32147">
        <w:rPr>
          <w:i/>
        </w:rPr>
        <w:t xml:space="preserve">kommittémotion Fö213 (kd) </w:t>
      </w:r>
      <w:r w:rsidRPr="00B32147">
        <w:t xml:space="preserve">anför bl.a. Kristdemokraterna att det behövs utbildning och information för att öka det allmänna säkerhetsmedvetandet i vårt samhälle och förbättra den enskilda människans förmåga att förhindra olyckor och möjligheter att agera på rätt sätt vid olyckor, katastrofer och störningar i infrastruktursystemen. Vårt utbildningssystem har liksom de frivilliga försvarsorganisationerna viktiga roller när det gäller att ge barn och ungdomar kunskap </w:t>
      </w:r>
      <w:r w:rsidRPr="00B32147">
        <w:rPr>
          <w:i/>
        </w:rPr>
        <w:t>(yrkande 1).</w:t>
      </w:r>
      <w:r w:rsidRPr="00B32147">
        <w:t xml:space="preserve"> Vidare anförs också att Räddnin</w:t>
      </w:r>
      <w:r w:rsidRPr="00B32147">
        <w:t>gsverkets program vad gäller den enskilda människans förmåga till förebyggande åtgärder bör utvecklas vidare så att det förmedlas ut i samhällets olika ver</w:t>
      </w:r>
      <w:r w:rsidRPr="00B32147">
        <w:t>k</w:t>
      </w:r>
      <w:r w:rsidRPr="00B32147">
        <w:t xml:space="preserve">samheter och når den enskilda människan på olika sätt </w:t>
      </w:r>
      <w:r w:rsidRPr="00B32147">
        <w:rPr>
          <w:i/>
        </w:rPr>
        <w:t>(yrkande 4).</w:t>
      </w:r>
      <w:r w:rsidRPr="00B32147">
        <w:t xml:space="preserve"> En u</w:t>
      </w:r>
      <w:r w:rsidRPr="00B32147">
        <w:t>t</w:t>
      </w:r>
      <w:r w:rsidRPr="00B32147">
        <w:t xml:space="preserve">redning om vardagens hot och risker anser Kristdemokraterna bör tillsättas med syfte att bilda utgångspunkt för kunskapslyft och informationsspridning om de olyckor och påfrestningar vi kan utsättas för i det fredstida samhället och hur olyckor kan förhindras </w:t>
      </w:r>
      <w:r w:rsidRPr="00B32147">
        <w:rPr>
          <w:i/>
        </w:rPr>
        <w:t>(yrkande 5).</w:t>
      </w:r>
    </w:p>
    <w:p w:rsidR="002E6309" w:rsidRPr="00B32147" w:rsidRDefault="002E6309">
      <w:pPr>
        <w:pStyle w:val="Normaltindrag"/>
      </w:pPr>
      <w:r w:rsidRPr="00B32147">
        <w:t xml:space="preserve">I </w:t>
      </w:r>
      <w:r w:rsidRPr="00B32147">
        <w:rPr>
          <w:i/>
        </w:rPr>
        <w:t>motion Fö401 (m)</w:t>
      </w:r>
      <w:r w:rsidRPr="00B32147">
        <w:t xml:space="preserve"> av Henrik Westman framhålls också betydelsen av att öka riskmedvetenheten i samhället genom utbildning. En möjlighet att fö</w:t>
      </w:r>
      <w:r w:rsidRPr="00B32147">
        <w:t>r</w:t>
      </w:r>
      <w:r w:rsidRPr="00B32147">
        <w:t>bättra medborgarnas kunskaper i framtiden är, enligt motionären, om man i skolans utbildningsplan har en obligatorisk del som syftar till att öka ris</w:t>
      </w:r>
      <w:r w:rsidRPr="00B32147">
        <w:t>k</w:t>
      </w:r>
      <w:r w:rsidRPr="00B32147">
        <w:t xml:space="preserve">medvetandet och som ger kunskap om hur man kan undvika olyckor. </w:t>
      </w:r>
    </w:p>
    <w:p w:rsidR="002E6309" w:rsidRPr="00B32147" w:rsidRDefault="002E6309">
      <w:pPr>
        <w:pStyle w:val="Normaltindrag"/>
      </w:pPr>
      <w:r w:rsidRPr="00B32147">
        <w:t xml:space="preserve">I </w:t>
      </w:r>
      <w:r w:rsidRPr="00B32147">
        <w:rPr>
          <w:i/>
        </w:rPr>
        <w:t>motion Fö706 (s)</w:t>
      </w:r>
      <w:r w:rsidRPr="00B32147">
        <w:t xml:space="preserve"> av Jarl Lander och Anita Jönsson anförs att Sverige saknar ett nationellt program och en nationell expertgrupp för psykologiskt omhändertagande i samband med katastrofer. Motionärerna påtalar att i flera länder i Europa och i alla de nordiska länderna – utom Sverige – finns nati</w:t>
      </w:r>
      <w:r w:rsidRPr="00B32147">
        <w:t>o</w:t>
      </w:r>
      <w:r w:rsidRPr="00B32147">
        <w:t>nella, högspecialiserade grupper som ansvarar för de psykologiska insatse</w:t>
      </w:r>
      <w:r w:rsidRPr="00B32147">
        <w:t>r</w:t>
      </w:r>
      <w:r w:rsidRPr="00B32147">
        <w:t>na.</w:t>
      </w:r>
    </w:p>
    <w:p w:rsidR="002E6309" w:rsidRPr="00B32147" w:rsidRDefault="002E6309">
      <w:pPr>
        <w:pStyle w:val="Normaltindrag"/>
      </w:pPr>
      <w:r w:rsidRPr="00B32147">
        <w:t xml:space="preserve">I </w:t>
      </w:r>
      <w:r w:rsidRPr="00B32147">
        <w:rPr>
          <w:i/>
        </w:rPr>
        <w:t>motion Fö707 (c)</w:t>
      </w:r>
      <w:r w:rsidRPr="00B32147">
        <w:t xml:space="preserve"> av Lennart Daléus pekar motionären på att nationalpa</w:t>
      </w:r>
      <w:r w:rsidRPr="00B32147">
        <w:t>r</w:t>
      </w:r>
      <w:r w:rsidRPr="00B32147">
        <w:t>ken i Tyresta inte kunde skyddas effektivt när den hotades av brand, bl.a. beroende på bristande organisation. Slutsatserna av Tyrestabranden är, enligt motionären, att det rimligen bör finnas en effektiv organisation som kan möta hot, som t.ex. brand. För alla nationalparker bör därför brandförsvar</w:t>
      </w:r>
      <w:r w:rsidRPr="00B32147">
        <w:t>s</w:t>
      </w:r>
      <w:r w:rsidRPr="00B32147">
        <w:t xml:space="preserve">planer upprättas </w:t>
      </w:r>
      <w:r w:rsidRPr="00B32147">
        <w:rPr>
          <w:i/>
        </w:rPr>
        <w:t>(yrkande 1).</w:t>
      </w:r>
      <w:r w:rsidRPr="00B32147">
        <w:t xml:space="preserve"> Dessutom måste samordningsfrågorna mellan olika myndigheter vid katastrofer av detta slag bli föremål för en öv</w:t>
      </w:r>
      <w:r w:rsidRPr="00B32147">
        <w:t xml:space="preserve">ersyn </w:t>
      </w:r>
      <w:r w:rsidRPr="00B32147">
        <w:rPr>
          <w:i/>
        </w:rPr>
        <w:t>(yrkande 2).</w:t>
      </w:r>
    </w:p>
    <w:p w:rsidR="002E6309" w:rsidRPr="00B32147" w:rsidRDefault="002E6309">
      <w:pPr>
        <w:pStyle w:val="Normaltindrag"/>
      </w:pPr>
      <w:r w:rsidRPr="00B32147">
        <w:t xml:space="preserve">I </w:t>
      </w:r>
      <w:r w:rsidRPr="00B32147">
        <w:rPr>
          <w:i/>
        </w:rPr>
        <w:t xml:space="preserve">motion Ju223 (v) </w:t>
      </w:r>
      <w:r w:rsidRPr="00B32147">
        <w:t>av Berit Jóhannesson m.fl. anförs att rekryteringen till brandmannayrket är annorlunda än till andra yrkeskårer. Man rekryteras till en brandstation och börjar arbeta där. Därefter sker utbildning på Statens räddningsverks skolor. Invandrarungdomar har inte kontakter och känner inte till dessa rutiner. Ett aktivt arbete för att intressera ungdomar med utländsk bakgrund för brandmannayrket bör därför utvecklas. Ett samarbete mellan Svenska Kommunförbundet, Statens räddningsverk och olika inv</w:t>
      </w:r>
      <w:r w:rsidRPr="00B32147">
        <w:t>andrarför</w:t>
      </w:r>
      <w:r w:rsidRPr="00B32147">
        <w:t>e</w:t>
      </w:r>
      <w:r w:rsidRPr="00B32147">
        <w:t>ningar kan vara första steget för att få fram positiva exempel i syfte att i</w:t>
      </w:r>
      <w:r w:rsidRPr="00B32147">
        <w:t>n</w:t>
      </w:r>
      <w:r w:rsidRPr="00B32147">
        <w:t xml:space="preserve">tressera invandrarungdomar för brandmannayrket </w:t>
      </w:r>
      <w:r w:rsidRPr="00B32147">
        <w:rPr>
          <w:i/>
        </w:rPr>
        <w:t>(yrkande 3).</w:t>
      </w:r>
    </w:p>
    <w:p w:rsidR="002E6309" w:rsidRPr="00B32147" w:rsidRDefault="002E6309">
      <w:pPr>
        <w:pStyle w:val="R3"/>
      </w:pPr>
      <w:r w:rsidRPr="00B32147">
        <w:t>Utskottet</w:t>
      </w:r>
    </w:p>
    <w:p w:rsidR="002E6309" w:rsidRPr="00B32147" w:rsidRDefault="002E6309">
      <w:r w:rsidRPr="00B32147">
        <w:t xml:space="preserve">Utskottet anser att frågor om den </w:t>
      </w:r>
      <w:r w:rsidRPr="00B32147">
        <w:rPr>
          <w:i/>
        </w:rPr>
        <w:t>enskilda människans säkerhetsmedvetande</w:t>
      </w:r>
      <w:r w:rsidRPr="00B32147">
        <w:t xml:space="preserve"> och utbildning i detta ämne är angelägna frågor. I kommittémotion Fö213 (kd) yrkandena 1 och 4 samt motion Fö401 (m) tas sådana frågor upp. Med anledning av detta vill utskottet erinra om att grundskolans kursplaner inn</w:t>
      </w:r>
      <w:r w:rsidRPr="00B32147">
        <w:t>e</w:t>
      </w:r>
      <w:r w:rsidRPr="00B32147">
        <w:t>håller målsättningar för kunskaper i första hjälpen vid olycksfall samt att kunna simma och hantera nödsituationer vid vatten. Utskottet har erfarit att Statens skolverk till Utbildningsdepartementet har lämnat ett förslag till nya målformuleringar för</w:t>
      </w:r>
      <w:r w:rsidRPr="00B32147">
        <w:t xml:space="preserve"> grundskolans kursplaner som omfattar att eleverna utvecklar kunskaper om handlande i nöd- och katastrofsituationer. Dessa förslag är under beredning inom Regeringskansliet och kommer att behan</w:t>
      </w:r>
      <w:r w:rsidRPr="00B32147">
        <w:t>d</w:t>
      </w:r>
      <w:r w:rsidRPr="00B32147">
        <w:t>las under våren 2000.</w:t>
      </w:r>
    </w:p>
    <w:p w:rsidR="002E6309" w:rsidRPr="00B32147" w:rsidRDefault="002E6309">
      <w:pPr>
        <w:pStyle w:val="Normaltindrag"/>
      </w:pPr>
      <w:r w:rsidRPr="00B32147">
        <w:t>Utskottet har också erfarit att regeringen den 22 april 1999 uppdrog åt Statens skolverk att sammanställa skolans insatser vid den katastrofsituation som uppstod i samband med branden i Göteborg. Skolverket skall också utarbeta rekommendationer för hur skolan i framtiden kan organisera sina insa</w:t>
      </w:r>
      <w:r w:rsidRPr="00B32147">
        <w:t>tser vid katastrofhjälp samt att granska effektiviteten i skolornas bran</w:t>
      </w:r>
      <w:r w:rsidRPr="00B32147">
        <w:t>d</w:t>
      </w:r>
      <w:r w:rsidRPr="00B32147">
        <w:t>försvarssatsningar.</w:t>
      </w:r>
    </w:p>
    <w:p w:rsidR="002E6309" w:rsidRPr="00B32147" w:rsidRDefault="002E6309">
      <w:pPr>
        <w:pStyle w:val="Normaltindrag"/>
      </w:pPr>
      <w:r w:rsidRPr="00B32147">
        <w:t>Utskottet vill därtill framhålla att Statens räddningsverks handlingspr</w:t>
      </w:r>
      <w:r w:rsidRPr="00B32147">
        <w:t>o</w:t>
      </w:r>
      <w:r w:rsidRPr="00B32147">
        <w:t>gram för att stärka den enskilda människans förmåga att hantera olyckor fortskrider i samarbete med frivilligorganisationer och samverkande my</w:t>
      </w:r>
      <w:r w:rsidRPr="00B32147">
        <w:t>n</w:t>
      </w:r>
      <w:r w:rsidRPr="00B32147">
        <w:t>digheter. Detta arbete skall enligt regleringsbrev redovisas kontinuerligt till Regeringskansliet. Av Räddningverkets årsredovisning för år 1999 framgår att utbildning i skydd mot olyckor har genomförts i regi av Svenska bran</w:t>
      </w:r>
      <w:r w:rsidRPr="00B32147">
        <w:t>d</w:t>
      </w:r>
      <w:r w:rsidRPr="00B32147">
        <w:t>försvarsföreningen, Svenska Röda korset och Sveriges civilförsvarsförbund. Totalt har ca 254 000 personer utbildats, varav 100 000 i brandkuns</w:t>
      </w:r>
      <w:r w:rsidRPr="00B32147">
        <w:t>kap, 72 000 i första hjälpen och hjärt- och lungräddning samt 82 000 i säkerhet och överlevnad.</w:t>
      </w:r>
      <w:r w:rsidRPr="00B32147">
        <w:rPr>
          <w:u w:val="single"/>
        </w:rPr>
        <w:t xml:space="preserve"> </w:t>
      </w:r>
    </w:p>
    <w:p w:rsidR="002E6309" w:rsidRPr="00B32147" w:rsidRDefault="002E6309">
      <w:pPr>
        <w:pStyle w:val="Normaltindrag"/>
      </w:pPr>
      <w:r w:rsidRPr="00B32147">
        <w:t>Utskottet kan således konstatera att det pågår ett arbete, såväl inom Reg</w:t>
      </w:r>
      <w:r w:rsidRPr="00B32147">
        <w:t>e</w:t>
      </w:r>
      <w:r w:rsidRPr="00B32147">
        <w:t>rinskansliet som inom Räddningsverket, i syfte att stärka den enskilda mä</w:t>
      </w:r>
      <w:r w:rsidRPr="00B32147">
        <w:t>n</w:t>
      </w:r>
      <w:r w:rsidRPr="00B32147">
        <w:t xml:space="preserve">niskans säkerhetsmedvetande. Som utskottet ser det ligger detta i linje med vad som efterfrågas i motionerna. Utskottet föreslår därför att riksdagen inte bifaller </w:t>
      </w:r>
      <w:r w:rsidRPr="00B32147">
        <w:rPr>
          <w:i/>
        </w:rPr>
        <w:t>kommittémotion Fö213 (kd) yrkandena 1</w:t>
      </w:r>
      <w:r w:rsidRPr="00B32147">
        <w:t xml:space="preserve"> och </w:t>
      </w:r>
      <w:r w:rsidRPr="00B32147">
        <w:rPr>
          <w:i/>
        </w:rPr>
        <w:t xml:space="preserve">4 </w:t>
      </w:r>
      <w:r w:rsidRPr="00B32147">
        <w:t xml:space="preserve">samt </w:t>
      </w:r>
      <w:r w:rsidRPr="00B32147">
        <w:rPr>
          <w:i/>
        </w:rPr>
        <w:t xml:space="preserve">motion Fö401 (m). </w:t>
      </w:r>
    </w:p>
    <w:p w:rsidR="002E6309" w:rsidRPr="00B32147" w:rsidRDefault="002E6309">
      <w:r w:rsidRPr="00B32147">
        <w:t xml:space="preserve">I motion Fö213 (kd) yrkande 5 föreslås att regeringen tillsätter en </w:t>
      </w:r>
      <w:r w:rsidRPr="00B32147">
        <w:rPr>
          <w:i/>
        </w:rPr>
        <w:t>utredning om vardagens hot och risker.</w:t>
      </w:r>
      <w:r w:rsidRPr="00B32147">
        <w:t xml:space="preserve"> Syftet med utredningen, enligt motionen, skall vara att bilda utgångspunkt för kunskapslyft och informationsspridning om de olyckor och påfrestningar vi kan utsättas för i det fredstida samhället och hur olyckor kan förhindras. Mot bakgrund av vad utskottet ovan anfört b</w:t>
      </w:r>
      <w:r w:rsidRPr="00B32147">
        <w:t>e</w:t>
      </w:r>
      <w:r w:rsidRPr="00B32147">
        <w:t>dömer utskottet att det inte föreligger något behov av att nu tillsätta en utre</w:t>
      </w:r>
      <w:r w:rsidRPr="00B32147">
        <w:t>d</w:t>
      </w:r>
      <w:r w:rsidRPr="00B32147">
        <w:t xml:space="preserve">ning i enlighet med vad som föreslås i motionen. </w:t>
      </w:r>
      <w:r w:rsidRPr="00B32147">
        <w:rPr>
          <w:i/>
        </w:rPr>
        <w:t xml:space="preserve">Yrkande 5 </w:t>
      </w:r>
      <w:r w:rsidRPr="00B32147">
        <w:t>i</w:t>
      </w:r>
      <w:r w:rsidRPr="00B32147">
        <w:rPr>
          <w:i/>
        </w:rPr>
        <w:t xml:space="preserve"> kommittém</w:t>
      </w:r>
      <w:r w:rsidRPr="00B32147">
        <w:rPr>
          <w:i/>
        </w:rPr>
        <w:t>o</w:t>
      </w:r>
      <w:r w:rsidRPr="00B32147">
        <w:rPr>
          <w:i/>
        </w:rPr>
        <w:t xml:space="preserve">tion Fö213 (kd) </w:t>
      </w:r>
      <w:r w:rsidRPr="00B32147">
        <w:t>bör således inte bifallas av riksd</w:t>
      </w:r>
      <w:r w:rsidRPr="00B32147">
        <w:t xml:space="preserve">agen. </w:t>
      </w:r>
    </w:p>
    <w:p w:rsidR="002E6309" w:rsidRPr="00B32147" w:rsidRDefault="002E6309">
      <w:r w:rsidRPr="00B32147">
        <w:t xml:space="preserve">I motion Fö706 (c) framhålls att Sverige saknar en nationell expertgrupp för </w:t>
      </w:r>
      <w:r w:rsidRPr="00B32147">
        <w:rPr>
          <w:i/>
        </w:rPr>
        <w:t>psykologiskt omhändertagande i samband med katastrofer</w:t>
      </w:r>
      <w:r w:rsidRPr="00B32147">
        <w:t>. I mars 1999 behandlade utskottet liknande motionsyrkanden (bet. 1998/99:FöU3 s. 11). Utskottet anförde då bl.a. att Socialstyrelsen och Statens räddningsverk i december 1997 redovisat ett uppdrag</w:t>
      </w:r>
      <w:r w:rsidRPr="00B32147">
        <w:rPr>
          <w:i/>
        </w:rPr>
        <w:t xml:space="preserve"> </w:t>
      </w:r>
      <w:r w:rsidRPr="00B32147">
        <w:t>om psykiskt och socialt omhändert</w:t>
      </w:r>
      <w:r w:rsidRPr="00B32147">
        <w:t>a</w:t>
      </w:r>
      <w:r w:rsidRPr="00B32147">
        <w:t>gande vid svåra olyckor</w:t>
      </w:r>
      <w:r w:rsidRPr="00B32147">
        <w:rPr>
          <w:i/>
        </w:rPr>
        <w:t xml:space="preserve"> </w:t>
      </w:r>
      <w:r w:rsidRPr="00B32147">
        <w:t>och</w:t>
      </w:r>
      <w:r w:rsidRPr="00B32147">
        <w:rPr>
          <w:i/>
        </w:rPr>
        <w:t xml:space="preserve"> </w:t>
      </w:r>
      <w:r w:rsidRPr="00B32147">
        <w:t>katastrofer, s.k. POSOM-verksamhet. Av red</w:t>
      </w:r>
      <w:r w:rsidRPr="00B32147">
        <w:t>o</w:t>
      </w:r>
      <w:r w:rsidRPr="00B32147">
        <w:t>visningen framgår</w:t>
      </w:r>
      <w:r w:rsidRPr="00B32147">
        <w:rPr>
          <w:i/>
        </w:rPr>
        <w:t xml:space="preserve"> </w:t>
      </w:r>
      <w:r w:rsidRPr="00B32147">
        <w:t>att det</w:t>
      </w:r>
      <w:r w:rsidRPr="00B32147">
        <w:rPr>
          <w:i/>
        </w:rPr>
        <w:t xml:space="preserve"> </w:t>
      </w:r>
      <w:r w:rsidRPr="00B32147">
        <w:t>är</w:t>
      </w:r>
      <w:r w:rsidRPr="00B32147">
        <w:rPr>
          <w:i/>
        </w:rPr>
        <w:t xml:space="preserve"> </w:t>
      </w:r>
      <w:r w:rsidRPr="00B32147">
        <w:t>såväl Socialstyrelsens som Räddningsverkets uppfattning</w:t>
      </w:r>
      <w:r w:rsidRPr="00B32147">
        <w:rPr>
          <w:i/>
        </w:rPr>
        <w:t xml:space="preserve"> </w:t>
      </w:r>
      <w:r w:rsidRPr="00B32147">
        <w:t>att</w:t>
      </w:r>
      <w:r w:rsidRPr="00B32147">
        <w:rPr>
          <w:i/>
        </w:rPr>
        <w:t xml:space="preserve"> </w:t>
      </w:r>
      <w:r w:rsidRPr="00B32147">
        <w:t>katastrofberedskapen skall ses som en helhet</w:t>
      </w:r>
      <w:r w:rsidRPr="00B32147">
        <w:rPr>
          <w:i/>
        </w:rPr>
        <w:t xml:space="preserve"> </w:t>
      </w:r>
      <w:r w:rsidRPr="00B32147">
        <w:t>där det</w:t>
      </w:r>
      <w:r w:rsidRPr="00B32147">
        <w:rPr>
          <w:i/>
        </w:rPr>
        <w:t xml:space="preserve"> </w:t>
      </w:r>
      <w:r w:rsidRPr="00B32147">
        <w:t>psykiska</w:t>
      </w:r>
      <w:r w:rsidRPr="00B32147">
        <w:rPr>
          <w:i/>
        </w:rPr>
        <w:t xml:space="preserve"> </w:t>
      </w:r>
      <w:r w:rsidRPr="00B32147">
        <w:t>omhä</w:t>
      </w:r>
      <w:r w:rsidRPr="00B32147">
        <w:t>ndertagandet ingår som</w:t>
      </w:r>
      <w:r w:rsidRPr="00B32147">
        <w:rPr>
          <w:i/>
        </w:rPr>
        <w:t xml:space="preserve"> </w:t>
      </w:r>
      <w:r w:rsidRPr="00B32147">
        <w:t>en</w:t>
      </w:r>
      <w:r w:rsidRPr="00B32147">
        <w:rPr>
          <w:i/>
        </w:rPr>
        <w:t xml:space="preserve"> </w:t>
      </w:r>
      <w:r w:rsidRPr="00B32147">
        <w:t>viktig del. Det övergripande</w:t>
      </w:r>
      <w:r w:rsidRPr="00B32147">
        <w:rPr>
          <w:i/>
        </w:rPr>
        <w:t xml:space="preserve"> </w:t>
      </w:r>
      <w:r w:rsidRPr="00B32147">
        <w:t>ansvaret</w:t>
      </w:r>
      <w:r w:rsidRPr="00B32147">
        <w:rPr>
          <w:i/>
        </w:rPr>
        <w:t xml:space="preserve"> </w:t>
      </w:r>
      <w:r w:rsidRPr="00B32147">
        <w:t>för dessa</w:t>
      </w:r>
      <w:r w:rsidRPr="00B32147">
        <w:rPr>
          <w:i/>
        </w:rPr>
        <w:t xml:space="preserve"> </w:t>
      </w:r>
      <w:r w:rsidRPr="00B32147">
        <w:t>frågor</w:t>
      </w:r>
      <w:r w:rsidRPr="00B32147">
        <w:rPr>
          <w:i/>
        </w:rPr>
        <w:t xml:space="preserve"> </w:t>
      </w:r>
      <w:r w:rsidRPr="00B32147">
        <w:t>ligger</w:t>
      </w:r>
      <w:r w:rsidRPr="00B32147">
        <w:rPr>
          <w:i/>
        </w:rPr>
        <w:t xml:space="preserve"> </w:t>
      </w:r>
      <w:r w:rsidRPr="00B32147">
        <w:t>inom</w:t>
      </w:r>
      <w:r w:rsidRPr="00B32147">
        <w:rPr>
          <w:i/>
        </w:rPr>
        <w:t xml:space="preserve"> </w:t>
      </w:r>
      <w:r w:rsidRPr="00B32147">
        <w:t>Socialstyrelsens ansvarsområde medan Räddning</w:t>
      </w:r>
      <w:r w:rsidRPr="00B32147">
        <w:t>s</w:t>
      </w:r>
      <w:r w:rsidRPr="00B32147">
        <w:t>verket skall</w:t>
      </w:r>
      <w:r w:rsidRPr="00B32147">
        <w:rPr>
          <w:i/>
        </w:rPr>
        <w:t xml:space="preserve"> </w:t>
      </w:r>
      <w:r w:rsidRPr="00B32147">
        <w:t>svara för vissa</w:t>
      </w:r>
      <w:r w:rsidRPr="00B32147">
        <w:rPr>
          <w:i/>
        </w:rPr>
        <w:t xml:space="preserve"> </w:t>
      </w:r>
      <w:r w:rsidRPr="00B32147">
        <w:t xml:space="preserve">utbildningsinsatser. </w:t>
      </w:r>
    </w:p>
    <w:p w:rsidR="002E6309" w:rsidRPr="00B32147" w:rsidRDefault="002E6309">
      <w:pPr>
        <w:pStyle w:val="Normaltindrag"/>
      </w:pPr>
      <w:r w:rsidRPr="00B32147">
        <w:t>Utskottet har erfarit att samtliga kommuner i Sverige blivit erbjudna s.k. POSOM-utbildning och att det i ca 85 % av kommunerna nu finns</w:t>
      </w:r>
      <w:r w:rsidRPr="00B32147">
        <w:rPr>
          <w:i/>
        </w:rPr>
        <w:t xml:space="preserve"> </w:t>
      </w:r>
      <w:r w:rsidRPr="00B32147">
        <w:t>POSOM-grupper. Dessa grupper består av deltagare från socialkontor, räddningstjänst, skola, kyrka, polis och primärvård. Utöver POSOM-verksamheten finns också specialister organiserade i en ledningsgrupp inom akutsjukvården. Denna s.k. PKL-grupp (psykiatrisk och psykologisk katastrofledningsgrupp) består av bl.a. psykiatriker, psykologer, kuratorer och sjukhuspräster.</w:t>
      </w:r>
    </w:p>
    <w:p w:rsidR="002E6309" w:rsidRPr="00B32147" w:rsidRDefault="002E6309">
      <w:pPr>
        <w:pStyle w:val="Normaltindrag"/>
      </w:pPr>
      <w:r w:rsidRPr="00B32147">
        <w:t>I det ovan nämnda utskottsbetänkandet (bet. 1998/99:FöU3) pekade också utskottet på det informella nätverk – Nätverket Enar – som Svenska ky</w:t>
      </w:r>
      <w:r w:rsidRPr="00B32147">
        <w:t>rkans kriscentrum på Vårsta i Härnösand samordnar. Nätverket består av ett fe</w:t>
      </w:r>
      <w:r w:rsidRPr="00B32147">
        <w:t>m</w:t>
      </w:r>
      <w:r w:rsidRPr="00B32147">
        <w:t>tontal myndigheter och organisationer, bl.a. Försvarsmakten, Landstingsfö</w:t>
      </w:r>
      <w:r w:rsidRPr="00B32147">
        <w:t>r</w:t>
      </w:r>
      <w:r w:rsidRPr="00B32147">
        <w:t>bundet, Statens räddningsverk, Rädda Barnen, Rikspolisstyrelsen, Socialst</w:t>
      </w:r>
      <w:r w:rsidRPr="00B32147">
        <w:t>y</w:t>
      </w:r>
      <w:r w:rsidRPr="00B32147">
        <w:t>relsen, Skolverket, Svenska Kommunförbundet och Överstyrelsen för civil beredskap. Nätverket bildades år 1997 och är ett informellt nätverk mellan olika aktörer inom området psykiskt och socialt kris- och katastrofarbete. Vid en svår händelse skall medlemmarna i nätverket omedelbart ku</w:t>
      </w:r>
      <w:r w:rsidRPr="00B32147">
        <w:t>nna samverka och stå till förfogande för bl.a. riksdag, regering, myndigheter, organisationer och enskilda.</w:t>
      </w:r>
    </w:p>
    <w:p w:rsidR="002E6309" w:rsidRPr="00B32147" w:rsidRDefault="002E6309">
      <w:pPr>
        <w:pStyle w:val="Normaltindrag"/>
      </w:pPr>
      <w:r w:rsidRPr="00B32147">
        <w:t>Utskottet har också erfarit att professor Lars Weisaeth vid kontoret för k</w:t>
      </w:r>
      <w:r w:rsidRPr="00B32147">
        <w:t>a</w:t>
      </w:r>
      <w:r w:rsidRPr="00B32147">
        <w:t>tastrofpsykiatri i Oslo i förordet till sin bok om Krishantering – en handbok för vanligt folk bl.a. uttalat att den svenska POSOM-verksamheten</w:t>
      </w:r>
      <w:r w:rsidRPr="00B32147">
        <w:rPr>
          <w:i/>
        </w:rPr>
        <w:t xml:space="preserve"> </w:t>
      </w:r>
      <w:r w:rsidRPr="00B32147">
        <w:t>har gjort att Sverige, internationellt sett, i dag ligger i täten inom detta område.</w:t>
      </w:r>
      <w:r w:rsidRPr="00B32147">
        <w:rPr>
          <w:i/>
        </w:rPr>
        <w:t xml:space="preserve"> </w:t>
      </w:r>
    </w:p>
    <w:p w:rsidR="002E6309" w:rsidRPr="00B32147" w:rsidRDefault="002E6309">
      <w:pPr>
        <w:pStyle w:val="Normaltindrag"/>
      </w:pPr>
      <w:r w:rsidRPr="00B32147">
        <w:t>Enligt utskottets bedömning bedrivs en rad olika aktiviteter inom området för psykiskt och socialt omhändertagande vid svåra olyckor och katastrofer. Dessa olika aktiviteter anser utskottet vara mycket värdefulla och angelägna. Utskottet kan konstatera att dessa aktiviteter ligger</w:t>
      </w:r>
      <w:r w:rsidRPr="00B32147">
        <w:t xml:space="preserve"> väl i linje med vad som efterfrågas i motionen. Utskottet anser därför att </w:t>
      </w:r>
      <w:r w:rsidRPr="00B32147">
        <w:rPr>
          <w:i/>
        </w:rPr>
        <w:t>motion Fö706 (s)</w:t>
      </w:r>
      <w:r w:rsidRPr="00B32147">
        <w:t xml:space="preserve"> inte beh</w:t>
      </w:r>
      <w:r w:rsidRPr="00B32147">
        <w:t>ö</w:t>
      </w:r>
      <w:r w:rsidRPr="00B32147">
        <w:t xml:space="preserve">ver bifallas av riksdagen. </w:t>
      </w:r>
    </w:p>
    <w:p w:rsidR="002E6309" w:rsidRPr="00B32147" w:rsidRDefault="002E6309">
      <w:r w:rsidRPr="00B32147">
        <w:t xml:space="preserve">I motion Fö707 (c) yrkande 1 tar motionären upp behovet av </w:t>
      </w:r>
      <w:r w:rsidRPr="00B32147">
        <w:rPr>
          <w:i/>
        </w:rPr>
        <w:t>brandförsvar</w:t>
      </w:r>
      <w:r w:rsidRPr="00B32147">
        <w:rPr>
          <w:i/>
        </w:rPr>
        <w:t>s</w:t>
      </w:r>
      <w:r w:rsidRPr="00B32147">
        <w:rPr>
          <w:i/>
        </w:rPr>
        <w:t>planer</w:t>
      </w:r>
      <w:r w:rsidRPr="00B32147">
        <w:t xml:space="preserve"> för landets nationalparker. När det gäller branden i Tyresta nationa</w:t>
      </w:r>
      <w:r w:rsidRPr="00B32147">
        <w:t>l</w:t>
      </w:r>
      <w:r w:rsidRPr="00B32147">
        <w:t>park, som motionären hänvisar till, har utskottet erfarit att Statens natu</w:t>
      </w:r>
      <w:r w:rsidRPr="00B32147">
        <w:t>r</w:t>
      </w:r>
      <w:r w:rsidRPr="00B32147">
        <w:t>vårdsverk ännu inte avslutat sitt utvärderingsarbete med anledning av bra</w:t>
      </w:r>
      <w:r w:rsidRPr="00B32147">
        <w:t>n</w:t>
      </w:r>
      <w:r w:rsidRPr="00B32147">
        <w:t xml:space="preserve">den. I detta arbete, som förväntas bli avslutat under våren 2000, kommer även frågan om behovet av att upprätta brandförsvarsplaner att övervägas. </w:t>
      </w:r>
    </w:p>
    <w:p w:rsidR="002E6309" w:rsidRPr="00B32147" w:rsidRDefault="002E6309">
      <w:pPr>
        <w:pStyle w:val="Normaltindrag"/>
      </w:pPr>
      <w:r w:rsidRPr="00B32147">
        <w:t>Utskottet ser positivt på att frågan om brandförsvarsplaner för våra nati</w:t>
      </w:r>
      <w:r w:rsidRPr="00B32147">
        <w:t>o</w:t>
      </w:r>
      <w:r w:rsidRPr="00B32147">
        <w:t>nalparker uppmärksammats i det utvärderingsarbete av Tyrestabranden som nu pågår. Utskottet utgår i från att detta arbete leder fram till att sådana pl</w:t>
      </w:r>
      <w:r w:rsidRPr="00B32147">
        <w:t>a</w:t>
      </w:r>
      <w:r w:rsidRPr="00B32147">
        <w:t xml:space="preserve">ner kommer att upprättas om behov därav bedöms föreligga. Mot bakgrund av vad utskottet nu anfört torde yrkandet i motion Fö707 (c) bli tillgodosett. Utskottet föreslår därför att riksdagen inte bifaller </w:t>
      </w:r>
      <w:r w:rsidRPr="00B32147">
        <w:rPr>
          <w:i/>
        </w:rPr>
        <w:t>motion Fö707 (c) yrkande 1.</w:t>
      </w:r>
      <w:r w:rsidRPr="00B32147">
        <w:t xml:space="preserve"> </w:t>
      </w:r>
    </w:p>
    <w:p w:rsidR="002E6309" w:rsidRPr="00B32147" w:rsidRDefault="002E6309">
      <w:pPr>
        <w:pStyle w:val="Normaltindrag"/>
      </w:pPr>
      <w:r w:rsidRPr="00B32147">
        <w:t xml:space="preserve">I samma motion pekar också motionären på att </w:t>
      </w:r>
      <w:r w:rsidRPr="00B32147">
        <w:rPr>
          <w:i/>
        </w:rPr>
        <w:t xml:space="preserve">samordningsfrågorna </w:t>
      </w:r>
      <w:r w:rsidRPr="00B32147">
        <w:t>mellan olika myndigheter bör ses över när det gäller katastrofer liknande branden i Tyresta nationalpark (yrkande 2). Utskottet vill med anledning av detta yrkande erinra om att regeringen nyligen förordnat en särskild utredare att</w:t>
      </w:r>
      <w:r w:rsidRPr="00B32147">
        <w:rPr>
          <w:i/>
        </w:rPr>
        <w:t xml:space="preserve"> </w:t>
      </w:r>
      <w:r w:rsidRPr="00B32147">
        <w:t>analysera och lämna förslag till principer för att åstadkomma en förbättrad helhetssyn när det gäller planeringen för civilt försvar och beredskapen mot svåra påfrestningar på samhället i fred. I uppdraget ingår att ta ställning till om nuvarande funktionsinde</w:t>
      </w:r>
      <w:r w:rsidRPr="00B32147">
        <w:t>lning, myndighetsuppgifter och samordning</w:t>
      </w:r>
      <w:r w:rsidRPr="00B32147">
        <w:t>s</w:t>
      </w:r>
      <w:r w:rsidRPr="00B32147">
        <w:t xml:space="preserve">system behöver ändras (dir. 1999:63). </w:t>
      </w:r>
    </w:p>
    <w:p w:rsidR="002E6309" w:rsidRPr="00B32147" w:rsidRDefault="002E6309">
      <w:pPr>
        <w:pStyle w:val="Normaltindrag"/>
      </w:pPr>
      <w:r w:rsidRPr="00B32147">
        <w:t>Utskottet vill också erinra om de sektorsvisa genomgångarna som nu görs inom olika departement angående behov av åtgärder och författningsregl</w:t>
      </w:r>
      <w:r w:rsidRPr="00B32147">
        <w:t>e</w:t>
      </w:r>
      <w:r w:rsidRPr="00B32147">
        <w:t>ring inom områden som kan bli berörda vid svåra påfrestningar på samhället i fred. I dessa genomgångar skall särskild uppmärksamhet ägnas åt frågor som rör ledning, samordning och samverkan mellan staten och kommunerna och mellan olika myndigheter. Utskottet bedömer att det pågående bere</w:t>
      </w:r>
      <w:r w:rsidRPr="00B32147">
        <w:t>d</w:t>
      </w:r>
      <w:r w:rsidRPr="00B32147">
        <w:t xml:space="preserve">ningsarbetet inom Regeringskansliet, som utskottet nu redogjort för, ligger i linje med vad som efterfrågas i motionen. </w:t>
      </w:r>
      <w:r w:rsidRPr="00B32147">
        <w:rPr>
          <w:i/>
        </w:rPr>
        <w:t xml:space="preserve">Motion Fö707 (c) yrkande 2 </w:t>
      </w:r>
      <w:r w:rsidRPr="00B32147">
        <w:t>beh</w:t>
      </w:r>
      <w:r w:rsidRPr="00B32147">
        <w:t>ö</w:t>
      </w:r>
      <w:r w:rsidRPr="00B32147">
        <w:t>ver därför inte bifallas av rik</w:t>
      </w:r>
      <w:r w:rsidRPr="00B32147">
        <w:t>s</w:t>
      </w:r>
      <w:r w:rsidRPr="00B32147">
        <w:t>dagen.</w:t>
      </w:r>
    </w:p>
    <w:p w:rsidR="002E6309" w:rsidRPr="00B32147" w:rsidRDefault="002E6309">
      <w:r w:rsidRPr="00B32147">
        <w:t>I motion Ju223 (v) tas frågan up</w:t>
      </w:r>
      <w:r w:rsidRPr="00B32147">
        <w:t xml:space="preserve">p om utbildning av ungdomar med </w:t>
      </w:r>
      <w:r w:rsidRPr="00B32147">
        <w:rPr>
          <w:i/>
        </w:rPr>
        <w:t>invan</w:t>
      </w:r>
      <w:r w:rsidRPr="00B32147">
        <w:rPr>
          <w:i/>
        </w:rPr>
        <w:t>d</w:t>
      </w:r>
      <w:r w:rsidRPr="00B32147">
        <w:rPr>
          <w:i/>
        </w:rPr>
        <w:t>rarbakgrund inom brandmannayrket.</w:t>
      </w:r>
      <w:r w:rsidRPr="00B32147">
        <w:t xml:space="preserve"> Utskottet vill med anledning av denna fråga nämna att regeringen den 18 november 1999 uppdrog åt en särskild utredare att lämna förslag till en reformerad räddningstjänstlagstiftning (1999:94). I detta uppdrag ingår bl.a. att lämna förslag om räddningstjäns</w:t>
      </w:r>
      <w:r w:rsidRPr="00B32147">
        <w:t>t</w:t>
      </w:r>
      <w:r w:rsidRPr="00B32147">
        <w:t>personalens kompetens och utbildning. För denna del av uppdraget uppdrogs samma dag åt Statens räddningsverk och Svenska Kommunförbundet att se över den kommunala räddningstjänstutbi</w:t>
      </w:r>
      <w:r w:rsidRPr="00B32147">
        <w:t>ldningen.</w:t>
      </w:r>
    </w:p>
    <w:p w:rsidR="002E6309" w:rsidRPr="00B32147" w:rsidRDefault="002E6309">
      <w:pPr>
        <w:pStyle w:val="Normaltindrag"/>
      </w:pPr>
      <w:r w:rsidRPr="00B32147">
        <w:t>Utskottet utgår ifrån att frågan om utbildning av ungdomar med invandra</w:t>
      </w:r>
      <w:r w:rsidRPr="00B32147">
        <w:t>r</w:t>
      </w:r>
      <w:r w:rsidRPr="00B32147">
        <w:t xml:space="preserve">bakgrund inom brandmannayrket kommer att behandlas i det nu pågående beredningsarbetet. Utskottet anser inte att det finns anledning att nu föregripa detta arbete. Något uttalande från riksdagen anser utskottet därför inte vara påkallat. Av det anförda följer att </w:t>
      </w:r>
      <w:r w:rsidRPr="00B32147">
        <w:rPr>
          <w:i/>
        </w:rPr>
        <w:t>motion Ju223 (v) yrkande 3</w:t>
      </w:r>
      <w:r w:rsidRPr="00B32147">
        <w:t xml:space="preserve"> inte bör bifa</w:t>
      </w:r>
      <w:r w:rsidRPr="00B32147">
        <w:t>l</w:t>
      </w:r>
      <w:r w:rsidRPr="00B32147">
        <w:t xml:space="preserve">las av riksdagen. </w:t>
      </w:r>
    </w:p>
    <w:p w:rsidR="002E6309" w:rsidRPr="00B32147" w:rsidRDefault="002E6309">
      <w:pPr>
        <w:pStyle w:val="Rubrik2"/>
      </w:pPr>
      <w:bookmarkStart w:id="24" w:name="_Toc481551085"/>
      <w:r w:rsidRPr="00B32147">
        <w:t>Transport av farligt gods</w:t>
      </w:r>
      <w:bookmarkEnd w:id="24"/>
    </w:p>
    <w:p w:rsidR="002E6309" w:rsidRPr="00B32147" w:rsidRDefault="002E6309">
      <w:pPr>
        <w:pStyle w:val="R3"/>
        <w:spacing w:before="123"/>
      </w:pPr>
      <w:r w:rsidRPr="00B32147">
        <w:t>Motionerna</w:t>
      </w:r>
    </w:p>
    <w:p w:rsidR="002E6309" w:rsidRPr="00B32147" w:rsidRDefault="002E6309">
      <w:pPr>
        <w:rPr>
          <w:i/>
        </w:rPr>
      </w:pPr>
      <w:r w:rsidRPr="00B32147">
        <w:t xml:space="preserve">I </w:t>
      </w:r>
      <w:r w:rsidRPr="00B32147">
        <w:rPr>
          <w:i/>
        </w:rPr>
        <w:t xml:space="preserve">motion Fö703 (kd) </w:t>
      </w:r>
      <w:r w:rsidRPr="00B32147">
        <w:t xml:space="preserve">av Kenneth Lantz anförs att regeringen och statliga verk tillsammans har det totala ansvaret för övervakning och kontroll när det gäller transporter av farligt gods. Det är viktigt att rollfördelningen är tydlig och att departementen har den kompetens som krävs. Lika viktigt är det att det samlade regelverket för transporter av farligt gods är konsekvent och tydligt </w:t>
      </w:r>
      <w:r w:rsidRPr="00B32147">
        <w:rPr>
          <w:i/>
        </w:rPr>
        <w:t>(yrkande 1)</w:t>
      </w:r>
      <w:r w:rsidRPr="00B32147">
        <w:t>. Vidare anförs i motionen att eftersom Sverige inte har ett departement eller statligt verk med ett samlat ansvar</w:t>
      </w:r>
      <w:r w:rsidRPr="00B32147">
        <w:t xml:space="preserve"> inom området bör en rapport tas fram som visar hur det totala ansvaret nu är fördelat mellan olika departement och myndigheter. Det måste finnas en tydlighet i relation till de näringar som berörs om vart man skall vända sig vid behov av rådgivning och konsultationer </w:t>
      </w:r>
      <w:r w:rsidRPr="00B32147">
        <w:rPr>
          <w:i/>
        </w:rPr>
        <w:t>(yrkande 2).</w:t>
      </w:r>
    </w:p>
    <w:p w:rsidR="002E6309" w:rsidRPr="00B32147" w:rsidRDefault="002E6309">
      <w:pPr>
        <w:pStyle w:val="Normaltindrag"/>
      </w:pPr>
      <w:r w:rsidRPr="00B32147">
        <w:t xml:space="preserve">I </w:t>
      </w:r>
      <w:r w:rsidRPr="00B32147">
        <w:rPr>
          <w:i/>
        </w:rPr>
        <w:t xml:space="preserve">motion Fö704 (m) </w:t>
      </w:r>
      <w:r w:rsidRPr="00B32147">
        <w:t>av Karin Enström föreslås att tank- och lastfartyg med farligt gods styrs om till hamnar där befolkningskoncentrationen är betydligt lägre än i Stockholm och där det är möjligt att omlasta direkt till järnväg eller där vägnätet har bättre kapacitet. Motionären pekar på flera fördelar, bl.a. att miljöbelastningen i den redan hårt ansträngda Stockholmsregionen minskar, framkomligheten och trafiksäkerheten ökar och transporter av farligt gods minskar i befolkningstäta områden.</w:t>
      </w:r>
    </w:p>
    <w:p w:rsidR="002E6309" w:rsidRPr="00B32147" w:rsidRDefault="002E6309">
      <w:pPr>
        <w:pStyle w:val="Normaltindrag"/>
      </w:pPr>
      <w:r w:rsidRPr="00B32147">
        <w:t xml:space="preserve">I </w:t>
      </w:r>
      <w:r w:rsidRPr="00B32147">
        <w:rPr>
          <w:i/>
        </w:rPr>
        <w:t xml:space="preserve">motion Fö802 (s) </w:t>
      </w:r>
      <w:r w:rsidRPr="00B32147">
        <w:t>av Torgny Danielsson m.fl. framhålls att det huvudsa</w:t>
      </w:r>
      <w:r w:rsidRPr="00B32147">
        <w:t>k</w:t>
      </w:r>
      <w:r w:rsidRPr="00B32147">
        <w:t>liga tillsynsansvaret för lagstiftningarna om räddningstjänst, transport av farligt gods och allvarliga kemikalieolyckor respektive brandfarliga och explosiva varor är delat på Statens räddningsverk respektive Sprängämnesi</w:t>
      </w:r>
      <w:r w:rsidRPr="00B32147">
        <w:t>n</w:t>
      </w:r>
      <w:r w:rsidRPr="00B32147">
        <w:t>spektionen. Detta skapar onödigt dubbelarbete och förhindrar effektiv må</w:t>
      </w:r>
      <w:r w:rsidRPr="00B32147">
        <w:t>l</w:t>
      </w:r>
      <w:r w:rsidRPr="00B32147">
        <w:t>styrning. I samband med den stundande översynen av räddningstjänstla</w:t>
      </w:r>
      <w:r w:rsidRPr="00B32147">
        <w:t>g</w:t>
      </w:r>
      <w:r w:rsidRPr="00B32147">
        <w:t>stiftningen anser motionärerna att det finns starka skäl att på nytt överväga</w:t>
      </w:r>
      <w:r w:rsidRPr="00B32147">
        <w:t xml:space="preserve"> frågan om att överföra uppgifter från Sprängämnesinspektionen till Statens räddningsverk. </w:t>
      </w:r>
    </w:p>
    <w:p w:rsidR="002E6309" w:rsidRPr="00B32147" w:rsidRDefault="002E6309">
      <w:pPr>
        <w:pStyle w:val="R3"/>
      </w:pPr>
      <w:r w:rsidRPr="00B32147">
        <w:t>Utskottet</w:t>
      </w:r>
    </w:p>
    <w:p w:rsidR="002E6309" w:rsidRPr="00B32147" w:rsidRDefault="002E6309">
      <w:r w:rsidRPr="00B32147">
        <w:t>I motionerna Fö703 (kd) yrkandena 1 och 2 samt Fö802 (s) tas frågor upp som bl.a. rör regelverk, rollfördelning, samordningsansvar m.m. inom omr</w:t>
      </w:r>
      <w:r w:rsidRPr="00B32147">
        <w:t>å</w:t>
      </w:r>
      <w:r w:rsidRPr="00B32147">
        <w:t xml:space="preserve">det för transport av farligt gods. Utskottet har vid flera tillfällen behandlar dessa frågor, senast i maj 1998 (bet. 1997/98:FöU8). </w:t>
      </w:r>
    </w:p>
    <w:p w:rsidR="002E6309" w:rsidRPr="00B32147" w:rsidRDefault="002E6309">
      <w:pPr>
        <w:pStyle w:val="Normaltindrag"/>
      </w:pPr>
      <w:r w:rsidRPr="00B32147">
        <w:t>Inledningsvis vill utskottet framhålla att regelverken för transport av farligt gods är i mycket hög grad internationella. Av regeringens utförliga redovi</w:t>
      </w:r>
      <w:r w:rsidRPr="00B32147">
        <w:t>s</w:t>
      </w:r>
      <w:r w:rsidRPr="00B32147">
        <w:t>ning om bl.a. samordning och myndighetsansvar på området i skrivelsen (skr. 1997/98:78) Transport av farligt gods framgår att de övergripande r</w:t>
      </w:r>
      <w:r w:rsidRPr="00B32147">
        <w:t>e</w:t>
      </w:r>
      <w:r w:rsidRPr="00B32147">
        <w:t>kommendationerna för transport av farligt gods utarbetas av FN:s ekonomi</w:t>
      </w:r>
      <w:r w:rsidRPr="00B32147">
        <w:t>s</w:t>
      </w:r>
      <w:r w:rsidRPr="00B32147">
        <w:t>ka och sociala råd. Med FN-rekommendationerna som grund utarbetas regler för varje transportslag av olika organ inom FN och den internationella jär</w:t>
      </w:r>
      <w:r w:rsidRPr="00B32147">
        <w:t>n</w:t>
      </w:r>
      <w:r w:rsidRPr="00B32147">
        <w:t>vägsunionen (OTIF). Det är detta arbete som har resulterat i de ovan nämnda särskilda reglerna för bl.a. transport av farligt gods på väg (ADR) oc</w:t>
      </w:r>
      <w:r w:rsidRPr="00B32147">
        <w:t>h på järnväg (RID). Dessa regler har numera antagits av EU. Genom ADR- och RID-direktiven tillämpas således de internationella bestämmelserna för fa</w:t>
      </w:r>
      <w:r w:rsidRPr="00B32147">
        <w:t>r</w:t>
      </w:r>
      <w:r w:rsidRPr="00B32147">
        <w:t xml:space="preserve">ligt gods-transporter på väg och på järnväg även vid nationella transporter. </w:t>
      </w:r>
    </w:p>
    <w:p w:rsidR="002E6309" w:rsidRPr="00B32147" w:rsidRDefault="002E6309">
      <w:pPr>
        <w:pStyle w:val="Normaltindrag"/>
      </w:pPr>
      <w:r w:rsidRPr="00B32147">
        <w:t>EU har även antagit direktiv för tillsyn och kontroll av vägtransporter av farligt gods samt direktiv om särskilt utsedda säkerhetsrådgivare vid företag som transporterar farligt gods. Lagändringarna i lagen (1982:821) om tran</w:t>
      </w:r>
      <w:r w:rsidRPr="00B32147">
        <w:t>s</w:t>
      </w:r>
      <w:r w:rsidRPr="00B32147">
        <w:t xml:space="preserve">port av farligt gods rörande säkerhetsrådgivare trädde i sin helhet i kraft den 1 januari 2000. Av Räddningsverkets årsredovisning för år 1999 framgår att införandet av säkerhetsrådgivare på några års sikt förväntas öka kunskapen om transport av farligt gods och ge säkrare transporter. Räddningsverket bedömer att examinationen av de ca 400 säkerhetsrådgivare som utbildats täcker en femtedel av behovet. </w:t>
      </w:r>
    </w:p>
    <w:p w:rsidR="002E6309" w:rsidRPr="00B32147" w:rsidRDefault="002E6309">
      <w:pPr>
        <w:pStyle w:val="Normaltindrag"/>
      </w:pPr>
      <w:r w:rsidRPr="00B32147">
        <w:t>När utskottet i maj 1998 behandlade frågan om ansvarsfördelningen vid transport av farligt gods kunde ut</w:t>
      </w:r>
      <w:r w:rsidRPr="00B32147">
        <w:t>skottet konstatera att regeringens stäl</w:t>
      </w:r>
      <w:r w:rsidRPr="00B32147">
        <w:t>l</w:t>
      </w:r>
      <w:r w:rsidRPr="00B32147">
        <w:t>ningstagande i denna fråga var ett oförändrat myndighetsansvar inom omr</w:t>
      </w:r>
      <w:r w:rsidRPr="00B32147">
        <w:t>å</w:t>
      </w:r>
      <w:r w:rsidRPr="00B32147">
        <w:t>det transport av farligt gods, men med en förstärkt samordningsroll för St</w:t>
      </w:r>
      <w:r w:rsidRPr="00B32147">
        <w:t>a</w:t>
      </w:r>
      <w:r w:rsidRPr="00B32147">
        <w:t>tens räddningsverk. Regeringen avsåg bl.a. att ge Räddningsverket ett tydl</w:t>
      </w:r>
      <w:r w:rsidRPr="00B32147">
        <w:t>i</w:t>
      </w:r>
      <w:r w:rsidRPr="00B32147">
        <w:t xml:space="preserve">gare mandat att samordna säkerhetsföreskrifterna för de olika transportslagen och att inrätta ett särskilt råd, knutet till Räddningsverket. Utskottet förutsatte att regeringen noga skulle följa utvecklingen av den i skrivelsen aviserade nyordningen </w:t>
      </w:r>
      <w:r w:rsidRPr="00B32147">
        <w:t>inom området och återkomma till riksdagen om de av utskottet upprepade påpekandena om problemen med ansvarsfördelning och samor</w:t>
      </w:r>
      <w:r w:rsidRPr="00B32147">
        <w:t>d</w:t>
      </w:r>
      <w:r w:rsidRPr="00B32147">
        <w:t xml:space="preserve">ning inte löses på ett tillfredsställande sätt. </w:t>
      </w:r>
    </w:p>
    <w:p w:rsidR="002E6309" w:rsidRPr="00B32147" w:rsidRDefault="002E6309">
      <w:pPr>
        <w:pStyle w:val="Normaltindrag"/>
      </w:pPr>
      <w:r w:rsidRPr="00B32147">
        <w:t>Utskottet har erfarit att det numera i Räddningsverkets instruktion finns för</w:t>
      </w:r>
      <w:r w:rsidRPr="00B32147">
        <w:t>e</w:t>
      </w:r>
      <w:r w:rsidRPr="00B32147">
        <w:t xml:space="preserve">skrifter om det särskilda rådet för samordning av säkerhetsföreskrifterna. </w:t>
      </w:r>
    </w:p>
    <w:p w:rsidR="002E6309" w:rsidRPr="00B32147" w:rsidRDefault="002E6309">
      <w:pPr>
        <w:pStyle w:val="Normaltindrag"/>
      </w:pPr>
      <w:r w:rsidRPr="00B32147">
        <w:t>Enligt utskottets mening har ännu inget framkommit, som skulle aktualis</w:t>
      </w:r>
      <w:r w:rsidRPr="00B32147">
        <w:t>e</w:t>
      </w:r>
      <w:r w:rsidRPr="00B32147">
        <w:t>ra ett ändrat ställningstagande från utskottets sida i denna fråga. Utskottet förutsätter att regeringen även fortsättningsvis återkommer till riksdagen om problem med ansvarsfördelning och samordning inte kan lösas på ett tillfre</w:t>
      </w:r>
      <w:r w:rsidRPr="00B32147">
        <w:t>d</w:t>
      </w:r>
      <w:r w:rsidRPr="00B32147">
        <w:t xml:space="preserve">ställande sätt. Mot bakgrund av vad utskottet ovan anfört bör därför </w:t>
      </w:r>
      <w:r w:rsidRPr="00B32147">
        <w:rPr>
          <w:i/>
        </w:rPr>
        <w:t>motion Fö703 (kd) yrkandena 1</w:t>
      </w:r>
      <w:r w:rsidRPr="00B32147">
        <w:t xml:space="preserve"> och </w:t>
      </w:r>
      <w:r w:rsidRPr="00B32147">
        <w:rPr>
          <w:i/>
        </w:rPr>
        <w:t>2</w:t>
      </w:r>
      <w:r w:rsidRPr="00B32147">
        <w:t xml:space="preserve"> samt </w:t>
      </w:r>
      <w:r w:rsidRPr="00B32147">
        <w:rPr>
          <w:i/>
        </w:rPr>
        <w:t>motion Fö802 (s)</w:t>
      </w:r>
      <w:r w:rsidRPr="00B32147">
        <w:t xml:space="preserve"> inte bifallas av riksd</w:t>
      </w:r>
      <w:r w:rsidRPr="00B32147">
        <w:t>a</w:t>
      </w:r>
      <w:r w:rsidRPr="00B32147">
        <w:t xml:space="preserve">gen. </w:t>
      </w:r>
    </w:p>
    <w:p w:rsidR="002E6309" w:rsidRPr="00B32147" w:rsidRDefault="002E6309">
      <w:r w:rsidRPr="00B32147">
        <w:t>Utskottet vill med anledning av yrkandet i motion Fö704 (m) om</w:t>
      </w:r>
      <w:r w:rsidRPr="00B32147">
        <w:rPr>
          <w:i/>
        </w:rPr>
        <w:t xml:space="preserve"> omstyrning av farligt gods</w:t>
      </w:r>
      <w:r w:rsidRPr="00B32147">
        <w:t xml:space="preserve"> erinra om vad utskottet ovan anfört om de gällande intern</w:t>
      </w:r>
      <w:r w:rsidRPr="00B32147">
        <w:t>a</w:t>
      </w:r>
      <w:r w:rsidRPr="00B32147">
        <w:t>tionella bestämmelserna för</w:t>
      </w:r>
      <w:r w:rsidRPr="00B32147">
        <w:rPr>
          <w:i/>
        </w:rPr>
        <w:t xml:space="preserve"> </w:t>
      </w:r>
      <w:r w:rsidRPr="00B32147">
        <w:t>farligt gods-transporter på väg och på järnväg. Dessa bestämmelser gäller även vid nationella transporter. Av regeringens skrivelse (skr. 1997/98:78) Transport av farligt gods framgår att säkerhetsa</w:t>
      </w:r>
      <w:r w:rsidRPr="00B32147">
        <w:t>r</w:t>
      </w:r>
      <w:r w:rsidRPr="00B32147">
        <w:t>betet med transport av farligt gods på regional och lokal nivå utgörs främst av vägvalsstyrning, kommunala riskanalyser och fysisk plan</w:t>
      </w:r>
      <w:r w:rsidRPr="00B32147">
        <w:t>e</w:t>
      </w:r>
      <w:r w:rsidRPr="00B32147">
        <w:t>ring.</w:t>
      </w:r>
    </w:p>
    <w:p w:rsidR="002E6309" w:rsidRPr="00B32147" w:rsidRDefault="002E6309">
      <w:pPr>
        <w:pStyle w:val="Normaltindrag"/>
      </w:pPr>
      <w:r w:rsidRPr="00B32147">
        <w:t>Med vägvalsstyrning avses alla de åtgärder som kan vidtas</w:t>
      </w:r>
      <w:r w:rsidRPr="00B32147">
        <w:t xml:space="preserve"> för att få tran</w:t>
      </w:r>
      <w:r w:rsidRPr="00B32147">
        <w:t>s</w:t>
      </w:r>
      <w:r w:rsidRPr="00B32147">
        <w:t>porterna av farligt gods att gå på de vägar där i första hand konsekvenserna av en olycka blir så lindriga som möjligt. I ett regeringsuppdrag år 1998 redovisar Räddningsverket att detta arbete kontinuerligt bedrivs på två fro</w:t>
      </w:r>
      <w:r w:rsidRPr="00B32147">
        <w:t>n</w:t>
      </w:r>
      <w:r w:rsidRPr="00B32147">
        <w:t xml:space="preserve">ter. För det första pågår ständigt ett arbete med att finna metoder att i den befintliga infrastrukturen styra transporter till vägar och leder som är mest lämpliga. För det andra pågår ett arbete med att få in frågor rörande farligt gods som ett naturligt underlag i </w:t>
      </w:r>
      <w:r w:rsidRPr="00B32147">
        <w:t>den regionala och lokala planeringsproce</w:t>
      </w:r>
      <w:r w:rsidRPr="00B32147">
        <w:t>s</w:t>
      </w:r>
      <w:r w:rsidRPr="00B32147">
        <w:t>sen. I denna del syftar arbete till att riskerna med transporterna av farligt gods så långt som möjligt skall elimineras via ett genomtänkt samhällsby</w:t>
      </w:r>
      <w:r w:rsidRPr="00B32147">
        <w:t>g</w:t>
      </w:r>
      <w:r w:rsidRPr="00B32147">
        <w:t>gande.</w:t>
      </w:r>
    </w:p>
    <w:p w:rsidR="002E6309" w:rsidRPr="00B32147" w:rsidRDefault="002E6309">
      <w:pPr>
        <w:pStyle w:val="Normaltindrag"/>
      </w:pPr>
      <w:r w:rsidRPr="00B32147">
        <w:t>När det gäller vägvalsstyrning spelar länsstyrelserna en viktig roll då många transportleder berör flera kommuner. I regeringens skrivelse (skr. 1997/98:78) Transport av farligt gods anförde därför regeringen att Räd</w:t>
      </w:r>
      <w:r w:rsidRPr="00B32147">
        <w:t>d</w:t>
      </w:r>
      <w:r w:rsidRPr="00B32147">
        <w:t>ningsverket, i enlighet med Länsstyrelse- och trafikutredningens förslag, borde erhålla utökad föreskriftsrätt för att kunna stödja länsstyrelserna i arbetet med vägvalsstyrning. Med stöd av trafikförordningen (1998:1276) beslutar således länsstyrelsen om lokala trafikföreskrifter som gäller för transport av farligt gods.</w:t>
      </w:r>
    </w:p>
    <w:p w:rsidR="002E6309" w:rsidRPr="00B32147" w:rsidRDefault="002E6309">
      <w:pPr>
        <w:pStyle w:val="Normaltindrag"/>
      </w:pPr>
      <w:r w:rsidRPr="00B32147">
        <w:t>Ur risksynpunkt anser utskottet att vägvalsstyrning är ett mycket värdefullt instrument för att kunna styra om transporter av farligt gods, så att befol</w:t>
      </w:r>
      <w:r w:rsidRPr="00B32147">
        <w:t>k</w:t>
      </w:r>
      <w:r w:rsidRPr="00B32147">
        <w:t>ningstäta och miljöansträngda områden avlastas från sådana transporter. Utskottet inser dock att möjligheterna att styra om farligt gods i den befintl</w:t>
      </w:r>
      <w:r w:rsidRPr="00B32147">
        <w:t>i</w:t>
      </w:r>
      <w:r w:rsidRPr="00B32147">
        <w:t>ga infrastrukturen kan vara begränsade. Detta gäller inte minst i järnvägsn</w:t>
      </w:r>
      <w:r w:rsidRPr="00B32147">
        <w:t>ä</w:t>
      </w:r>
      <w:r w:rsidRPr="00B32147">
        <w:t>tet. Utskottet bedömer mot den bakgrunden därför det som särskilt viktigt att säkerhetsaspekten rörande transport av farligt gods tidigt kommer in i den regionala och lokala planeringsprocessen. Detta bäddar, som utskottet ser det, för en framtida säkrare ordning inom området för tra</w:t>
      </w:r>
      <w:r w:rsidRPr="00B32147">
        <w:t xml:space="preserve">nsport av farligt gods. </w:t>
      </w:r>
    </w:p>
    <w:p w:rsidR="002E6309" w:rsidRPr="00B32147" w:rsidRDefault="002E6309">
      <w:pPr>
        <w:pStyle w:val="Normaltindrag"/>
      </w:pPr>
      <w:r w:rsidRPr="00B32147">
        <w:t>Mot bakgrund av de senaste årens allvarliga olyckor med farligt gods, inte minst den nyligen inträffade olyckan i Borlänge, då ett godståg med gasol spårade ur på bangården i centrala Borlänge, ser utskottet det som självklart att regering och berörda myndigheter m.m. tar initiativ till förändringar som ytterligare minimerar riskerna vid transport av farligt gods. Utskottet kan glädjande nog redan nu konstatera att Banverket i samarbete med Räd</w:t>
      </w:r>
      <w:r w:rsidRPr="00B32147">
        <w:t>d</w:t>
      </w:r>
      <w:r w:rsidRPr="00B32147">
        <w:t xml:space="preserve">ningsverket bildat en arbetsgrupp för transport av farligt gods på järnväg. Arbetsgruppen skall bl.a. kartlägga erfarenheter och risker samt föreslå eventuella åtgärder som kan reducera riskerna. </w:t>
      </w:r>
    </w:p>
    <w:p w:rsidR="002E6309" w:rsidRPr="00B32147" w:rsidRDefault="002E6309">
      <w:pPr>
        <w:pStyle w:val="Normaltindrag"/>
      </w:pPr>
      <w:r w:rsidRPr="00B32147">
        <w:t xml:space="preserve">Utskottet utgår ifrån att regeringen följer frågan om transport av farligt gods med uppmärksamhet och återkommer till riksdagen med en redovisning i denna angelägna fråga. </w:t>
      </w:r>
    </w:p>
    <w:p w:rsidR="002E6309" w:rsidRPr="00B32147" w:rsidRDefault="002E6309">
      <w:pPr>
        <w:pStyle w:val="Normaltindrag"/>
      </w:pPr>
      <w:r w:rsidRPr="00B32147">
        <w:t xml:space="preserve">Mot bakgrund av det anförda bedömer utskottet att yrkandet i motion Fö704 (m) på sikt torde bli tillgodosett. </w:t>
      </w:r>
      <w:r w:rsidRPr="00B32147">
        <w:rPr>
          <w:i/>
        </w:rPr>
        <w:t>Motion Fö704 (m)</w:t>
      </w:r>
      <w:r w:rsidRPr="00B32147">
        <w:t xml:space="preserve"> behöver därför inte bifallas av rik</w:t>
      </w:r>
      <w:r w:rsidRPr="00B32147">
        <w:t>s</w:t>
      </w:r>
      <w:r w:rsidRPr="00B32147">
        <w:t xml:space="preserve">dagen. </w:t>
      </w:r>
    </w:p>
    <w:p w:rsidR="002E6309" w:rsidRPr="00B32147" w:rsidRDefault="002E6309">
      <w:pPr>
        <w:pStyle w:val="Rubrik2"/>
      </w:pPr>
      <w:bookmarkStart w:id="25" w:name="_Toc481551086"/>
      <w:r w:rsidRPr="00B32147">
        <w:t>Katastroffond</w:t>
      </w:r>
      <w:bookmarkEnd w:id="25"/>
    </w:p>
    <w:p w:rsidR="002E6309" w:rsidRPr="00B32147" w:rsidRDefault="002E6309">
      <w:pPr>
        <w:pStyle w:val="R3"/>
        <w:spacing w:before="123"/>
      </w:pPr>
      <w:r w:rsidRPr="00B32147">
        <w:t>Motionerna</w:t>
      </w:r>
    </w:p>
    <w:p w:rsidR="002E6309" w:rsidRPr="00B32147" w:rsidRDefault="002E6309">
      <w:r w:rsidRPr="00B32147">
        <w:t xml:space="preserve">I </w:t>
      </w:r>
      <w:r w:rsidRPr="00B32147">
        <w:rPr>
          <w:i/>
        </w:rPr>
        <w:t xml:space="preserve">motion Fö702 (v) </w:t>
      </w:r>
      <w:r w:rsidRPr="00B32147">
        <w:t>av Stig Sandström m.fl</w:t>
      </w:r>
      <w:r w:rsidRPr="00B32147">
        <w:rPr>
          <w:i/>
        </w:rPr>
        <w:t>.</w:t>
      </w:r>
      <w:r w:rsidRPr="00B32147">
        <w:t xml:space="preserve"> pekar motionärerna på att det är näst intill omöjligt för den enskilde att försäkra sig mot olika typer av kat</w:t>
      </w:r>
      <w:r w:rsidRPr="00B32147">
        <w:t>a</w:t>
      </w:r>
      <w:r w:rsidRPr="00B32147">
        <w:t>strofer. Ofta har det blivit så att staten i slutändan fått gå in och hjälpa de drabbade. Motionärerna föreslår att en fond byggs upp för att kunna ge ek</w:t>
      </w:r>
      <w:r w:rsidRPr="00B32147">
        <w:t>o</w:t>
      </w:r>
      <w:r w:rsidRPr="00B32147">
        <w:t>nomisk ersättning till de drabbade när oförutsägbara katastrofer inträffar. Fondens storlek, som föreslås förvaltas av Överstyrelsen för civil beredskap, bör uppgå till 400–500 miljoner kronor. En del av fo</w:t>
      </w:r>
      <w:r w:rsidRPr="00B32147">
        <w:t>ndens medel bör också kunna dispon</w:t>
      </w:r>
      <w:r w:rsidRPr="00B32147">
        <w:t>e</w:t>
      </w:r>
      <w:r w:rsidRPr="00B32147">
        <w:t xml:space="preserve">ras i förebyggande syfte. </w:t>
      </w:r>
    </w:p>
    <w:p w:rsidR="002E6309" w:rsidRPr="00B32147" w:rsidRDefault="002E6309">
      <w:pPr>
        <w:pStyle w:val="Normaltindrag"/>
      </w:pPr>
      <w:r w:rsidRPr="00B32147">
        <w:t xml:space="preserve">I </w:t>
      </w:r>
      <w:r w:rsidRPr="00B32147">
        <w:rPr>
          <w:i/>
        </w:rPr>
        <w:t xml:space="preserve">motion Fö705 (s) </w:t>
      </w:r>
      <w:r w:rsidRPr="00B32147">
        <w:t>av Jarl Lander och Ann-Kristine Johansson anförs att de flesta översvämningsskador oftast uppstår på grund av för hög avtappning eller för kraftigt flöde i reglerade vattendrag i samband med kraftig nede</w:t>
      </w:r>
      <w:r w:rsidRPr="00B32147">
        <w:t>r</w:t>
      </w:r>
      <w:r w:rsidRPr="00B32147">
        <w:t>börd eller snabb snösmältning i fjällvärlden. Det är skador i samband med detta som allmänheten har svårt att få ersättning för. Privatpersoner som drabbas har ytterst små möjligheter att få rimlig ersättning för skadad eller förlorad egendom. Motionärerna föreslår, som ett förslag, att avs</w:t>
      </w:r>
      <w:r w:rsidRPr="00B32147">
        <w:t>ättning av en liten del av kraftindustrins vinster görs, genom att konstruera en fond som täcker denna typ av skador. Förhandlingar bör tas upp med de vattenproduc</w:t>
      </w:r>
      <w:r w:rsidRPr="00B32147">
        <w:t>e</w:t>
      </w:r>
      <w:r w:rsidRPr="00B32147">
        <w:t>rande företagen om inrättandet av en riksomfattande fond som ersätter öve</w:t>
      </w:r>
      <w:r w:rsidRPr="00B32147">
        <w:t>r</w:t>
      </w:r>
      <w:r w:rsidRPr="00B32147">
        <w:t>svämningsskador efter reglerade vattendrag.</w:t>
      </w:r>
    </w:p>
    <w:p w:rsidR="002E6309" w:rsidRPr="00B32147" w:rsidRDefault="002E6309">
      <w:pPr>
        <w:pStyle w:val="R3"/>
      </w:pPr>
      <w:r w:rsidRPr="00B32147">
        <w:t>Utskottet</w:t>
      </w:r>
    </w:p>
    <w:p w:rsidR="002E6309" w:rsidRPr="00B32147" w:rsidRDefault="002E6309">
      <w:r w:rsidRPr="00B32147">
        <w:t>I motionerna Fö702 (v) och Fö705 (s) tas frågan upp om ersättning till e</w:t>
      </w:r>
      <w:r w:rsidRPr="00B32147">
        <w:t>n</w:t>
      </w:r>
      <w:r w:rsidRPr="00B32147">
        <w:t>skilda i samband med inträffade katastrofer av olika slag. Utskottet har tid</w:t>
      </w:r>
      <w:r w:rsidRPr="00B32147">
        <w:t>i</w:t>
      </w:r>
      <w:r w:rsidRPr="00B32147">
        <w:t>gare behandlat liknande motionsyrkanden i betänkandet (bet. 1997/98:FöU5) Ersättningsfrågor m.m. i samband med inträffade naturkatastrofer. Utskottet har nu erfarit att regeringen år 1999 beslutat om direktiv för en översyn av räddningstjänstlagen m.m. (dir. 1999:94) samt att det inom Regeringskansliet skall genomföras departementsvisa genomgångar av åtgärder för förfat</w:t>
      </w:r>
      <w:r w:rsidRPr="00B32147">
        <w:t>t</w:t>
      </w:r>
      <w:r w:rsidRPr="00B32147">
        <w:t xml:space="preserve">ningsreglering i fråga om svåra påfrestningar på samhället i </w:t>
      </w:r>
      <w:r w:rsidRPr="00B32147">
        <w:t>fred. Utskottet bedömer att de olika frågeställningar som kommer att aktualiseras i dessa sammanhang kommer att avse principer av det slag som tas upp i motione</w:t>
      </w:r>
      <w:r w:rsidRPr="00B32147">
        <w:t>r</w:t>
      </w:r>
      <w:r w:rsidRPr="00B32147">
        <w:t xml:space="preserve">na. </w:t>
      </w:r>
    </w:p>
    <w:p w:rsidR="002E6309" w:rsidRPr="00B32147" w:rsidRDefault="002E6309">
      <w:pPr>
        <w:pStyle w:val="Normaltindrag"/>
      </w:pPr>
      <w:r w:rsidRPr="00B32147">
        <w:t>Utskottet vill också med anledning av yrkandena erinra om att det sedan år 1986 finns ett anslag på 25 miljoner kronor, som disponeras av Statens räd</w:t>
      </w:r>
      <w:r w:rsidRPr="00B32147">
        <w:t>d</w:t>
      </w:r>
      <w:r w:rsidRPr="00B32147">
        <w:t>ningsverk för förebyggande åtgärder mot jordskred och andra naturolyckor. Systemet bygger på att kommunen föreslår förebyggande åtgärder och ans</w:t>
      </w:r>
      <w:r w:rsidRPr="00B32147">
        <w:t>ö</w:t>
      </w:r>
      <w:r w:rsidRPr="00B32147">
        <w:t>ker om bidrag för åtgärderna hos Räddningsverket. Utskottet vill också erinra om att det därutöver även finns ett anslag på 25 miljoner kronor för ersät</w:t>
      </w:r>
      <w:r w:rsidRPr="00B32147">
        <w:t>t</w:t>
      </w:r>
      <w:r w:rsidRPr="00B32147">
        <w:t>ning för verksamhet vid räddningstjänst m.m. Genom detta anslag kan ko</w:t>
      </w:r>
      <w:r w:rsidRPr="00B32147">
        <w:t>m</w:t>
      </w:r>
      <w:r w:rsidRPr="00B32147">
        <w:t>munen få ersättning för uppkomna kostnader vid genomförda räddningsi</w:t>
      </w:r>
      <w:r w:rsidRPr="00B32147">
        <w:t>n</w:t>
      </w:r>
      <w:r w:rsidRPr="00B32147">
        <w:t>satser. Utbetalningar till kommunerna har bl.a. skett för kostnader i sam</w:t>
      </w:r>
      <w:r w:rsidRPr="00B32147">
        <w:t>band med skogsbränder, jordskred, översvämningar, olyckor vid transport av farligt gods m.m.</w:t>
      </w:r>
      <w:r w:rsidRPr="00B32147">
        <w:rPr>
          <w:u w:val="single"/>
        </w:rPr>
        <w:t xml:space="preserve"> </w:t>
      </w:r>
    </w:p>
    <w:p w:rsidR="002E6309" w:rsidRPr="00B32147" w:rsidRDefault="002E6309">
      <w:pPr>
        <w:pStyle w:val="Normaltindrag"/>
      </w:pPr>
      <w:r w:rsidRPr="00B32147">
        <w:t xml:space="preserve">Mot bakgrund av det pågående beredningsarbetet inom Regeringskansliet i de frågor som aktualiserats i motionerna, anser utskottet att ett eventuellt uttalande från riksdagen bör anstå till dess detta beredningsarbete är avslutat och regeringen lämnat riksdagen förslag i frågan. </w:t>
      </w:r>
      <w:r w:rsidRPr="00B32147">
        <w:rPr>
          <w:i/>
        </w:rPr>
        <w:t>Motionerna Fö702 (v)</w:t>
      </w:r>
      <w:r w:rsidRPr="00B32147">
        <w:t xml:space="preserve"> och </w:t>
      </w:r>
      <w:r w:rsidRPr="00B32147">
        <w:rPr>
          <w:i/>
        </w:rPr>
        <w:t>Fö705 (s)</w:t>
      </w:r>
      <w:r w:rsidRPr="00B32147">
        <w:t xml:space="preserve"> bör därför inte bifallas av riksdagen.</w:t>
      </w:r>
    </w:p>
    <w:p w:rsidR="002E6309" w:rsidRPr="00B32147" w:rsidRDefault="002E6309">
      <w:pPr>
        <w:pStyle w:val="Rubrik2"/>
      </w:pPr>
      <w:bookmarkStart w:id="26" w:name="_Toc481551087"/>
      <w:r w:rsidRPr="00B32147">
        <w:t>Sotning</w:t>
      </w:r>
      <w:bookmarkEnd w:id="26"/>
    </w:p>
    <w:p w:rsidR="002E6309" w:rsidRPr="00B32147" w:rsidRDefault="002E6309">
      <w:pPr>
        <w:pStyle w:val="R3"/>
        <w:spacing w:before="123"/>
      </w:pPr>
      <w:r w:rsidRPr="00B32147">
        <w:t>Motionen</w:t>
      </w:r>
    </w:p>
    <w:p w:rsidR="002E6309" w:rsidRPr="00B32147" w:rsidRDefault="002E6309">
      <w:r w:rsidRPr="00B32147">
        <w:t xml:space="preserve">I </w:t>
      </w:r>
      <w:r w:rsidRPr="00B32147">
        <w:rPr>
          <w:i/>
        </w:rPr>
        <w:t xml:space="preserve">motion Fö701 (mp) </w:t>
      </w:r>
      <w:r w:rsidRPr="00B32147">
        <w:t>av Gudrun Lindvall m.fl. framhålls att det är på tiden att sotningsväsendet avregleras. Den tingens ordning som gäller hör inte en modern tid till. Den var möjligen motiverad under trästädernas tid, men borde i dag kunna ersättas med ett modernare system. Med en certifiering av kontrollanten, som naturligtvis kan vara sotare, torde inte brandskyddet försämras. Motionärerna anför att vi ju ges ansvar att välja elektriker trots att elfel orsakar fler bränder i dag än felaktigt hanterade elds</w:t>
      </w:r>
      <w:r w:rsidRPr="00B32147">
        <w:t>täder och rökgån</w:t>
      </w:r>
      <w:r w:rsidRPr="00B32147">
        <w:t>g</w:t>
      </w:r>
      <w:r w:rsidRPr="00B32147">
        <w:t xml:space="preserve">ar. Monopolet leder inte bara till utebliven konkurrens, det leder också i många fall till en arrogans från sotarmästaren mot kunden eftersom man uppfattar sig som en myndighet. </w:t>
      </w:r>
    </w:p>
    <w:p w:rsidR="002E6309" w:rsidRPr="00B32147" w:rsidRDefault="002E6309">
      <w:pPr>
        <w:pStyle w:val="R3"/>
      </w:pPr>
      <w:r w:rsidRPr="00B32147">
        <w:t>Utskottet</w:t>
      </w:r>
    </w:p>
    <w:p w:rsidR="002E6309" w:rsidRPr="00B32147" w:rsidRDefault="002E6309">
      <w:r w:rsidRPr="00B32147">
        <w:t>Utskottet behandlade frågan om sotningsmonopolet i februari 1998 (bet. 1997/98:FöU2). Utskottet anförde då att utskottet vid ett flertal tillfällen behandlat frågan om bristen på konkurrens inom sotningsväsendet. Den särskilde utredaren med uppgift att föreslå förändringar som, utan att negativt påverka brandskyddet, befrämjar en ökad konkurrens och utvecklar fasti</w:t>
      </w:r>
      <w:r w:rsidRPr="00B32147">
        <w:t>g</w:t>
      </w:r>
      <w:r w:rsidRPr="00B32147">
        <w:t xml:space="preserve">hetsägarens inflytande över sotningen av den egna fastigheten har avslutat sitt utredningsarbete. I mars 1998 överlämnade Sotningsutredningen sitt slutbetänkande Sotning i framtiden (SOU 1998:45). Utredningen har lämnat två alternativa förslag. Det ena avser förändringar inom ramen för befintliga ansvarsförhållanden medan det andra förslaget innebär en avveckling av det s.k. sotningsmonopolet. </w:t>
      </w:r>
    </w:p>
    <w:p w:rsidR="002E6309" w:rsidRPr="00B32147" w:rsidRDefault="002E6309">
      <w:pPr>
        <w:pStyle w:val="Normaltindrag"/>
      </w:pPr>
      <w:r w:rsidRPr="00B32147">
        <w:t>Tre riksdagsledamöter har under innevarande riksmöte ställt frågor för skriftliga svar till försvarsministern rör</w:t>
      </w:r>
      <w:r w:rsidRPr="00B32147">
        <w:t>ande monopolet inom sotningsväse</w:t>
      </w:r>
      <w:r w:rsidRPr="00B32147">
        <w:t>n</w:t>
      </w:r>
      <w:r w:rsidRPr="00B32147">
        <w:t>det. Vid tre tillfällen i december 1999 har försvarsministern svarat att mot bakgrund av utredningsförslagen och de synpunkter som kommit fram i samband med remisshanteringen bereds ärendet vidare i Regeringskansliet. Försvarsministern svarade också att regeringen fäster stor vikt vid att so</w:t>
      </w:r>
      <w:r w:rsidRPr="00B32147">
        <w:t>t</w:t>
      </w:r>
      <w:r w:rsidRPr="00B32147">
        <w:t xml:space="preserve">ningssystemet är utformat på ett sätt som ger ett effektivt och väl fungerande brandskydd i landet. Likaså att regeringen ser det som angeläget att så långt möjligt inom ramen för detta </w:t>
      </w:r>
      <w:r w:rsidRPr="00B32147">
        <w:t>övergripande krav befrämja en fungerande konkurrens till nytta för fastighetsägare och hyresgäster.</w:t>
      </w:r>
    </w:p>
    <w:p w:rsidR="002E6309" w:rsidRPr="00B32147" w:rsidRDefault="002E6309">
      <w:pPr>
        <w:pStyle w:val="Normaltindrag"/>
      </w:pPr>
      <w:r w:rsidRPr="00B32147">
        <w:t>Utskottet har i samband med sina tidigare beredningar av frågan om bri</w:t>
      </w:r>
      <w:r w:rsidRPr="00B32147">
        <w:t>s</w:t>
      </w:r>
      <w:r w:rsidRPr="00B32147">
        <w:t>ten på konkurrens inom sotningsväsendet framhållit att utvecklingen inom många områden i dag går mot avreglering och ökad konkurrens. Denna u</w:t>
      </w:r>
      <w:r w:rsidRPr="00B32147">
        <w:t>t</w:t>
      </w:r>
      <w:r w:rsidRPr="00B32147">
        <w:t>veckling har lett till en ökad effektivitet och en bättre kundanpassning inom många områden. Utskottet ser det därför som positivt att ett av förslagen från Sotningsutredningen är en avveckling av det s.k. sotningsmonopolet. U</w:t>
      </w:r>
      <w:r w:rsidRPr="00B32147">
        <w:t>t</w:t>
      </w:r>
      <w:r w:rsidRPr="00B32147">
        <w:t>skottet utgår från att en eventuell förändring av ansvarsfrågan inte kommer att påverka brandskyddet negativt.</w:t>
      </w:r>
    </w:p>
    <w:p w:rsidR="002E6309" w:rsidRPr="00B32147" w:rsidRDefault="002E6309">
      <w:pPr>
        <w:pStyle w:val="Normaltindrag"/>
      </w:pPr>
      <w:r w:rsidRPr="00B32147">
        <w:t>Företrädare för Försvarsdeparte</w:t>
      </w:r>
      <w:r w:rsidRPr="00B32147">
        <w:t>mentet har inför utskottet redogjort för so</w:t>
      </w:r>
      <w:r w:rsidRPr="00B32147">
        <w:t>t</w:t>
      </w:r>
      <w:r w:rsidRPr="00B32147">
        <w:t>ningsärendets beredning inom Regeringskansliet. Vid denna redogörelse framkom att departementet bedömer att det behövs en ytterligare fördjupning i vissa frågor, bl.a. konsekvenserna i glesbygden och de avtalsjuridiska a</w:t>
      </w:r>
      <w:r w:rsidRPr="00B32147">
        <w:t>s</w:t>
      </w:r>
      <w:r w:rsidRPr="00B32147">
        <w:t xml:space="preserve">pekterna om marknaden blir konkurrensutsatt. </w:t>
      </w:r>
    </w:p>
    <w:p w:rsidR="002E6309" w:rsidRPr="00B32147" w:rsidRDefault="002E6309">
      <w:pPr>
        <w:pStyle w:val="Normaltindrag"/>
      </w:pPr>
      <w:r w:rsidRPr="00B32147">
        <w:t>Utskottet kan således konstatera att frågan om monopolet inom sotning</w:t>
      </w:r>
      <w:r w:rsidRPr="00B32147">
        <w:t>s</w:t>
      </w:r>
      <w:r w:rsidRPr="00B32147">
        <w:t>väsendet bereds vidare inom Regeringskansliet. Frågan har, som framgått, under lång tid varit föremål för ett omfattande utrednings- och beredningsa</w:t>
      </w:r>
      <w:r w:rsidRPr="00B32147">
        <w:t>r</w:t>
      </w:r>
      <w:r w:rsidRPr="00B32147">
        <w:t>bete. Utskottet har naturligtvis förståelse för att konsekvenserna av ett h</w:t>
      </w:r>
      <w:r w:rsidRPr="00B32147">
        <w:t>ä</w:t>
      </w:r>
      <w:r w:rsidRPr="00B32147">
        <w:t>vande av monopolet måste belysas grundligt, så att fördelarna med en ko</w:t>
      </w:r>
      <w:r w:rsidRPr="00B32147">
        <w:t>n</w:t>
      </w:r>
      <w:r w:rsidRPr="00B32147">
        <w:t>kurrensutsatt marknad gagnar brandsäkerheten inom sotningsväsendet. U</w:t>
      </w:r>
      <w:r w:rsidRPr="00B32147">
        <w:t>t</w:t>
      </w:r>
      <w:r w:rsidRPr="00B32147">
        <w:t>skottet utgår dock ifrån att de fördjupade analyser i ärendet som återstår kommer att beredas skyndsamt och att regeringen återkommer till riksd</w:t>
      </w:r>
      <w:r w:rsidRPr="00B32147">
        <w:t xml:space="preserve">agen med förslag i ärendet, senast under nästa riksmöte. </w:t>
      </w:r>
    </w:p>
    <w:p w:rsidR="002E6309" w:rsidRPr="00B32147" w:rsidRDefault="002E6309">
      <w:pPr>
        <w:pStyle w:val="Normaltindrag"/>
      </w:pPr>
      <w:r w:rsidRPr="00B32147">
        <w:t xml:space="preserve">Vad utskottet nu, bl.a. med anledning av </w:t>
      </w:r>
      <w:r w:rsidRPr="00B32147">
        <w:rPr>
          <w:i/>
        </w:rPr>
        <w:t>motion Fö701 (mp</w:t>
      </w:r>
      <w:r w:rsidRPr="00B32147">
        <w:t xml:space="preserve">), anfört bör riksdagen som sin mening ge regeringen till känna. </w:t>
      </w:r>
    </w:p>
    <w:p w:rsidR="002E6309" w:rsidRPr="00B32147" w:rsidRDefault="002E6309">
      <w:pPr>
        <w:pStyle w:val="Rubrik2"/>
      </w:pPr>
      <w:bookmarkStart w:id="27" w:name="_Toc481551088"/>
      <w:r w:rsidRPr="00B32147">
        <w:t>Övriga frågor</w:t>
      </w:r>
      <w:bookmarkEnd w:id="27"/>
    </w:p>
    <w:p w:rsidR="002E6309" w:rsidRPr="00B32147" w:rsidRDefault="002E6309">
      <w:pPr>
        <w:pStyle w:val="R3"/>
        <w:spacing w:before="123"/>
      </w:pPr>
      <w:r w:rsidRPr="00B32147">
        <w:t>Motionerna</w:t>
      </w:r>
    </w:p>
    <w:p w:rsidR="002E6309" w:rsidRPr="00B32147" w:rsidRDefault="002E6309">
      <w:r w:rsidRPr="00B32147">
        <w:t xml:space="preserve">I </w:t>
      </w:r>
      <w:r w:rsidRPr="00B32147">
        <w:rPr>
          <w:i/>
        </w:rPr>
        <w:t xml:space="preserve">motion Fö801 (s) </w:t>
      </w:r>
      <w:r w:rsidRPr="00B32147">
        <w:t>av Bengt Silfverstrand och Marianne Jönsson hänvisas till den utredning (dir. 1998:88) som skall se över reglerna för hantering av pyrotekniska varor. I motionen föreslås att riksdagen gör ett uttalande, som i avvaktan på ett samlat ställningstagande till den nämnda utredningen, gör det möjligt för regeringen att omgående enligt dansk förebild förbjuda försäl</w:t>
      </w:r>
      <w:r w:rsidRPr="00B32147">
        <w:t>j</w:t>
      </w:r>
      <w:r w:rsidRPr="00B32147">
        <w:t xml:space="preserve">ning av smällare. </w:t>
      </w:r>
    </w:p>
    <w:p w:rsidR="002E6309" w:rsidRPr="00B32147" w:rsidRDefault="002E6309">
      <w:pPr>
        <w:pStyle w:val="Normaltindrag"/>
      </w:pPr>
      <w:r w:rsidRPr="00B32147">
        <w:t xml:space="preserve">I </w:t>
      </w:r>
      <w:r w:rsidRPr="00B32147">
        <w:rPr>
          <w:i/>
        </w:rPr>
        <w:t xml:space="preserve">motion Fö803 (m) </w:t>
      </w:r>
      <w:r w:rsidRPr="00B32147">
        <w:t>av Gunnar Axén pekar motionären på att kombinati</w:t>
      </w:r>
      <w:r w:rsidRPr="00B32147">
        <w:t>o</w:t>
      </w:r>
      <w:r w:rsidRPr="00B32147">
        <w:t>en av en gammal utrustning och de möjligheter som ny teknik ger leder till att behovet av en snabb uppgradering av kommunikationsutrustning för bland annat polis och den kommunala räddningstjänsten är stort. Frågan har utretts under en längre tid och det är dags att åtgärder vidtas för att dra så stor nytta som möjligt av gemensam teknik. Risken är annars stor att en rad my</w:t>
      </w:r>
      <w:r w:rsidRPr="00B32147">
        <w:t>n</w:t>
      </w:r>
      <w:r w:rsidRPr="00B32147">
        <w:t>digheter bygger egna system som inte förmår kommunicera med varandra.</w:t>
      </w:r>
      <w:r w:rsidRPr="00B32147">
        <w:t xml:space="preserve"> Motionären pekar på att i en statlig utredning (SOU 1998:143) Ett tryggare Sverige rekommenderas att ett nationellt system byggs med TETRA som standard.</w:t>
      </w:r>
    </w:p>
    <w:p w:rsidR="002E6309" w:rsidRPr="00B32147" w:rsidRDefault="002E6309">
      <w:pPr>
        <w:pStyle w:val="R3"/>
      </w:pPr>
      <w:r w:rsidRPr="00B32147">
        <w:t>Utskottet</w:t>
      </w:r>
    </w:p>
    <w:p w:rsidR="002E6309" w:rsidRPr="00B32147" w:rsidRDefault="002E6309">
      <w:r w:rsidRPr="00B32147">
        <w:t xml:space="preserve">Med anledning av yrkandet i motion Fö801 (s) om förbud mot </w:t>
      </w:r>
      <w:r w:rsidRPr="00B32147">
        <w:rPr>
          <w:i/>
        </w:rPr>
        <w:t>försäljning av smällare</w:t>
      </w:r>
      <w:r w:rsidRPr="00B32147">
        <w:t xml:space="preserve"> har utskottet erfarit att Pyroteknikutredningens betänkande (SOU 1999:128) har överlämnats till försvarsministern och att betänkandet nu remissbehandlas. Utskottet bedömer att ett eventuellt uttalande från riksd</w:t>
      </w:r>
      <w:r w:rsidRPr="00B32147">
        <w:t>a</w:t>
      </w:r>
      <w:r w:rsidRPr="00B32147">
        <w:t xml:space="preserve">gen bör anstå till dess beredningen inom Regeringskansliet i detta ärende är avslutat och förslag i frågan föreligger. </w:t>
      </w:r>
      <w:r w:rsidRPr="00B32147">
        <w:rPr>
          <w:i/>
        </w:rPr>
        <w:t xml:space="preserve">Motion Fö801 (s) </w:t>
      </w:r>
      <w:r w:rsidRPr="00B32147">
        <w:t xml:space="preserve">bör därför inte bifallas av riksdagen. </w:t>
      </w:r>
    </w:p>
    <w:p w:rsidR="002E6309" w:rsidRPr="00B32147" w:rsidRDefault="002E6309">
      <w:r w:rsidRPr="00B32147">
        <w:t xml:space="preserve">När det gäller </w:t>
      </w:r>
      <w:r w:rsidRPr="00B32147">
        <w:rPr>
          <w:i/>
        </w:rPr>
        <w:t>gemensam teknik för radiokommunikation</w:t>
      </w:r>
      <w:r w:rsidRPr="00B32147">
        <w:t xml:space="preserve"> har utredningen (SOU 1998:143) Ett tryggare Sverige överlämnat sitt betänkande i december 1998. Utredningen har enligt sina direktiv (dir. 1997:92) haft till uppgift att utreda och lämna förslag på teknisk lösning, samverkansformer samt en lösning av ägarfrågorna när det gäller ett gemenamt radiosystem för polisen, den kommunala räddningstjänsten samt hälso- och sjukvården m.fl. Även att lämna förslag om lämplig huvudman för radiosystemet samt finansiering</w:t>
      </w:r>
      <w:r w:rsidRPr="00B32147">
        <w:t>s</w:t>
      </w:r>
      <w:r w:rsidRPr="00B32147">
        <w:t>former ingic</w:t>
      </w:r>
      <w:r w:rsidRPr="00B32147">
        <w:t>k i uppdraget.</w:t>
      </w:r>
    </w:p>
    <w:p w:rsidR="002E6309" w:rsidRPr="00B32147" w:rsidRDefault="002E6309">
      <w:pPr>
        <w:pStyle w:val="Normaltindrag"/>
      </w:pPr>
      <w:r w:rsidRPr="00B32147">
        <w:t>Utredningens slutsats är att radiosystemet TETRA (Terrestrial trunked r</w:t>
      </w:r>
      <w:r w:rsidRPr="00B32147">
        <w:t>a</w:t>
      </w:r>
      <w:r w:rsidRPr="00B32147">
        <w:t>dio) uppfyller uppställda krav för radiokommunikation för de samhällsvikt</w:t>
      </w:r>
      <w:r w:rsidRPr="00B32147">
        <w:t>i</w:t>
      </w:r>
      <w:r w:rsidRPr="00B32147">
        <w:t>ga verksamheterna. Denna slutsats stöds av tidigare studier som gjorts både inom Sverige och i andra länder. De aktörer som utredningen anser bör delta i det gemensamma nätet är polisen och tullen, kommunal och statlig räd</w:t>
      </w:r>
      <w:r w:rsidRPr="00B32147">
        <w:t>d</w:t>
      </w:r>
      <w:r w:rsidRPr="00B32147">
        <w:t>ningstjänst, landstingen, Försvarsmakten samt SOS Alarm. Utredningen har remissbehandlats och beredning av ärendet pågår för närvarande inom Reg</w:t>
      </w:r>
      <w:r w:rsidRPr="00B32147">
        <w:t>e</w:t>
      </w:r>
      <w:r w:rsidRPr="00B32147">
        <w:t xml:space="preserve">ringskansliet. </w:t>
      </w:r>
    </w:p>
    <w:p w:rsidR="002E6309" w:rsidRPr="00B32147" w:rsidRDefault="002E6309">
      <w:pPr>
        <w:pStyle w:val="Normaltindrag"/>
      </w:pPr>
      <w:r w:rsidRPr="00B32147">
        <w:t>Enligt utskottets mening är det av största vikt för m</w:t>
      </w:r>
      <w:r w:rsidRPr="00B32147">
        <w:t>edborgarnas trygghet att samhället har väl fungerande kommunikationer för hantering av olyckor, katastrofer, brottsbekämpning, samhällstörningar m.m. Utskottet har först</w:t>
      </w:r>
      <w:r w:rsidRPr="00B32147">
        <w:t>å</w:t>
      </w:r>
      <w:r w:rsidRPr="00B32147">
        <w:t>else för att polis, räddningstjänst och sjukvård med flera måste ha goda kommunikationer såväl inom sin egen organisation som mellan de samve</w:t>
      </w:r>
      <w:r w:rsidRPr="00B32147">
        <w:t>r</w:t>
      </w:r>
      <w:r w:rsidRPr="00B32147">
        <w:t>kande organisationerna för att kunna fullgöra sina uppgifter på bästa sätt. Utskottet ser det därför som positivt att regeringen initierat en utredning och att frågan nu bereds vidare inom Regeringska</w:t>
      </w:r>
      <w:r w:rsidRPr="00B32147">
        <w:t>nsliet. Ett uttalande från riksd</w:t>
      </w:r>
      <w:r w:rsidRPr="00B32147">
        <w:t>a</w:t>
      </w:r>
      <w:r w:rsidRPr="00B32147">
        <w:t>gen – utöver vad som ovan anförts – anser utskottet bör anstå till dess reg</w:t>
      </w:r>
      <w:r w:rsidRPr="00B32147">
        <w:t>e</w:t>
      </w:r>
      <w:r w:rsidRPr="00B32147">
        <w:t xml:space="preserve">ringen tagit ställning i frågan och förslag till riksdagen föreligger. </w:t>
      </w:r>
      <w:r w:rsidRPr="00B32147">
        <w:rPr>
          <w:i/>
        </w:rPr>
        <w:t>Motion Fö803 (m)</w:t>
      </w:r>
      <w:r w:rsidRPr="00B32147">
        <w:t xml:space="preserve"> bör därför inte nu bifallas av riksd</w:t>
      </w:r>
      <w:r w:rsidRPr="00B32147">
        <w:t>a</w:t>
      </w:r>
      <w:r w:rsidRPr="00B32147">
        <w:t>gen.</w:t>
      </w:r>
    </w:p>
    <w:p w:rsidR="002E6309" w:rsidRPr="00B32147" w:rsidRDefault="002E6309">
      <w:pPr>
        <w:pStyle w:val="Rubrik2"/>
      </w:pPr>
      <w:bookmarkStart w:id="28" w:name="_Toc481551089"/>
      <w:r w:rsidRPr="00B32147">
        <w:t>Hemställan</w:t>
      </w:r>
      <w:bookmarkEnd w:id="28"/>
    </w:p>
    <w:p w:rsidR="002E6309" w:rsidRPr="00B32147" w:rsidRDefault="002E6309">
      <w:r w:rsidRPr="00B32147">
        <w:t>Utskottet hemställer</w:t>
      </w:r>
    </w:p>
    <w:p w:rsidR="002E6309" w:rsidRPr="00B32147" w:rsidRDefault="002E6309">
      <w:pPr>
        <w:pStyle w:val="hembetr"/>
      </w:pPr>
      <w:r w:rsidRPr="00B32147">
        <w:t xml:space="preserve">1. beträffande </w:t>
      </w:r>
      <w:r w:rsidRPr="00B32147">
        <w:rPr>
          <w:i/>
        </w:rPr>
        <w:t>samhällets räddningstjänst m.m.</w:t>
      </w:r>
    </w:p>
    <w:p w:rsidR="002E6309" w:rsidRPr="00B32147" w:rsidRDefault="002E6309">
      <w:pPr>
        <w:pStyle w:val="hemtext"/>
      </w:pPr>
      <w:r w:rsidRPr="00B32147">
        <w:t xml:space="preserve">att riksdagen avslår motionerna 1999/2000:Fö213 yrkandena 1, 4 och 5, 1999/2000:Fö401, 1999/2000:Fö706, 1999/2000:Fö707 yrkandena 1 och 2 samt 1999/2000:Ju223 yrkande 3, </w:t>
      </w:r>
    </w:p>
    <w:p w:rsidR="002E6309" w:rsidRPr="00B32147" w:rsidRDefault="002E6309">
      <w:pPr>
        <w:pStyle w:val="hembetr"/>
      </w:pPr>
      <w:r w:rsidRPr="00B32147">
        <w:t xml:space="preserve">2. </w:t>
      </w:r>
      <w:bookmarkStart w:id="29" w:name="Nästa_Hpunkt"/>
      <w:bookmarkEnd w:id="29"/>
      <w:r w:rsidRPr="00B32147">
        <w:t xml:space="preserve">beträffande </w:t>
      </w:r>
      <w:r w:rsidRPr="00B32147">
        <w:rPr>
          <w:i/>
        </w:rPr>
        <w:t>transport av farligt gods</w:t>
      </w:r>
    </w:p>
    <w:p w:rsidR="002E6309" w:rsidRPr="00B32147" w:rsidRDefault="002E6309">
      <w:pPr>
        <w:pStyle w:val="hemtext"/>
      </w:pPr>
      <w:r w:rsidRPr="00B32147">
        <w:t>att riksdagen avslår motionerna 1999/2000:Fö703 yrkandena 1 och 2, 1999/2000:Fö704 samt 1999/2000:Fö802,</w:t>
      </w:r>
    </w:p>
    <w:p w:rsidR="002E6309" w:rsidRPr="00B32147" w:rsidRDefault="002E6309">
      <w:pPr>
        <w:pStyle w:val="hembetr"/>
        <w:rPr>
          <w:i/>
        </w:rPr>
      </w:pPr>
      <w:r w:rsidRPr="00B32147">
        <w:t xml:space="preserve">3. beträffande </w:t>
      </w:r>
      <w:r w:rsidRPr="00B32147">
        <w:rPr>
          <w:i/>
        </w:rPr>
        <w:t>katastroffond</w:t>
      </w:r>
    </w:p>
    <w:p w:rsidR="002E6309" w:rsidRPr="00B32147" w:rsidRDefault="002E6309">
      <w:pPr>
        <w:pStyle w:val="hemtext"/>
      </w:pPr>
      <w:r w:rsidRPr="00B32147">
        <w:t xml:space="preserve">att riksdagen avslår motionerna 1999/2000:Fö702 och 1999/2000: Fö705, </w:t>
      </w:r>
    </w:p>
    <w:p w:rsidR="002E6309" w:rsidRPr="00B32147" w:rsidRDefault="002E6309">
      <w:pPr>
        <w:pStyle w:val="hembetr"/>
        <w:rPr>
          <w:i/>
        </w:rPr>
      </w:pPr>
      <w:r w:rsidRPr="00B32147">
        <w:t xml:space="preserve">4. beträffande </w:t>
      </w:r>
      <w:r w:rsidRPr="00B32147">
        <w:rPr>
          <w:i/>
        </w:rPr>
        <w:t>sotningsmonopolet</w:t>
      </w:r>
    </w:p>
    <w:p w:rsidR="002E6309" w:rsidRPr="00B32147" w:rsidRDefault="002E6309">
      <w:pPr>
        <w:pStyle w:val="hemtext"/>
      </w:pPr>
      <w:r w:rsidRPr="00B32147">
        <w:t>att riksdagen med anledning av motion 1999/2000:Fö701 som sin m</w:t>
      </w:r>
      <w:r w:rsidRPr="00B32147">
        <w:t>e</w:t>
      </w:r>
      <w:r w:rsidRPr="00B32147">
        <w:t>ning ger regeringen till känna vad u</w:t>
      </w:r>
      <w:r w:rsidRPr="00B32147">
        <w:t>t</w:t>
      </w:r>
      <w:r w:rsidRPr="00B32147">
        <w:t xml:space="preserve">skottet anfört, </w:t>
      </w:r>
    </w:p>
    <w:p w:rsidR="002E6309" w:rsidRPr="00B32147" w:rsidRDefault="002E6309">
      <w:pPr>
        <w:pStyle w:val="Reseftermom"/>
      </w:pPr>
      <w:r w:rsidRPr="00B32147">
        <w:t xml:space="preserve">res. (s, v, c) </w:t>
      </w:r>
    </w:p>
    <w:p w:rsidR="002E6309" w:rsidRPr="00B32147" w:rsidRDefault="002E6309">
      <w:pPr>
        <w:pStyle w:val="hembetr"/>
      </w:pPr>
      <w:r w:rsidRPr="00B32147">
        <w:t xml:space="preserve">5. beträffande </w:t>
      </w:r>
      <w:r w:rsidRPr="00B32147">
        <w:rPr>
          <w:i/>
        </w:rPr>
        <w:t>försäljning av smällare</w:t>
      </w:r>
    </w:p>
    <w:p w:rsidR="002E6309" w:rsidRPr="00B32147" w:rsidRDefault="002E6309">
      <w:pPr>
        <w:pStyle w:val="hemtext"/>
      </w:pPr>
      <w:r w:rsidRPr="00B32147">
        <w:t>att riksdagen avslår motion 1999/2000:Fö801,</w:t>
      </w:r>
    </w:p>
    <w:p w:rsidR="002E6309" w:rsidRPr="00B32147" w:rsidRDefault="002E6309">
      <w:pPr>
        <w:pStyle w:val="hembetr"/>
      </w:pPr>
      <w:r w:rsidRPr="00B32147">
        <w:t xml:space="preserve">6. beträffande </w:t>
      </w:r>
      <w:r w:rsidRPr="00B32147">
        <w:rPr>
          <w:i/>
        </w:rPr>
        <w:t>gemensam teknik för radiokommunikation</w:t>
      </w:r>
    </w:p>
    <w:p w:rsidR="002E6309" w:rsidRPr="00B32147" w:rsidRDefault="002E6309">
      <w:pPr>
        <w:pStyle w:val="hemtext"/>
      </w:pPr>
      <w:r w:rsidRPr="00B32147">
        <w:t>att riksdagen avslår motion 1999/2000:Fö803.</w:t>
      </w:r>
    </w:p>
    <w:p w:rsidR="002E6309" w:rsidRPr="00B32147" w:rsidRDefault="002E6309">
      <w:pPr>
        <w:pStyle w:val="Stockholm"/>
      </w:pPr>
      <w:r w:rsidRPr="00B32147">
        <w:t xml:space="preserve">Stockholm den 25 april 2000 </w:t>
      </w:r>
    </w:p>
    <w:p w:rsidR="002E6309" w:rsidRPr="00B32147" w:rsidRDefault="002E6309">
      <w:pPr>
        <w:pStyle w:val="Vgnar"/>
      </w:pPr>
      <w:r w:rsidRPr="00B32147">
        <w:t>På försvarsutskottets vägnar</w:t>
      </w:r>
    </w:p>
    <w:p w:rsidR="002E6309" w:rsidRPr="00B32147" w:rsidRDefault="002E6309">
      <w:pPr>
        <w:pStyle w:val="Ordfnamn"/>
      </w:pPr>
      <w:bookmarkStart w:id="30" w:name="Ordförande"/>
      <w:bookmarkEnd w:id="30"/>
      <w:r w:rsidRPr="00B32147">
        <w:t xml:space="preserve">Henrik Landerholm </w:t>
      </w:r>
    </w:p>
    <w:p w:rsidR="002E6309" w:rsidRPr="00B32147" w:rsidRDefault="002E6309">
      <w:pPr>
        <w:pStyle w:val="Deltagare"/>
      </w:pPr>
      <w:bookmarkStart w:id="31" w:name="Deltagare"/>
      <w:bookmarkEnd w:id="31"/>
      <w:r w:rsidRPr="00B32147">
        <w:t>I beslutet har deltagit: Henrik Landerholm (m), Christer Skoog (s), Karin Wegestål (s), Stig Sandström (v), Åke Carnerö (kd), Rolf Gunnarsson (m), Ola Rask (s), Håkan Juholt (s), Berit Jóhannesson (v), Margareta Viklund (kd), Lars Ångström (mp), Erik Arthur Egervärn (c), Runar Patriksson (fp), Laila Bäck (s), Björn Leivik (m) och Lars Lindblad (m).</w:t>
      </w:r>
    </w:p>
    <w:p w:rsidR="002E6309" w:rsidRPr="00B32147" w:rsidRDefault="002E6309">
      <w:pPr>
        <w:pStyle w:val="Rubrik1"/>
      </w:pPr>
      <w:bookmarkStart w:id="32" w:name="_Toc481551090"/>
      <w:r w:rsidRPr="00B32147">
        <w:t>Reservation</w:t>
      </w:r>
      <w:bookmarkEnd w:id="32"/>
    </w:p>
    <w:p w:rsidR="002E6309" w:rsidRPr="00B32147" w:rsidRDefault="002E6309">
      <w:pPr>
        <w:pStyle w:val="Rubrik2"/>
      </w:pPr>
      <w:bookmarkStart w:id="33" w:name="_Toc481551091"/>
      <w:r w:rsidRPr="00B32147">
        <w:t>Sotningsmonopolet (mom. 4)</w:t>
      </w:r>
      <w:bookmarkEnd w:id="33"/>
    </w:p>
    <w:p w:rsidR="002E6309" w:rsidRPr="00B32147" w:rsidRDefault="002E6309">
      <w:r w:rsidRPr="00B32147">
        <w:t xml:space="preserve">Christer Skoog, Karin Wegestål, Laila Bäck, Ola Rask och Håkan Juholt </w:t>
      </w:r>
      <w:r w:rsidRPr="00B32147">
        <w:rPr>
          <w:i/>
        </w:rPr>
        <w:t xml:space="preserve">(alla s), </w:t>
      </w:r>
      <w:r w:rsidRPr="00B32147">
        <w:t xml:space="preserve">Stig Sandström och Berit Jóhannesson </w:t>
      </w:r>
      <w:r w:rsidRPr="00B32147">
        <w:rPr>
          <w:i/>
        </w:rPr>
        <w:t xml:space="preserve">(båda v) </w:t>
      </w:r>
      <w:r w:rsidRPr="00B32147">
        <w:t xml:space="preserve">samt Erik Arthur Egervärn </w:t>
      </w:r>
      <w:r w:rsidRPr="00B32147">
        <w:rPr>
          <w:i/>
        </w:rPr>
        <w:t>(c)</w:t>
      </w:r>
      <w:r w:rsidRPr="00B32147">
        <w:t xml:space="preserve"> anser</w:t>
      </w:r>
    </w:p>
    <w:p w:rsidR="002E6309" w:rsidRPr="00B32147" w:rsidRDefault="002E6309">
      <w:r w:rsidRPr="00B32147">
        <w:rPr>
          <w:i/>
        </w:rPr>
        <w:t xml:space="preserve">dels </w:t>
      </w:r>
      <w:r w:rsidRPr="00B32147">
        <w:t>att den del av utskottets anförande på s. 11 som börjar med ”Vad u</w:t>
      </w:r>
      <w:r w:rsidRPr="00B32147">
        <w:t>t</w:t>
      </w:r>
      <w:r w:rsidRPr="00B32147">
        <w:t>skottet” och slutar med ”till känna” bort ha följande lydelse:</w:t>
      </w:r>
    </w:p>
    <w:p w:rsidR="002E6309" w:rsidRPr="00B32147" w:rsidRDefault="002E6309">
      <w:pPr>
        <w:pStyle w:val="Normaltindrag"/>
      </w:pPr>
      <w:r w:rsidRPr="00B32147">
        <w:t xml:space="preserve">Mot bakgrund av vad utskottet nu anfört behöver motion Fö701 (mp) inte bifallas av riksdagen. </w:t>
      </w:r>
    </w:p>
    <w:p w:rsidR="002E6309" w:rsidRPr="00B32147" w:rsidRDefault="002E6309">
      <w:r w:rsidRPr="00B32147">
        <w:rPr>
          <w:i/>
        </w:rPr>
        <w:t>dels</w:t>
      </w:r>
      <w:r w:rsidRPr="00B32147">
        <w:t xml:space="preserve"> att utskottets hemställan under moment 4 bort ha följande lydelse:</w:t>
      </w:r>
    </w:p>
    <w:p w:rsidR="002E6309" w:rsidRPr="00B32147" w:rsidRDefault="002E6309">
      <w:pPr>
        <w:pStyle w:val="hembetr"/>
        <w:rPr>
          <w:i/>
        </w:rPr>
      </w:pPr>
      <w:r w:rsidRPr="00B32147">
        <w:t xml:space="preserve">4. beträffande </w:t>
      </w:r>
      <w:r w:rsidRPr="00B32147">
        <w:rPr>
          <w:i/>
        </w:rPr>
        <w:t>sotningsmonopolet</w:t>
      </w:r>
    </w:p>
    <w:p w:rsidR="002E6309" w:rsidRPr="00B32147" w:rsidRDefault="002E6309">
      <w:pPr>
        <w:pStyle w:val="hemtext"/>
      </w:pPr>
      <w:r w:rsidRPr="00B32147">
        <w:t>att riksdagen avslår motion 1999/2000:Fö701,</w:t>
      </w:r>
    </w:p>
    <w:p w:rsidR="002E6309" w:rsidRPr="00B32147" w:rsidRDefault="002E6309">
      <w:pPr>
        <w:pStyle w:val="Normaltindrag"/>
      </w:pPr>
    </w:p>
    <w:p w:rsidR="002E6309" w:rsidRPr="00B32147" w:rsidRDefault="002E6309">
      <w:pPr>
        <w:pStyle w:val="Innehll"/>
        <w:outlineLvl w:val="0"/>
      </w:pPr>
      <w:bookmarkStart w:id="34" w:name="Nästa_Reservation"/>
      <w:bookmarkEnd w:id="34"/>
      <w:r w:rsidRPr="00B32147">
        <w:br w:type="page"/>
        <w:t>Innehållsförteckning</w:t>
      </w:r>
    </w:p>
    <w:p w:rsidR="002E6309" w:rsidRPr="00B32147" w:rsidRDefault="002E6309">
      <w:pPr>
        <w:pStyle w:val="Innehll1"/>
      </w:pPr>
      <w:r w:rsidRPr="00B32147">
        <w:t>Sammanfattning</w:t>
      </w:r>
      <w:r w:rsidRPr="00B32147">
        <w:tab/>
        <w:t>1</w:t>
      </w:r>
    </w:p>
    <w:p w:rsidR="002E6309" w:rsidRPr="00B32147" w:rsidRDefault="002E6309">
      <w:pPr>
        <w:pStyle w:val="Innehll1"/>
      </w:pPr>
      <w:r w:rsidRPr="00B32147">
        <w:t>Motionerna</w:t>
      </w:r>
      <w:r w:rsidRPr="00B32147">
        <w:tab/>
        <w:t>1</w:t>
      </w:r>
    </w:p>
    <w:p w:rsidR="002E6309" w:rsidRPr="00B32147" w:rsidRDefault="002E6309">
      <w:pPr>
        <w:pStyle w:val="Innehll1"/>
      </w:pPr>
      <w:r w:rsidRPr="00B32147">
        <w:t>Utskottet</w:t>
      </w:r>
      <w:r w:rsidRPr="00B32147">
        <w:tab/>
        <w:t>3</w:t>
      </w:r>
    </w:p>
    <w:p w:rsidR="002E6309" w:rsidRPr="00B32147" w:rsidRDefault="002E6309">
      <w:pPr>
        <w:pStyle w:val="Innehll2"/>
      </w:pPr>
      <w:r w:rsidRPr="00B32147">
        <w:t>Samhällets räddningstjänst m.m.</w:t>
      </w:r>
      <w:r w:rsidRPr="00B32147">
        <w:tab/>
        <w:t>3</w:t>
      </w:r>
    </w:p>
    <w:p w:rsidR="002E6309" w:rsidRPr="00B32147" w:rsidRDefault="002E6309">
      <w:pPr>
        <w:pStyle w:val="Innehll2"/>
      </w:pPr>
      <w:r w:rsidRPr="00B32147">
        <w:t>Transport av farligt gods</w:t>
      </w:r>
      <w:r w:rsidRPr="00B32147">
        <w:tab/>
        <w:t>6</w:t>
      </w:r>
    </w:p>
    <w:p w:rsidR="002E6309" w:rsidRPr="00B32147" w:rsidRDefault="002E6309">
      <w:pPr>
        <w:pStyle w:val="Innehll2"/>
      </w:pPr>
      <w:r w:rsidRPr="00B32147">
        <w:t>Katastroffond</w:t>
      </w:r>
      <w:r w:rsidRPr="00B32147">
        <w:tab/>
        <w:t>9</w:t>
      </w:r>
    </w:p>
    <w:p w:rsidR="002E6309" w:rsidRPr="00B32147" w:rsidRDefault="002E6309">
      <w:pPr>
        <w:pStyle w:val="Innehll2"/>
      </w:pPr>
      <w:r w:rsidRPr="00B32147">
        <w:t>Sotning</w:t>
      </w:r>
      <w:r w:rsidRPr="00B32147">
        <w:tab/>
        <w:t>10</w:t>
      </w:r>
    </w:p>
    <w:p w:rsidR="002E6309" w:rsidRPr="00B32147" w:rsidRDefault="002E6309">
      <w:pPr>
        <w:pStyle w:val="Innehll2"/>
      </w:pPr>
      <w:r w:rsidRPr="00B32147">
        <w:t>Övriga frågor</w:t>
      </w:r>
      <w:r w:rsidRPr="00B32147">
        <w:tab/>
        <w:t>12</w:t>
      </w:r>
    </w:p>
    <w:p w:rsidR="002E6309" w:rsidRPr="00B32147" w:rsidRDefault="002E6309">
      <w:pPr>
        <w:pStyle w:val="Innehll2"/>
      </w:pPr>
      <w:r w:rsidRPr="00B32147">
        <w:t>Hemställan</w:t>
      </w:r>
      <w:r w:rsidRPr="00B32147">
        <w:tab/>
        <w:t>13</w:t>
      </w:r>
    </w:p>
    <w:p w:rsidR="002E6309" w:rsidRPr="00B32147" w:rsidRDefault="002E6309">
      <w:pPr>
        <w:pStyle w:val="Innehll1"/>
      </w:pPr>
      <w:r w:rsidRPr="00B32147">
        <w:t>Reservation</w:t>
      </w:r>
      <w:r w:rsidRPr="00B32147">
        <w:tab/>
        <w:t>14</w:t>
      </w:r>
    </w:p>
    <w:p w:rsidR="002E6309" w:rsidRPr="00B32147" w:rsidRDefault="002E6309">
      <w:pPr>
        <w:pStyle w:val="Innehll2"/>
      </w:pPr>
      <w:r w:rsidRPr="00B32147">
        <w:t>Sotningsmonopolet (mom. 4)</w:t>
      </w:r>
      <w:r w:rsidRPr="00B32147">
        <w:tab/>
        <w:t>14</w:t>
      </w:r>
    </w:p>
    <w:p w:rsidR="002E6309" w:rsidRPr="00B32147" w:rsidRDefault="002E6309"/>
    <w:p w:rsidR="002E6309" w:rsidRPr="00B32147" w:rsidRDefault="002E6309">
      <w:pPr>
        <w:pStyle w:val="Normaltindrag"/>
      </w:pPr>
    </w:p>
    <w:p w:rsidR="002E6309" w:rsidRPr="00B32147" w:rsidRDefault="002E6309">
      <w:pPr>
        <w:pStyle w:val="Normaltindrag"/>
      </w:pPr>
    </w:p>
    <w:p w:rsidR="002E6309" w:rsidRPr="00B32147" w:rsidRDefault="002E6309">
      <w:pPr>
        <w:pStyle w:val="Tryckort"/>
        <w:framePr w:wrap="around"/>
      </w:pPr>
      <w:r w:rsidRPr="00B32147">
        <w:t>Elanders Gotab, Stockholm  2000</w:t>
      </w:r>
    </w:p>
    <w:p w:rsidR="002E6309" w:rsidRPr="00B32147" w:rsidRDefault="002E6309">
      <w:pPr>
        <w:pStyle w:val="Normaltindrag"/>
      </w:pPr>
    </w:p>
    <w:sectPr w:rsidR="002E6309" w:rsidRPr="00B32147">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6309" w:rsidRPr="00B32147" w:rsidRDefault="002E6309">
      <w:pPr>
        <w:spacing w:before="0" w:line="240" w:lineRule="auto"/>
      </w:pPr>
      <w:r w:rsidRPr="00B32147">
        <w:separator/>
      </w:r>
    </w:p>
  </w:endnote>
  <w:endnote w:type="continuationSeparator" w:id="0">
    <w:p w:rsidR="002E6309" w:rsidRPr="00B32147" w:rsidRDefault="002E6309">
      <w:pPr>
        <w:spacing w:before="0" w:line="240" w:lineRule="auto"/>
      </w:pPr>
      <w:r w:rsidRPr="00B321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309" w:rsidRPr="00B32147" w:rsidRDefault="002E6309">
    <w:pPr>
      <w:pStyle w:val="SidfotH"/>
      <w:framePr w:wrap="around"/>
    </w:pPr>
    <w:r w:rsidRPr="00B32147">
      <w:fldChar w:fldCharType="begin" w:fldLock="1"/>
    </w:r>
    <w:r w:rsidRPr="00B32147">
      <w:instrText xml:space="preserve"> P</w:instrText>
    </w:r>
    <w:r w:rsidRPr="00B32147">
      <w:instrText>A</w:instrText>
    </w:r>
    <w:r w:rsidRPr="00B32147">
      <w:instrText xml:space="preserve">GE </w:instrText>
    </w:r>
    <w:r w:rsidRPr="00B32147">
      <w:fldChar w:fldCharType="separate"/>
    </w:r>
    <w:r w:rsidRPr="00B32147">
      <w:t>1</w:t>
    </w:r>
    <w:r w:rsidRPr="00B32147">
      <w:fldChar w:fldCharType="end"/>
    </w:r>
  </w:p>
  <w:p w:rsidR="002E6309" w:rsidRPr="00B32147" w:rsidRDefault="002E63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6309" w:rsidRPr="00B32147" w:rsidRDefault="002E6309">
      <w:pPr>
        <w:pStyle w:val="Sidfot"/>
      </w:pPr>
    </w:p>
  </w:footnote>
  <w:footnote w:type="continuationSeparator" w:id="0">
    <w:p w:rsidR="002E6309" w:rsidRPr="00B32147" w:rsidRDefault="002E6309">
      <w:pPr>
        <w:spacing w:before="0" w:line="240" w:lineRule="auto"/>
      </w:pPr>
      <w:r w:rsidRPr="00B321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309" w:rsidRPr="00B32147" w:rsidRDefault="002E6309">
    <w:pPr>
      <w:pStyle w:val="SidhuvudKant"/>
      <w:framePr w:w="1758" w:h="2744" w:hRule="exact" w:wrap="around" w:vAnchor="page" w:hAnchor="page" w:x="7372" w:y="568" w:anchorLock="0"/>
    </w:pPr>
  </w:p>
  <w:p w:rsidR="002E6309" w:rsidRPr="00B32147" w:rsidRDefault="002E63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0388"/>
    <w:multiLevelType w:val="singleLevel"/>
    <w:tmpl w:val="29368168"/>
    <w:lvl w:ilvl="0">
      <w:numFmt w:val="decimalZero"/>
      <w:lvlText w:val="%1."/>
      <w:lvlJc w:val="left"/>
      <w:pPr>
        <w:tabs>
          <w:tab w:val="num" w:pos="1040"/>
        </w:tabs>
        <w:ind w:left="1040" w:hanging="360"/>
      </w:pPr>
      <w:rPr>
        <w:rFonts w:hint="default"/>
        <w:i w:val="0"/>
      </w:rPr>
    </w:lvl>
  </w:abstractNum>
  <w:abstractNum w:abstractNumId="1" w15:restartNumberingAfterBreak="0">
    <w:nsid w:val="0DF4724D"/>
    <w:multiLevelType w:val="singleLevel"/>
    <w:tmpl w:val="88D27D6E"/>
    <w:lvl w:ilvl="0">
      <w:numFmt w:val="decimalZero"/>
      <w:lvlText w:val="%1."/>
      <w:lvlJc w:val="left"/>
      <w:pPr>
        <w:tabs>
          <w:tab w:val="num" w:pos="1040"/>
        </w:tabs>
        <w:ind w:left="1040" w:hanging="360"/>
      </w:pPr>
      <w:rPr>
        <w:rFonts w:hint="default"/>
        <w:i w:val="0"/>
      </w:rPr>
    </w:lvl>
  </w:abstractNum>
  <w:abstractNum w:abstractNumId="2" w15:restartNumberingAfterBreak="0">
    <w:nsid w:val="15575E8B"/>
    <w:multiLevelType w:val="singleLevel"/>
    <w:tmpl w:val="9BEE7354"/>
    <w:lvl w:ilvl="0">
      <w:start w:val="1"/>
      <w:numFmt w:val="decimal"/>
      <w:lvlText w:val="%1."/>
      <w:lvlJc w:val="left"/>
      <w:pPr>
        <w:tabs>
          <w:tab w:val="num" w:pos="530"/>
        </w:tabs>
        <w:ind w:left="530" w:hanging="360"/>
      </w:pPr>
      <w:rPr>
        <w:rFonts w:hint="default"/>
      </w:rPr>
    </w:lvl>
  </w:abstractNum>
  <w:abstractNum w:abstractNumId="3" w15:restartNumberingAfterBreak="0">
    <w:nsid w:val="1A7360F3"/>
    <w:multiLevelType w:val="singleLevel"/>
    <w:tmpl w:val="1EE6C918"/>
    <w:lvl w:ilvl="0">
      <w:numFmt w:val="decimalZero"/>
      <w:lvlText w:val="%1."/>
      <w:lvlJc w:val="left"/>
      <w:pPr>
        <w:tabs>
          <w:tab w:val="num" w:pos="1040"/>
        </w:tabs>
        <w:ind w:left="1040" w:hanging="360"/>
      </w:pPr>
      <w:rPr>
        <w:rFonts w:hint="default"/>
      </w:rPr>
    </w:lvl>
  </w:abstractNum>
  <w:abstractNum w:abstractNumId="4" w15:restartNumberingAfterBreak="0">
    <w:nsid w:val="1C5239C2"/>
    <w:multiLevelType w:val="singleLevel"/>
    <w:tmpl w:val="0478D66E"/>
    <w:lvl w:ilvl="0">
      <w:numFmt w:val="decimalZero"/>
      <w:lvlText w:val="%1."/>
      <w:lvlJc w:val="left"/>
      <w:pPr>
        <w:tabs>
          <w:tab w:val="num" w:pos="1040"/>
        </w:tabs>
        <w:ind w:left="1040" w:hanging="360"/>
      </w:pPr>
      <w:rPr>
        <w:rFonts w:hint="default"/>
      </w:rPr>
    </w:lvl>
  </w:abstractNum>
  <w:abstractNum w:abstractNumId="5" w15:restartNumberingAfterBreak="0">
    <w:nsid w:val="285D2F6A"/>
    <w:multiLevelType w:val="singleLevel"/>
    <w:tmpl w:val="46A0E24A"/>
    <w:lvl w:ilvl="0">
      <w:numFmt w:val="decimalZero"/>
      <w:lvlText w:val="%1."/>
      <w:lvlJc w:val="left"/>
      <w:pPr>
        <w:tabs>
          <w:tab w:val="num" w:pos="1040"/>
        </w:tabs>
        <w:ind w:left="1040" w:hanging="360"/>
      </w:pPr>
      <w:rPr>
        <w:rFonts w:hint="default"/>
      </w:rPr>
    </w:lvl>
  </w:abstractNum>
  <w:abstractNum w:abstractNumId="6" w15:restartNumberingAfterBreak="0">
    <w:nsid w:val="2FAD446E"/>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3D3027FC"/>
    <w:multiLevelType w:val="singleLevel"/>
    <w:tmpl w:val="52563022"/>
    <w:lvl w:ilvl="0">
      <w:numFmt w:val="decimalZero"/>
      <w:lvlText w:val="%1."/>
      <w:lvlJc w:val="left"/>
      <w:pPr>
        <w:tabs>
          <w:tab w:val="num" w:pos="1040"/>
        </w:tabs>
        <w:ind w:left="1040" w:hanging="360"/>
      </w:pPr>
      <w:rPr>
        <w:rFonts w:hint="default"/>
        <w:i w:val="0"/>
      </w:rPr>
    </w:lvl>
  </w:abstractNum>
  <w:abstractNum w:abstractNumId="8" w15:restartNumberingAfterBreak="0">
    <w:nsid w:val="3DA533FD"/>
    <w:multiLevelType w:val="singleLevel"/>
    <w:tmpl w:val="7EBA0B00"/>
    <w:lvl w:ilvl="0">
      <w:start w:val="1"/>
      <w:numFmt w:val="decimal"/>
      <w:lvlText w:val="%1."/>
      <w:lvlJc w:val="left"/>
      <w:pPr>
        <w:tabs>
          <w:tab w:val="num" w:pos="530"/>
        </w:tabs>
        <w:ind w:left="530" w:hanging="360"/>
      </w:pPr>
      <w:rPr>
        <w:rFonts w:hint="default"/>
      </w:rPr>
    </w:lvl>
  </w:abstractNum>
  <w:abstractNum w:abstractNumId="9" w15:restartNumberingAfterBreak="0">
    <w:nsid w:val="516E1FB6"/>
    <w:multiLevelType w:val="singleLevel"/>
    <w:tmpl w:val="8578D588"/>
    <w:lvl w:ilvl="0">
      <w:numFmt w:val="decimalZero"/>
      <w:lvlText w:val="%1."/>
      <w:lvlJc w:val="left"/>
      <w:pPr>
        <w:tabs>
          <w:tab w:val="num" w:pos="1040"/>
        </w:tabs>
        <w:ind w:left="1040" w:hanging="360"/>
      </w:pPr>
      <w:rPr>
        <w:rFonts w:hint="default"/>
        <w:i w:val="0"/>
      </w:rPr>
    </w:lvl>
  </w:abstractNum>
  <w:abstractNum w:abstractNumId="10" w15:restartNumberingAfterBreak="0">
    <w:nsid w:val="52FE2656"/>
    <w:multiLevelType w:val="singleLevel"/>
    <w:tmpl w:val="D2EC3CC0"/>
    <w:lvl w:ilvl="0">
      <w:numFmt w:val="decimalZero"/>
      <w:lvlText w:val="%1."/>
      <w:lvlJc w:val="left"/>
      <w:pPr>
        <w:tabs>
          <w:tab w:val="num" w:pos="1040"/>
        </w:tabs>
        <w:ind w:left="1040" w:hanging="360"/>
      </w:pPr>
      <w:rPr>
        <w:rFonts w:hint="default"/>
      </w:rPr>
    </w:lvl>
  </w:abstractNum>
  <w:abstractNum w:abstractNumId="11" w15:restartNumberingAfterBreak="0">
    <w:nsid w:val="545917EF"/>
    <w:multiLevelType w:val="singleLevel"/>
    <w:tmpl w:val="DAB62746"/>
    <w:lvl w:ilvl="0">
      <w:numFmt w:val="decimalZero"/>
      <w:lvlText w:val="%1."/>
      <w:lvlJc w:val="left"/>
      <w:pPr>
        <w:tabs>
          <w:tab w:val="num" w:pos="1040"/>
        </w:tabs>
        <w:ind w:left="1040" w:hanging="360"/>
      </w:pPr>
      <w:rPr>
        <w:rFonts w:hint="default"/>
      </w:rPr>
    </w:lvl>
  </w:abstractNum>
  <w:abstractNum w:abstractNumId="12" w15:restartNumberingAfterBreak="0">
    <w:nsid w:val="655944BD"/>
    <w:multiLevelType w:val="singleLevel"/>
    <w:tmpl w:val="A5BE01BA"/>
    <w:lvl w:ilvl="0">
      <w:start w:val="1"/>
      <w:numFmt w:val="decimal"/>
      <w:lvlText w:val="%1."/>
      <w:lvlJc w:val="left"/>
      <w:pPr>
        <w:tabs>
          <w:tab w:val="num" w:pos="530"/>
        </w:tabs>
        <w:ind w:left="530" w:hanging="360"/>
      </w:pPr>
      <w:rPr>
        <w:rFonts w:hint="default"/>
      </w:rPr>
    </w:lvl>
  </w:abstractNum>
  <w:abstractNum w:abstractNumId="13" w15:restartNumberingAfterBreak="0">
    <w:nsid w:val="68095CB6"/>
    <w:multiLevelType w:val="singleLevel"/>
    <w:tmpl w:val="06068C6C"/>
    <w:lvl w:ilvl="0">
      <w:start w:val="4"/>
      <w:numFmt w:val="decimal"/>
      <w:lvlText w:val="%1."/>
      <w:lvlJc w:val="left"/>
      <w:pPr>
        <w:tabs>
          <w:tab w:val="num" w:pos="530"/>
        </w:tabs>
        <w:ind w:left="530" w:hanging="360"/>
      </w:pPr>
      <w:rPr>
        <w:rFonts w:hint="default"/>
      </w:rPr>
    </w:lvl>
  </w:abstractNum>
  <w:abstractNum w:abstractNumId="14" w15:restartNumberingAfterBreak="0">
    <w:nsid w:val="71162569"/>
    <w:multiLevelType w:val="singleLevel"/>
    <w:tmpl w:val="EDEC29E6"/>
    <w:lvl w:ilvl="0">
      <w:numFmt w:val="decimalZero"/>
      <w:lvlText w:val="%1."/>
      <w:lvlJc w:val="left"/>
      <w:pPr>
        <w:tabs>
          <w:tab w:val="num" w:pos="1040"/>
        </w:tabs>
        <w:ind w:left="1040" w:hanging="360"/>
      </w:pPr>
      <w:rPr>
        <w:rFonts w:hint="default"/>
      </w:rPr>
    </w:lvl>
  </w:abstractNum>
  <w:abstractNum w:abstractNumId="15" w15:restartNumberingAfterBreak="0">
    <w:nsid w:val="7C9E7A22"/>
    <w:multiLevelType w:val="singleLevel"/>
    <w:tmpl w:val="89A88E5E"/>
    <w:lvl w:ilvl="0">
      <w:numFmt w:val="decimalZero"/>
      <w:lvlText w:val="%1."/>
      <w:lvlJc w:val="left"/>
      <w:pPr>
        <w:tabs>
          <w:tab w:val="num" w:pos="1040"/>
        </w:tabs>
        <w:ind w:left="1040" w:hanging="360"/>
      </w:pPr>
      <w:rPr>
        <w:rFonts w:hint="default"/>
        <w:i w:val="0"/>
      </w:rPr>
    </w:lvl>
  </w:abstractNum>
  <w:abstractNum w:abstractNumId="16" w15:restartNumberingAfterBreak="0">
    <w:nsid w:val="7D102612"/>
    <w:multiLevelType w:val="singleLevel"/>
    <w:tmpl w:val="6C00D4A0"/>
    <w:lvl w:ilvl="0">
      <w:numFmt w:val="decimalZero"/>
      <w:lvlText w:val="%1."/>
      <w:lvlJc w:val="left"/>
      <w:pPr>
        <w:tabs>
          <w:tab w:val="num" w:pos="1040"/>
        </w:tabs>
        <w:ind w:left="1040" w:hanging="360"/>
      </w:pPr>
      <w:rPr>
        <w:rFonts w:hint="default"/>
        <w:i w:val="0"/>
      </w:rPr>
    </w:lvl>
  </w:abstractNum>
  <w:num w:numId="1" w16cid:durableId="1351032076">
    <w:abstractNumId w:val="2"/>
  </w:num>
  <w:num w:numId="2" w16cid:durableId="351994516">
    <w:abstractNumId w:val="13"/>
  </w:num>
  <w:num w:numId="3" w16cid:durableId="487596901">
    <w:abstractNumId w:val="8"/>
  </w:num>
  <w:num w:numId="4" w16cid:durableId="53479380">
    <w:abstractNumId w:val="6"/>
  </w:num>
  <w:num w:numId="5" w16cid:durableId="2116172400">
    <w:abstractNumId w:val="12"/>
  </w:num>
  <w:num w:numId="6" w16cid:durableId="595938741">
    <w:abstractNumId w:val="11"/>
  </w:num>
  <w:num w:numId="7" w16cid:durableId="1897160500">
    <w:abstractNumId w:val="16"/>
  </w:num>
  <w:num w:numId="8" w16cid:durableId="344134248">
    <w:abstractNumId w:val="9"/>
  </w:num>
  <w:num w:numId="9" w16cid:durableId="1348556904">
    <w:abstractNumId w:val="4"/>
  </w:num>
  <w:num w:numId="10" w16cid:durableId="1745371093">
    <w:abstractNumId w:val="14"/>
  </w:num>
  <w:num w:numId="11" w16cid:durableId="168755286">
    <w:abstractNumId w:val="0"/>
  </w:num>
  <w:num w:numId="12" w16cid:durableId="583607328">
    <w:abstractNumId w:val="10"/>
  </w:num>
  <w:num w:numId="13" w16cid:durableId="645745185">
    <w:abstractNumId w:val="1"/>
  </w:num>
  <w:num w:numId="14" w16cid:durableId="619409812">
    <w:abstractNumId w:val="7"/>
  </w:num>
  <w:num w:numId="15" w16cid:durableId="230234111">
    <w:abstractNumId w:val="15"/>
  </w:num>
  <w:num w:numId="16" w16cid:durableId="1029649507">
    <w:abstractNumId w:val="3"/>
  </w:num>
  <w:num w:numId="17" w16cid:durableId="1703165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9E6776"/>
    <w:rsid w:val="002E6309"/>
    <w:rsid w:val="009E6776"/>
    <w:rsid w:val="00B321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5199BA-DE76-4582-9CFC-918FD202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u w:val="single"/>
    </w:rPr>
  </w:style>
  <w:style w:type="paragraph" w:styleId="Rubrik8">
    <w:name w:val="heading 8"/>
    <w:basedOn w:val="Normal"/>
    <w:next w:val="Normal"/>
    <w:qFormat/>
    <w:pPr>
      <w:keepNext/>
      <w:outlineLvl w:val="7"/>
    </w:pPr>
    <w:rPr>
      <w:i/>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5293</Words>
  <Characters>32289</Characters>
  <Application>Microsoft Office Word</Application>
  <DocSecurity>4</DocSecurity>
  <Lines>609</Lines>
  <Paragraphs>167</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Försvarsutskottets betänkande</vt:lpstr>
      <vt:lpstr>Sammanfattning</vt:lpstr>
      <vt:lpstr>Motionerna</vt:lpstr>
      <vt:lpstr>Utskottet</vt:lpstr>
      <vt:lpstr>    Samhällets räddningstjänst m.m.</vt:lpstr>
      <vt:lpstr>    Transport av farligt gods</vt:lpstr>
      <vt:lpstr>    Katastroffond</vt:lpstr>
      <vt:lpstr>    Sotning</vt:lpstr>
      <vt:lpstr>    Övriga frågor</vt:lpstr>
      <vt:lpstr>    Hemställan</vt:lpstr>
      <vt:lpstr>Reservation</vt:lpstr>
      <vt:lpstr>    Sotningsmonopolet (mom. 4)</vt:lpstr>
      <vt:lpstr>Innehållsförteckning</vt:lpstr>
    </vt:vector>
  </TitlesOfParts>
  <Company>Riksdagen</Company>
  <LinksUpToDate>false</LinksUpToDate>
  <CharactersWithSpaces>37415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2000-04-28T09:12:00Z</cp:lastPrinted>
  <dcterms:created xsi:type="dcterms:W3CDTF">2025-12-15T21:16:00Z</dcterms:created>
  <dcterms:modified xsi:type="dcterms:W3CDTF">2025-12-15T21:16:00Z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