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87C93">
        <w:tblPrEx>
          <w:tblCellMar>
            <w:top w:w="0" w:type="dxa"/>
            <w:bottom w:w="0" w:type="dxa"/>
          </w:tblCellMar>
        </w:tblPrEx>
        <w:trPr>
          <w:cantSplit/>
          <w:trHeight w:val="1720"/>
        </w:trPr>
        <w:tc>
          <w:tcPr>
            <w:tcW w:w="6024" w:type="dxa"/>
            <w:gridSpan w:val="2"/>
          </w:tcPr>
          <w:p w:rsidR="00DB1B84" w:rsidRPr="00187C93" w:rsidRDefault="00DB1B84">
            <w:pPr>
              <w:pStyle w:val="Rubrik1"/>
              <w:spacing w:after="0"/>
              <w:rPr>
                <w:noProof w:val="0"/>
              </w:rPr>
            </w:pPr>
            <w:bookmarkStart w:id="0" w:name="_Toc515765268"/>
            <w:r w:rsidRPr="00187C93">
              <w:rPr>
                <w:noProof w:val="0"/>
              </w:rPr>
              <w:t>Arbetsmarknadsutskottets yttrande</w:t>
            </w:r>
            <w:bookmarkEnd w:id="0"/>
          </w:p>
          <w:p w:rsidR="00DB1B84" w:rsidRPr="00187C93" w:rsidRDefault="00DB1B84">
            <w:pPr>
              <w:pStyle w:val="HuvudRubrikRad2"/>
            </w:pPr>
            <w:bookmarkStart w:id="1" w:name="BetänkandeNr"/>
            <w:bookmarkEnd w:id="1"/>
            <w:r w:rsidRPr="00187C93">
              <w:t>2000/01:AU2y</w:t>
            </w:r>
          </w:p>
        </w:tc>
        <w:tc>
          <w:tcPr>
            <w:tcW w:w="1418" w:type="dxa"/>
            <w:tcBorders>
              <w:bottom w:val="nil"/>
            </w:tcBorders>
          </w:tcPr>
          <w:p w:rsidR="00DB1B84" w:rsidRPr="00187C93" w:rsidRDefault="00187C93">
            <w:pPr>
              <w:spacing w:line="230" w:lineRule="auto"/>
              <w:jc w:val="center"/>
            </w:pPr>
            <w:r w:rsidRPr="00187C9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B1B84" w:rsidRPr="00187C93" w:rsidRDefault="00DB1B84">
            <w:pPr>
              <w:pStyle w:val="Normaltindrag"/>
              <w:jc w:val="center"/>
            </w:pPr>
          </w:p>
          <w:p w:rsidR="00DB1B84" w:rsidRPr="00187C93" w:rsidRDefault="00DB1B84">
            <w:pPr>
              <w:pStyle w:val="StatusSida1"/>
            </w:pPr>
          </w:p>
          <w:p w:rsidR="00DB1B84" w:rsidRPr="00187C93" w:rsidRDefault="00DB1B84">
            <w:pPr>
              <w:pStyle w:val="UtskriftsdatumSida1"/>
              <w:framePr w:wrap="around"/>
            </w:pPr>
          </w:p>
        </w:tc>
      </w:tr>
      <w:tr w:rsidR="00000000" w:rsidRPr="00187C93">
        <w:tblPrEx>
          <w:tblCellMar>
            <w:top w:w="0" w:type="dxa"/>
            <w:bottom w:w="0" w:type="dxa"/>
          </w:tblCellMar>
        </w:tblPrEx>
        <w:trPr>
          <w:cantSplit/>
        </w:trPr>
        <w:tc>
          <w:tcPr>
            <w:tcW w:w="6024" w:type="dxa"/>
            <w:gridSpan w:val="2"/>
            <w:tcBorders>
              <w:bottom w:val="single" w:sz="4" w:space="0" w:color="auto"/>
            </w:tcBorders>
          </w:tcPr>
          <w:p w:rsidR="00DB1B84" w:rsidRPr="00187C93" w:rsidRDefault="00DB1B84">
            <w:pPr>
              <w:pStyle w:val="DokumentRubrik"/>
              <w:rPr>
                <w:noProof w:val="0"/>
              </w:rPr>
            </w:pPr>
            <w:bookmarkStart w:id="2" w:name="Huvudrubrik"/>
            <w:bookmarkEnd w:id="2"/>
            <w:r w:rsidRPr="00187C93">
              <w:rPr>
                <w:noProof w:val="0"/>
              </w:rPr>
              <w:t>Preliminära ramar för utgiftsområdena 13 Arbetsmarknad och 14 Arbetsliv åren 2002–2004</w:t>
            </w:r>
          </w:p>
        </w:tc>
        <w:tc>
          <w:tcPr>
            <w:tcW w:w="1418" w:type="dxa"/>
            <w:tcBorders>
              <w:bottom w:val="nil"/>
            </w:tcBorders>
          </w:tcPr>
          <w:p w:rsidR="00DB1B84" w:rsidRPr="00187C93" w:rsidRDefault="00DB1B84"/>
        </w:tc>
      </w:tr>
      <w:tr w:rsidR="00000000" w:rsidRPr="00187C93">
        <w:tblPrEx>
          <w:tblCellMar>
            <w:top w:w="0" w:type="dxa"/>
            <w:bottom w:w="0" w:type="dxa"/>
          </w:tblCellMar>
        </w:tblPrEx>
        <w:trPr>
          <w:cantSplit/>
          <w:trHeight w:hRule="exact" w:val="360"/>
        </w:trPr>
        <w:tc>
          <w:tcPr>
            <w:tcW w:w="3012" w:type="dxa"/>
          </w:tcPr>
          <w:p w:rsidR="00DB1B84" w:rsidRPr="00187C93" w:rsidRDefault="00DB1B84"/>
        </w:tc>
        <w:tc>
          <w:tcPr>
            <w:tcW w:w="3012" w:type="dxa"/>
          </w:tcPr>
          <w:p w:rsidR="00DB1B84" w:rsidRPr="00187C93" w:rsidRDefault="00DB1B84"/>
        </w:tc>
        <w:tc>
          <w:tcPr>
            <w:tcW w:w="1418" w:type="dxa"/>
          </w:tcPr>
          <w:p w:rsidR="00DB1B84" w:rsidRPr="00187C93" w:rsidRDefault="00DB1B84"/>
        </w:tc>
      </w:tr>
    </w:tbl>
    <w:p w:rsidR="00DB1B84" w:rsidRPr="00187C93" w:rsidRDefault="00DB1B84">
      <w:pPr>
        <w:pStyle w:val="R1"/>
        <w:spacing w:after="360"/>
      </w:pPr>
      <w:r w:rsidRPr="00187C93">
        <w:t>Till finansutskottet</w:t>
      </w:r>
    </w:p>
    <w:p w:rsidR="00DB1B84" w:rsidRPr="00187C93" w:rsidRDefault="00DB1B84">
      <w:r w:rsidRPr="00187C93">
        <w:t>Finansutskottet har genom beslut den 19 april 2001 berett arbetsmarknadsu</w:t>
      </w:r>
      <w:r w:rsidRPr="00187C93">
        <w:t>t</w:t>
      </w:r>
      <w:r w:rsidRPr="00187C93">
        <w:t>skottet tillfälle att yttra sig över 2001 års ekonomiska vårproposition (prop. 2000/01:100) i de delar som rör den ekonomiska politiken och utgiftstaket m.m. samt över de motioner som kan komma att väckas med anledning av propositionen i de delar som avser arbetsmarknadsutskottets beredningsomr</w:t>
      </w:r>
      <w:r w:rsidRPr="00187C93">
        <w:t>å</w:t>
      </w:r>
      <w:r w:rsidRPr="00187C93">
        <w:t>de. Finansutskottet har samma dag berett arbetsmarknadsutskottet tillfälle att yttra sig över regeringens skrivelse 2000/01:101 Årsredovisning för staten 2000 och de motioner som kan komma att väckas med anledning a</w:t>
      </w:r>
      <w:r w:rsidRPr="00187C93">
        <w:t>v skrive</w:t>
      </w:r>
      <w:r w:rsidRPr="00187C93">
        <w:t>l</w:t>
      </w:r>
      <w:r w:rsidRPr="00187C93">
        <w:t>sen.</w:t>
      </w:r>
    </w:p>
    <w:p w:rsidR="00DB1B84" w:rsidRPr="00187C93" w:rsidRDefault="00DB1B84">
      <w:pPr>
        <w:pStyle w:val="Normaltindrag"/>
      </w:pPr>
      <w:r w:rsidRPr="00187C93">
        <w:t>Utskottet yttrar sig i det följande över propositionens avsnitt 1 Finansplan, avsnitt 4 Budgetpolitiska mål och statsbudgeten, avsnitt 6 Utgifter såvitt avser utgiftsområdena 13 och 14 samt bilaga 1 Svensk ekonomi. Utskottet uttalar sig också över skrivelsen om Årsredovisningen för staten.</w:t>
      </w:r>
    </w:p>
    <w:p w:rsidR="00DB1B84" w:rsidRPr="00187C93" w:rsidRDefault="00DB1B84">
      <w:pPr>
        <w:pStyle w:val="Normaltindrag"/>
      </w:pPr>
      <w:r w:rsidRPr="00187C93">
        <w:t>Utskottet yttrar sig över följande motioner.</w:t>
      </w:r>
    </w:p>
    <w:p w:rsidR="00DB1B84" w:rsidRPr="00187C93" w:rsidRDefault="00DB1B84">
      <w:r w:rsidRPr="00187C93">
        <w:t xml:space="preserve">2000/01:Fi17 av Bo Lundgren m.fl. (m) yrkandena 1, 5, 7, 10 och 15, alla delvis,  </w:t>
      </w:r>
    </w:p>
    <w:p w:rsidR="00DB1B84" w:rsidRPr="00187C93" w:rsidRDefault="00DB1B84">
      <w:r w:rsidRPr="00187C93">
        <w:t xml:space="preserve">2000/01:Fi18 av Alf Svensson m.fl. (kd) yrkandena 1, 2 och 7, alla delvis, </w:t>
      </w:r>
    </w:p>
    <w:p w:rsidR="00DB1B84" w:rsidRPr="00187C93" w:rsidRDefault="00DB1B84">
      <w:r w:rsidRPr="00187C93">
        <w:t>2000/01:Fi19 av Agne Hansson m.fl. (c) yrkandena, 1, 4, 7, 9 och 10, alla delvis,</w:t>
      </w:r>
    </w:p>
    <w:p w:rsidR="00DB1B84" w:rsidRPr="00187C93" w:rsidRDefault="00DB1B84">
      <w:r w:rsidRPr="00187C93">
        <w:t>2000/01:Fi20 av Lars Leijonborg m.fl. (fp) yrkandena 1, 8, 9, 11, 13, 19 och 21, alla de</w:t>
      </w:r>
      <w:r w:rsidRPr="00187C93">
        <w:t>l</w:t>
      </w:r>
      <w:r w:rsidRPr="00187C93">
        <w:t xml:space="preserve">vis, samt </w:t>
      </w:r>
    </w:p>
    <w:p w:rsidR="00DB1B84" w:rsidRPr="00187C93" w:rsidRDefault="00DB1B84">
      <w:r w:rsidRPr="00187C93">
        <w:t>2000/01:Fi34 Siv Holma m.fl. (v) yrkande 2.</w:t>
      </w:r>
    </w:p>
    <w:p w:rsidR="00DB1B84" w:rsidRPr="00187C93" w:rsidRDefault="00DB1B84">
      <w:pPr>
        <w:pStyle w:val="Rubrik2"/>
      </w:pPr>
      <w:bookmarkStart w:id="3" w:name="_Toc515765269"/>
      <w:r w:rsidRPr="00187C93">
        <w:lastRenderedPageBreak/>
        <w:t>1 Inledning</w:t>
      </w:r>
      <w:bookmarkEnd w:id="3"/>
    </w:p>
    <w:p w:rsidR="00DB1B84" w:rsidRPr="00187C93" w:rsidRDefault="00DB1B84">
      <w:r w:rsidRPr="00187C93">
        <w:t>Regeringen föreslår i propositionen att riksdagen godkänner de allmänna riktlinjer som regeringen förordar för den ekonomiska politiken (prop. yrk. 1), fastställer utgiftstaket för staten inklusive ålderspensionssystemet vid sidan av statsbudgeten för år 2004 till 877 miljarder kronor (prop. yrk. 3) samt go</w:t>
      </w:r>
      <w:r w:rsidRPr="00187C93">
        <w:t>d</w:t>
      </w:r>
      <w:r w:rsidRPr="00187C93">
        <w:t>känner den preliminära fördelningen av utgifterna på utgiftsområden för åren 2002–2004 som riktlinje för regeringens budgetarbete (prop. yrk. 4).</w:t>
      </w:r>
    </w:p>
    <w:p w:rsidR="00DB1B84" w:rsidRPr="00187C93" w:rsidRDefault="00DB1B84">
      <w:pPr>
        <w:pStyle w:val="Normaltindrag"/>
      </w:pPr>
      <w:r w:rsidRPr="00187C93">
        <w:t>Yttrandet är disponerat på följande sätt. I avsnitt 2 yttrar sig utskottet över de allmänna riktlinjerna för den ekonomiska politiken och om propositionens bilaga 1 Svensk ekonomi. Utgiftstaket för staten och den preliminära förde</w:t>
      </w:r>
      <w:r w:rsidRPr="00187C93">
        <w:t>l</w:t>
      </w:r>
      <w:r w:rsidRPr="00187C93">
        <w:t>ningen på utgiftsområden behandlas i avsnitt 3. I avsnitt 4 behandlas Årsr</w:t>
      </w:r>
      <w:r w:rsidRPr="00187C93">
        <w:t>e</w:t>
      </w:r>
      <w:r w:rsidRPr="00187C93">
        <w:t>dovisningen för staten.</w:t>
      </w:r>
    </w:p>
    <w:p w:rsidR="00DB1B84" w:rsidRPr="00187C93" w:rsidRDefault="00DB1B84">
      <w:pPr>
        <w:pStyle w:val="Rubrik2"/>
      </w:pPr>
      <w:bookmarkStart w:id="4" w:name="TextStart"/>
      <w:bookmarkStart w:id="5" w:name="_Toc515765270"/>
      <w:bookmarkEnd w:id="4"/>
      <w:r w:rsidRPr="00187C93">
        <w:t>2 Allmänna frågor</w:t>
      </w:r>
      <w:bookmarkEnd w:id="5"/>
    </w:p>
    <w:p w:rsidR="00DB1B84" w:rsidRPr="00187C93" w:rsidRDefault="00DB1B84">
      <w:pPr>
        <w:pStyle w:val="Rubrik3"/>
        <w:spacing w:before="235"/>
        <w:rPr>
          <w:noProof w:val="0"/>
        </w:rPr>
      </w:pPr>
      <w:bookmarkStart w:id="6" w:name="_Toc515765271"/>
      <w:r w:rsidRPr="00187C93">
        <w:rPr>
          <w:noProof w:val="0"/>
        </w:rPr>
        <w:t>Propositionen</w:t>
      </w:r>
      <w:bookmarkEnd w:id="6"/>
    </w:p>
    <w:p w:rsidR="00DB1B84" w:rsidRPr="00187C93" w:rsidRDefault="00DB1B84">
      <w:r w:rsidRPr="00187C93">
        <w:t>Den ekonomiska vårpropositionen bygger på en överenskommelse mellan den socialdemokratiska regeringen, Vänsterpartiet och Miljöpartiet de gröna, vilka står bakom riktlinjerna för den ekonomiska politiken, budgetpolitiken, utgiftstaken och tilläggsbudgeten för 2001. Samarbetet berör fem områden – ekonomi, sysselsättning, rättvisa, jämställdhet och miljö. Genom detta sama</w:t>
      </w:r>
      <w:r w:rsidRPr="00187C93">
        <w:t>r</w:t>
      </w:r>
      <w:r w:rsidRPr="00187C93">
        <w:t>bete finns det en politisk majoritet för en ekonomisk politik som är inriktad på full sysselsättning, ett offentligt överskott om 2 % av BNP i genomsnitt över en konjunkturcykel och prisstabilitet. Politiken syftar vidare till jämlikhet, jämställdhet och ekologisk hållbarhet.</w:t>
      </w:r>
    </w:p>
    <w:p w:rsidR="00DB1B84" w:rsidRPr="00187C93" w:rsidRDefault="00DB1B84">
      <w:pPr>
        <w:pStyle w:val="Normaltindrag"/>
      </w:pPr>
      <w:r w:rsidRPr="00187C93">
        <w:t>Den ekonomiska politikens inriktning mot full sysselsättning</w:t>
      </w:r>
      <w:r w:rsidRPr="00187C93">
        <w:rPr>
          <w:b/>
        </w:rPr>
        <w:t xml:space="preserve"> </w:t>
      </w:r>
      <w:r w:rsidRPr="00187C93">
        <w:t xml:space="preserve">motverkar orättvisor och klyftor i samhället. Långtidsarbetslöshet skapar marginalisering och maktlöshet. Ett högt ohälsotal innebär ett oacceptabelt utanförskap. När stora grupper står utanför arbetsmarknaden under långa perioder minskar jämlikheten. </w:t>
      </w:r>
    </w:p>
    <w:p w:rsidR="00DB1B84" w:rsidRPr="00187C93" w:rsidRDefault="00DB1B84">
      <w:pPr>
        <w:pStyle w:val="Normaltindrag"/>
      </w:pPr>
      <w:r w:rsidRPr="00187C93">
        <w:t xml:space="preserve">Det tidigare </w:t>
      </w:r>
      <w:r w:rsidRPr="00187C93">
        <w:rPr>
          <w:i/>
        </w:rPr>
        <w:t>målet om högst 4 % öppen arbetslöshet</w:t>
      </w:r>
      <w:r w:rsidRPr="00187C93">
        <w:rPr>
          <w:b/>
        </w:rPr>
        <w:t xml:space="preserve"> </w:t>
      </w:r>
      <w:r w:rsidRPr="00187C93">
        <w:t>uppnåddes under år 2000. Det är positivt men inte tillräckligt. Det långsiktiga målet för den ek</w:t>
      </w:r>
      <w:r w:rsidRPr="00187C93">
        <w:t>o</w:t>
      </w:r>
      <w:r w:rsidRPr="00187C93">
        <w:t>nomiska politiken är som nämnts full sysselsättning. Regering och riksdag har också satt upp som ett delmål att andelen reguljärt sysselsatta  bland personer mellan 20 år och 64 år  skall uppgå till 80 % år 2004 (</w:t>
      </w:r>
      <w:r w:rsidRPr="00187C93">
        <w:rPr>
          <w:i/>
        </w:rPr>
        <w:t>sysselsättningsmålet)</w:t>
      </w:r>
      <w:r w:rsidRPr="00187C93">
        <w:t xml:space="preserve">. Målet ligger inom räckhåll men kräver att den ekonomiska politiken med all kraft riktas in mot full sysselsättning. Sverige står inför stora </w:t>
      </w:r>
      <w:r w:rsidRPr="00187C93">
        <w:t>demografiska förändringar. Att sysselsättningsmålet</w:t>
      </w:r>
      <w:r w:rsidRPr="00187C93">
        <w:rPr>
          <w:b/>
        </w:rPr>
        <w:t xml:space="preserve"> </w:t>
      </w:r>
      <w:r w:rsidRPr="00187C93">
        <w:t>nås är av central betydelse för att mil</w:t>
      </w:r>
      <w:r w:rsidRPr="00187C93">
        <w:t>d</w:t>
      </w:r>
      <w:r w:rsidRPr="00187C93">
        <w:t>ra konsekvenserna av den förändrade åldersstrukturen.</w:t>
      </w:r>
    </w:p>
    <w:p w:rsidR="00DB1B84" w:rsidRPr="00187C93" w:rsidRDefault="00DB1B84">
      <w:pPr>
        <w:pStyle w:val="Normaltindrag"/>
      </w:pPr>
      <w:r w:rsidRPr="00187C93">
        <w:t xml:space="preserve">En väl fungerande </w:t>
      </w:r>
      <w:r w:rsidRPr="00187C93">
        <w:rPr>
          <w:i/>
        </w:rPr>
        <w:t>lönebildning</w:t>
      </w:r>
      <w:r w:rsidRPr="00187C93">
        <w:t xml:space="preserve"> är av avgörande betydelse för en fortsatt sysselsättningsutveckling. De institutionella ramarna för lönebildningen har förändrats på ett gynnsamt sätt under de senaste åren. Ett nytt medlingsinstitut har inrättats. Förändringar har genomförts i det legala ramverk inom vilket förhandlingarna bedrivs. Förutsättningarna för en väl fungerande lönebildning har även förbättrats genom de insatser som regeringen gjort inom arbetsmar</w:t>
      </w:r>
      <w:r w:rsidRPr="00187C93">
        <w:t>k</w:t>
      </w:r>
      <w:r w:rsidRPr="00187C93">
        <w:t xml:space="preserve">nads- och utbildningspolitikens område. </w:t>
      </w:r>
    </w:p>
    <w:p w:rsidR="00DB1B84" w:rsidRPr="00187C93" w:rsidRDefault="00DB1B84">
      <w:pPr>
        <w:pStyle w:val="Normaltindrag"/>
      </w:pPr>
      <w:r w:rsidRPr="00187C93">
        <w:t xml:space="preserve">Det skall vara lätt att </w:t>
      </w:r>
      <w:r w:rsidRPr="00187C93">
        <w:rPr>
          <w:i/>
        </w:rPr>
        <w:t>starta och driva företag</w:t>
      </w:r>
      <w:r w:rsidRPr="00187C93">
        <w:t>. Det förenklingsarbete som pågår drivs vidare med kraft. Regeringen planerar insatser för att främja kvinnligt företagande och invandrares företagande. Ytterligare resurser skall också avsättas för lokala kooperativa utvecklingscentrum.</w:t>
      </w:r>
    </w:p>
    <w:p w:rsidR="00DB1B84" w:rsidRPr="00187C93" w:rsidRDefault="00DB1B84">
      <w:pPr>
        <w:pStyle w:val="Normaltindrag"/>
      </w:pPr>
      <w:r w:rsidRPr="00187C93">
        <w:t xml:space="preserve">Enligt regeringen finns det behov av ambitionshöjningar inom </w:t>
      </w:r>
      <w:r w:rsidRPr="00187C93">
        <w:rPr>
          <w:i/>
        </w:rPr>
        <w:t>infrastru</w:t>
      </w:r>
      <w:r w:rsidRPr="00187C93">
        <w:rPr>
          <w:i/>
        </w:rPr>
        <w:t>k</w:t>
      </w:r>
      <w:r w:rsidRPr="00187C93">
        <w:rPr>
          <w:i/>
        </w:rPr>
        <w:t>turområdet</w:t>
      </w:r>
      <w:r w:rsidRPr="00187C93">
        <w:t>. Regeringen kommer i höst att presentera en proposition om hur transportinfrastrukturen skall utvecklas inom de kommande tio åren. Reg</w:t>
      </w:r>
      <w:r w:rsidRPr="00187C93">
        <w:t>e</w:t>
      </w:r>
      <w:r w:rsidRPr="00187C93">
        <w:t>ringen avser att föreslå ett utökat finansiellt utrymme för järnvägsinvesterin</w:t>
      </w:r>
      <w:r w:rsidRPr="00187C93">
        <w:t>g</w:t>
      </w:r>
      <w:r w:rsidRPr="00187C93">
        <w:t>ar bl.a. för att ge godstrafiken bättre föru</w:t>
      </w:r>
      <w:r w:rsidRPr="00187C93">
        <w:t>t</w:t>
      </w:r>
      <w:r w:rsidRPr="00187C93">
        <w:t>sättningar.</w:t>
      </w:r>
    </w:p>
    <w:p w:rsidR="00DB1B84" w:rsidRPr="00187C93" w:rsidRDefault="00DB1B84">
      <w:pPr>
        <w:pStyle w:val="Normaltindrag"/>
      </w:pPr>
      <w:r w:rsidRPr="00187C93">
        <w:t xml:space="preserve">Hela Sveriges resurser i form av arbetskraft och kapital skall tas till vara på ett sätt som främjar den sammanlagda tillväxten. Den ojämna utvecklingen i vissa avseenden mellan olika delar av Sverige riskerar att skapa </w:t>
      </w:r>
      <w:r w:rsidRPr="00187C93">
        <w:t xml:space="preserve">ökade klyftor mellan människor och regioner. En av regeringen tillsatt parlamentarisk kommitté, med uppgift att lämna förslag om den framtida inriktningen och utformningen av den svenska </w:t>
      </w:r>
      <w:r w:rsidRPr="00187C93">
        <w:rPr>
          <w:i/>
        </w:rPr>
        <w:t xml:space="preserve">regionalpolitiken, </w:t>
      </w:r>
      <w:r w:rsidRPr="00187C93">
        <w:t>lämnade under hösten 2000 sitt slutbetänkande. Regeringen avser att lägga fram en proposition för rik</w:t>
      </w:r>
      <w:r w:rsidRPr="00187C93">
        <w:t>s</w:t>
      </w:r>
      <w:r w:rsidRPr="00187C93">
        <w:t>dagen under hösten 2001.</w:t>
      </w:r>
    </w:p>
    <w:p w:rsidR="00DB1B84" w:rsidRPr="00187C93" w:rsidRDefault="00DB1B84">
      <w:pPr>
        <w:pStyle w:val="Normaltindrag"/>
        <w:rPr>
          <w:i/>
        </w:rPr>
      </w:pPr>
      <w:r w:rsidRPr="00187C93">
        <w:t>Framtidens arbetsmarknad kommer att ställa allt större krav på livslångt l</w:t>
      </w:r>
      <w:r w:rsidRPr="00187C93">
        <w:t>ä</w:t>
      </w:r>
      <w:r w:rsidRPr="00187C93">
        <w:t xml:space="preserve">rande. Regeringen bereder för närvarande ett förslag om </w:t>
      </w:r>
      <w:r w:rsidRPr="00187C93">
        <w:rPr>
          <w:i/>
        </w:rPr>
        <w:t>individuellt komp</w:t>
      </w:r>
      <w:r w:rsidRPr="00187C93">
        <w:rPr>
          <w:i/>
        </w:rPr>
        <w:t>e</w:t>
      </w:r>
      <w:r w:rsidRPr="00187C93">
        <w:rPr>
          <w:i/>
        </w:rPr>
        <w:t>tenssparande.</w:t>
      </w:r>
    </w:p>
    <w:p w:rsidR="00DB1B84" w:rsidRPr="00187C93" w:rsidRDefault="00DB1B84">
      <w:pPr>
        <w:pStyle w:val="Normaltindrag"/>
      </w:pPr>
      <w:r w:rsidRPr="00187C93">
        <w:t xml:space="preserve">Det är enligt regeringen angeläget att korta </w:t>
      </w:r>
      <w:r w:rsidRPr="00187C93">
        <w:rPr>
          <w:i/>
        </w:rPr>
        <w:t>arbetstiderna</w:t>
      </w:r>
      <w:r w:rsidRPr="00187C93">
        <w:t xml:space="preserve"> och att öka ind</w:t>
      </w:r>
      <w:r w:rsidRPr="00187C93">
        <w:t>i</w:t>
      </w:r>
      <w:r w:rsidRPr="00187C93">
        <w:t>vidernas inflytande över arbetstidens förläggning. Frågan är föremål för en pa</w:t>
      </w:r>
      <w:r w:rsidRPr="00187C93">
        <w:t>r</w:t>
      </w:r>
      <w:r w:rsidRPr="00187C93">
        <w:t>lamentarisk utredning.</w:t>
      </w:r>
    </w:p>
    <w:p w:rsidR="00DB1B84" w:rsidRPr="00187C93" w:rsidRDefault="00DB1B84">
      <w:pPr>
        <w:pStyle w:val="Normaltindrag"/>
      </w:pPr>
      <w:r w:rsidRPr="00187C93">
        <w:t xml:space="preserve">Regeringen har för ett år sedan presenterat ett offensivt </w:t>
      </w:r>
      <w:r w:rsidRPr="00187C93">
        <w:rPr>
          <w:i/>
        </w:rPr>
        <w:t>åtgärdspaket för ökad tillväxt och rättvisa</w:t>
      </w:r>
      <w:r w:rsidRPr="00187C93">
        <w:t>. Det innehöll en rad åtgärder för ökad sysselsättning och ökat arbetskraftsutbud. En maxtaxa införs inom förskoleverksamheten och skolbarnsomsorgen. Arbetslöshetsförsäkringen har reformerats i syfte att stärka dess roll som omställningsförsäkring. Marginalskatterna för låg- och medelinkomsttagare har sänkts genom kompensation för hälften av egena</w:t>
      </w:r>
      <w:r w:rsidRPr="00187C93">
        <w:t>v</w:t>
      </w:r>
      <w:r w:rsidRPr="00187C93">
        <w:t>gifterna, andelen personer som betalar statlig skatt</w:t>
      </w:r>
      <w:r w:rsidRPr="00187C93">
        <w:rPr>
          <w:b/>
        </w:rPr>
        <w:t xml:space="preserve"> </w:t>
      </w:r>
      <w:r w:rsidRPr="00187C93">
        <w:t>har minskat och ett pr</w:t>
      </w:r>
      <w:r w:rsidRPr="00187C93">
        <w:t>o</w:t>
      </w:r>
      <w:r w:rsidRPr="00187C93">
        <w:t>gram för att öka invandrares sysselsättning</w:t>
      </w:r>
      <w:r w:rsidRPr="00187C93">
        <w:t>sgrad</w:t>
      </w:r>
      <w:r w:rsidRPr="00187C93">
        <w:rPr>
          <w:b/>
        </w:rPr>
        <w:t xml:space="preserve"> </w:t>
      </w:r>
      <w:r w:rsidRPr="00187C93">
        <w:t>skall</w:t>
      </w:r>
      <w:r w:rsidRPr="00187C93">
        <w:rPr>
          <w:b/>
        </w:rPr>
        <w:t xml:space="preserve"> </w:t>
      </w:r>
      <w:r w:rsidRPr="00187C93">
        <w:t xml:space="preserve">genomföras under perioden 2001–2003. </w:t>
      </w:r>
    </w:p>
    <w:p w:rsidR="00DB1B84" w:rsidRPr="00187C93" w:rsidRDefault="00DB1B84">
      <w:pPr>
        <w:pStyle w:val="Normaltindrag"/>
      </w:pPr>
      <w:r w:rsidRPr="00187C93">
        <w:t>Åtgärder som höjer kompetensen och ger alla goda motiv till arbete är en viktig väg för att motverka att människor stängs ute. Det måste också ske en mobilisering av</w:t>
      </w:r>
      <w:r w:rsidRPr="00187C93">
        <w:rPr>
          <w:i/>
        </w:rPr>
        <w:t xml:space="preserve"> grupper som i dag har låg sysselsättningsgrad</w:t>
      </w:r>
      <w:r w:rsidRPr="00187C93">
        <w:t>. Det gäller bl.a. långtidssjukskrivna, förtidspensionerade och personer med utländsk bakgrund. Det handlar också om att bryta den könsuppdelade arbetsmarkn</w:t>
      </w:r>
      <w:r w:rsidRPr="00187C93">
        <w:t>a</w:t>
      </w:r>
      <w:r w:rsidRPr="00187C93">
        <w:t>den, öka kvinnors arbetskraftsdeltagande och motverka ofrivillig deltidsa</w:t>
      </w:r>
      <w:r w:rsidRPr="00187C93">
        <w:t>r</w:t>
      </w:r>
      <w:r w:rsidRPr="00187C93">
        <w:t>betslöshet. Målet är att halvera antalet socialbidragsberoende mellan åren 1999 och 2004.</w:t>
      </w:r>
    </w:p>
    <w:p w:rsidR="00DB1B84" w:rsidRPr="00187C93" w:rsidRDefault="00DB1B84">
      <w:pPr>
        <w:pStyle w:val="Normaltindrag"/>
      </w:pPr>
      <w:r w:rsidRPr="00187C93">
        <w:t>Regeringen aviserar bl.a. följande förslag i syfte att öka sysselsättningen och tillväxten i alla delar av landet.</w:t>
      </w:r>
    </w:p>
    <w:p w:rsidR="00DB1B84" w:rsidRPr="00187C93" w:rsidRDefault="00DB1B84">
      <w:pPr>
        <w:pStyle w:val="Normaltindrag"/>
        <w:numPr>
          <w:ilvl w:val="0"/>
          <w:numId w:val="33"/>
        </w:numPr>
      </w:pPr>
      <w:r w:rsidRPr="00187C93">
        <w:t xml:space="preserve">En </w:t>
      </w:r>
      <w:r w:rsidRPr="00187C93">
        <w:rPr>
          <w:i/>
        </w:rPr>
        <w:t xml:space="preserve">aktiv rehabilitering </w:t>
      </w:r>
      <w:r w:rsidRPr="00187C93">
        <w:t>skall bidra till att långtidssjukskrivna får en väg tillb</w:t>
      </w:r>
      <w:r w:rsidRPr="00187C93">
        <w:t>a</w:t>
      </w:r>
      <w:r w:rsidRPr="00187C93">
        <w:t>ka till arbetslivet.</w:t>
      </w:r>
    </w:p>
    <w:p w:rsidR="00DB1B84" w:rsidRPr="00187C93" w:rsidRDefault="00DB1B84">
      <w:pPr>
        <w:pStyle w:val="Normaltindrag"/>
        <w:numPr>
          <w:ilvl w:val="0"/>
          <w:numId w:val="26"/>
        </w:numPr>
      </w:pPr>
      <w:r w:rsidRPr="00187C93">
        <w:t xml:space="preserve">Informationsinsatser skall genomföras om möjligheterna till </w:t>
      </w:r>
      <w:r w:rsidRPr="00187C93">
        <w:rPr>
          <w:i/>
        </w:rPr>
        <w:t>vilande pension</w:t>
      </w:r>
      <w:r w:rsidRPr="00187C93">
        <w:t xml:space="preserve"> för förtidspensionärer som vill pröva sina möjligheter att arbeta.</w:t>
      </w:r>
    </w:p>
    <w:p w:rsidR="00DB1B84" w:rsidRPr="00187C93" w:rsidRDefault="00DB1B84">
      <w:pPr>
        <w:pStyle w:val="Normaltindrag"/>
        <w:numPr>
          <w:ilvl w:val="0"/>
          <w:numId w:val="26"/>
        </w:numPr>
        <w:rPr>
          <w:i/>
        </w:rPr>
      </w:pPr>
      <w:r w:rsidRPr="00187C93">
        <w:t xml:space="preserve">Alla förtidspensionärer skall kunna utnyttja resterande arbetsförmåga fullt ut. Marginaleffekterna av förtidspensionärernas arbetsinkomster bör reduceras. En aktiv </w:t>
      </w:r>
      <w:r w:rsidRPr="00187C93">
        <w:rPr>
          <w:i/>
        </w:rPr>
        <w:t>uppföljning och efterkontroll av beviljade förtidspe</w:t>
      </w:r>
      <w:r w:rsidRPr="00187C93">
        <w:rPr>
          <w:i/>
        </w:rPr>
        <w:t>n</w:t>
      </w:r>
      <w:r w:rsidRPr="00187C93">
        <w:rPr>
          <w:i/>
        </w:rPr>
        <w:t>sioner bör göras.</w:t>
      </w:r>
    </w:p>
    <w:p w:rsidR="00DB1B84" w:rsidRPr="00187C93" w:rsidRDefault="00DB1B84">
      <w:pPr>
        <w:pStyle w:val="Normaltindrag"/>
        <w:numPr>
          <w:ilvl w:val="0"/>
          <w:numId w:val="26"/>
        </w:numPr>
      </w:pPr>
      <w:r w:rsidRPr="00187C93">
        <w:t xml:space="preserve">Nya regler i syfte att stoppa risken för rundgång mellan </w:t>
      </w:r>
      <w:r w:rsidRPr="00187C93">
        <w:rPr>
          <w:i/>
        </w:rPr>
        <w:t>aktivitetsgara</w:t>
      </w:r>
      <w:r w:rsidRPr="00187C93">
        <w:rPr>
          <w:i/>
        </w:rPr>
        <w:t>n</w:t>
      </w:r>
      <w:r w:rsidRPr="00187C93">
        <w:rPr>
          <w:i/>
        </w:rPr>
        <w:t>tin</w:t>
      </w:r>
      <w:r w:rsidRPr="00187C93">
        <w:t xml:space="preserve"> och öppen arbetslöshet föreslås träda i kraft vid årsskiftet 2001/2002.</w:t>
      </w:r>
    </w:p>
    <w:p w:rsidR="00DB1B84" w:rsidRPr="00187C93" w:rsidRDefault="00DB1B84">
      <w:pPr>
        <w:pStyle w:val="Normaltindrag"/>
        <w:numPr>
          <w:ilvl w:val="0"/>
          <w:numId w:val="27"/>
        </w:numPr>
      </w:pPr>
      <w:r w:rsidRPr="00187C93">
        <w:t xml:space="preserve">Övergången från </w:t>
      </w:r>
      <w:r w:rsidRPr="00187C93">
        <w:rPr>
          <w:i/>
        </w:rPr>
        <w:t xml:space="preserve">lönebidrag </w:t>
      </w:r>
      <w:r w:rsidRPr="00187C93">
        <w:t>till osubventionerad anställning bör öka i syfte att frigöra utrymme för fler arbetshandikappade att få fotfäste på arbetsmar</w:t>
      </w:r>
      <w:r w:rsidRPr="00187C93">
        <w:t>k</w:t>
      </w:r>
      <w:r w:rsidRPr="00187C93">
        <w:t xml:space="preserve">naden. </w:t>
      </w:r>
    </w:p>
    <w:p w:rsidR="00DB1B84" w:rsidRPr="00187C93" w:rsidRDefault="00DB1B84">
      <w:pPr>
        <w:pStyle w:val="Normaltindrag"/>
        <w:numPr>
          <w:ilvl w:val="0"/>
          <w:numId w:val="28"/>
        </w:numPr>
      </w:pPr>
      <w:r w:rsidRPr="00187C93">
        <w:t xml:space="preserve">En förändrad organisation för </w:t>
      </w:r>
      <w:r w:rsidRPr="00187C93">
        <w:rPr>
          <w:i/>
        </w:rPr>
        <w:t>Arbetsmarknadsverket</w:t>
      </w:r>
      <w:r w:rsidRPr="00187C93">
        <w:rPr>
          <w:b/>
        </w:rPr>
        <w:t xml:space="preserve"> </w:t>
      </w:r>
      <w:r w:rsidRPr="00187C93">
        <w:t xml:space="preserve">(AMV) och en ny </w:t>
      </w:r>
      <w:r w:rsidRPr="00187C93">
        <w:rPr>
          <w:i/>
        </w:rPr>
        <w:t>myndighet för tillsyn och kontroll av arbetslöshetsförsäkringen</w:t>
      </w:r>
      <w:r w:rsidRPr="00187C93">
        <w:t xml:space="preserve"> skall i</w:t>
      </w:r>
      <w:r w:rsidRPr="00187C93">
        <w:t>n</w:t>
      </w:r>
      <w:r w:rsidRPr="00187C93">
        <w:t>föras.</w:t>
      </w:r>
    </w:p>
    <w:p w:rsidR="00DB1B84" w:rsidRPr="00187C93" w:rsidRDefault="00DB1B84">
      <w:pPr>
        <w:numPr>
          <w:ilvl w:val="0"/>
          <w:numId w:val="25"/>
        </w:numPr>
      </w:pPr>
      <w:r w:rsidRPr="00187C93">
        <w:rPr>
          <w:i/>
        </w:rPr>
        <w:t xml:space="preserve">Högskoleverket </w:t>
      </w:r>
      <w:r w:rsidRPr="00187C93">
        <w:t>skall få i uppdrag att analysera hur högskolesektorns utbildningsutbud i ökad utsträckning kan fås att svara mot arbetsmarkn</w:t>
      </w:r>
      <w:r w:rsidRPr="00187C93">
        <w:t>a</w:t>
      </w:r>
      <w:r w:rsidRPr="00187C93">
        <w:t>dens behov, i syfte att motverka flaskhalsar på arbetsmarkn</w:t>
      </w:r>
      <w:r w:rsidRPr="00187C93">
        <w:t>a</w:t>
      </w:r>
      <w:r w:rsidRPr="00187C93">
        <w:t>den.</w:t>
      </w:r>
    </w:p>
    <w:p w:rsidR="00DB1B84" w:rsidRPr="00187C93" w:rsidRDefault="00DB1B84">
      <w:pPr>
        <w:numPr>
          <w:ilvl w:val="0"/>
          <w:numId w:val="29"/>
        </w:numPr>
      </w:pPr>
      <w:r w:rsidRPr="00187C93">
        <w:t>De 700 miljoner kronor som AMV de senaste åren fått använda för til</w:t>
      </w:r>
      <w:r w:rsidRPr="00187C93">
        <w:t>l</w:t>
      </w:r>
      <w:r w:rsidRPr="00187C93">
        <w:t xml:space="preserve">fälliga </w:t>
      </w:r>
      <w:r w:rsidRPr="00187C93">
        <w:rPr>
          <w:i/>
        </w:rPr>
        <w:t xml:space="preserve">personalförstärkningar vid arbetsförmedlingarna </w:t>
      </w:r>
      <w:r w:rsidRPr="00187C93">
        <w:t>permanentas fr.o.m. år 2002. Under år 2002 skall 165 miljoner kronor av dessa medel användas för att stärka ställningen på arbetsmarknaden för personer med utländsk ba</w:t>
      </w:r>
      <w:r w:rsidRPr="00187C93">
        <w:t>k</w:t>
      </w:r>
      <w:r w:rsidRPr="00187C93">
        <w:t>grund.</w:t>
      </w:r>
    </w:p>
    <w:p w:rsidR="00DB1B84" w:rsidRPr="00187C93" w:rsidRDefault="00DB1B84">
      <w:pPr>
        <w:numPr>
          <w:ilvl w:val="0"/>
          <w:numId w:val="30"/>
        </w:numPr>
        <w:rPr>
          <w:i/>
        </w:rPr>
      </w:pPr>
      <w:r w:rsidRPr="00187C93">
        <w:t xml:space="preserve">En försöksverksamhet inleds med </w:t>
      </w:r>
      <w:r w:rsidRPr="00187C93">
        <w:rPr>
          <w:i/>
        </w:rPr>
        <w:t>lokala diskrimineringsombud</w:t>
      </w:r>
      <w:r w:rsidRPr="00187C93">
        <w:t xml:space="preserve">. Det </w:t>
      </w:r>
      <w:r w:rsidRPr="00187C93">
        <w:rPr>
          <w:i/>
        </w:rPr>
        <w:t>antirasistiska arbetet</w:t>
      </w:r>
      <w:r w:rsidRPr="00187C93">
        <w:t xml:space="preserve"> förstärks med 10 miljoner kronor per år fr.o.m. 2002. </w:t>
      </w:r>
    </w:p>
    <w:p w:rsidR="00DB1B84" w:rsidRPr="00187C93" w:rsidRDefault="00DB1B84">
      <w:pPr>
        <w:numPr>
          <w:ilvl w:val="0"/>
          <w:numId w:val="30"/>
        </w:numPr>
        <w:rPr>
          <w:i/>
        </w:rPr>
      </w:pPr>
      <w:r w:rsidRPr="00187C93">
        <w:t xml:space="preserve">100 miljoner kronor per år avsätts under perioden 2002–2004 för insatser för att minska </w:t>
      </w:r>
      <w:r w:rsidRPr="00187C93">
        <w:rPr>
          <w:i/>
        </w:rPr>
        <w:t>deltidsarbetslösheten.</w:t>
      </w:r>
    </w:p>
    <w:p w:rsidR="00DB1B84" w:rsidRPr="00187C93" w:rsidRDefault="00DB1B84">
      <w:r w:rsidRPr="00187C93">
        <w:rPr>
          <w:i/>
        </w:rPr>
        <w:t>Social- och arbetslöshetsförsäkringarna</w:t>
      </w:r>
      <w:r w:rsidRPr="00187C93">
        <w:t xml:space="preserve"> ger trygghet mot inkomstbortfall vid sjukdom, arbetsskada etc.  Försäkringens koppling till förvärvsarbete skapar drivkrafter till arbete och främjar ett högt arbetskraftsdeltagande. Regeringen avser att höja den högsta dagpenningen i a-kassan med 100 kr de första et</w:t>
      </w:r>
      <w:r w:rsidRPr="00187C93">
        <w:t>t</w:t>
      </w:r>
      <w:r w:rsidRPr="00187C93">
        <w:t>hundra dagarna, liksom den lägsta ersättningen från 240 kr till 270 kr. Nästa år skall ersättningen i a-kassan höjas ytterligare, under förutsättning att det statsfinans</w:t>
      </w:r>
      <w:r w:rsidRPr="00187C93">
        <w:t>i</w:t>
      </w:r>
      <w:r w:rsidRPr="00187C93">
        <w:t xml:space="preserve">ella läget så tillåter. </w:t>
      </w:r>
    </w:p>
    <w:p w:rsidR="00DB1B84" w:rsidRPr="00187C93" w:rsidRDefault="00DB1B84">
      <w:pPr>
        <w:pStyle w:val="Normaltindrag"/>
      </w:pPr>
      <w:r w:rsidRPr="00187C93">
        <w:t>Regeringen avser att tillsammans med arbetsmarkn</w:t>
      </w:r>
      <w:r w:rsidRPr="00187C93">
        <w:t xml:space="preserve">adens parter finna vägar som underlättar både förebyggandet av </w:t>
      </w:r>
      <w:r w:rsidRPr="00187C93">
        <w:rPr>
          <w:i/>
        </w:rPr>
        <w:t>skador och sjukdomar i arbetet</w:t>
      </w:r>
      <w:r w:rsidRPr="00187C93">
        <w:t xml:space="preserve"> och rehabiliteringen av de </w:t>
      </w:r>
      <w:r w:rsidRPr="00187C93">
        <w:rPr>
          <w:i/>
        </w:rPr>
        <w:t>långtidssjuka.</w:t>
      </w:r>
      <w:r w:rsidRPr="00187C93">
        <w:t xml:space="preserve"> Dessutom bör vikten av arbetsgiv</w:t>
      </w:r>
      <w:r w:rsidRPr="00187C93">
        <w:t>a</w:t>
      </w:r>
      <w:r w:rsidRPr="00187C93">
        <w:t>r</w:t>
      </w:r>
      <w:r w:rsidRPr="00187C93">
        <w:softHyphen/>
        <w:t>ansvar lyftas fram i syfte att minska antalet sjukskrivna och därigenom min</w:t>
      </w:r>
      <w:r w:rsidRPr="00187C93">
        <w:t>s</w:t>
      </w:r>
      <w:r w:rsidRPr="00187C93">
        <w:t>ka kostnaderna. Särskilda insatser krävs för att öka möjligheterna för de lån</w:t>
      </w:r>
      <w:r w:rsidRPr="00187C93">
        <w:t>g</w:t>
      </w:r>
      <w:r w:rsidRPr="00187C93">
        <w:t>tidssjuka att återgå till arbete. 100 miljoner kronor avsätts för att motverka långtidssjukskri</w:t>
      </w:r>
      <w:r w:rsidRPr="00187C93">
        <w:t>v</w:t>
      </w:r>
      <w:r w:rsidRPr="00187C93">
        <w:t>ningar.</w:t>
      </w:r>
    </w:p>
    <w:p w:rsidR="00DB1B84" w:rsidRPr="00187C93" w:rsidRDefault="00DB1B84">
      <w:pPr>
        <w:pStyle w:val="Normaltindrag"/>
      </w:pPr>
      <w:r w:rsidRPr="00187C93">
        <w:t>De</w:t>
      </w:r>
      <w:r w:rsidRPr="00187C93">
        <w:rPr>
          <w:i/>
        </w:rPr>
        <w:t xml:space="preserve"> invandrare</w:t>
      </w:r>
      <w:r w:rsidRPr="00187C93">
        <w:t xml:space="preserve"> som kommer till Sverige måste ha möjlighet att bli fullt delaktiga i samhället. Inom bl.a. utbildnings- och arbetsmarknadsområdet pågår nu en rad olika insatser för att öka invandrarnas möjligheter att delta i arbetslivet, t.ex. förbättrad introduktion och svenskundervisning, komplett</w:t>
      </w:r>
      <w:r w:rsidRPr="00187C93">
        <w:t>e</w:t>
      </w:r>
      <w:r w:rsidRPr="00187C93">
        <w:t>ringsutbildning, validering av utländsk kompetens m.m.</w:t>
      </w:r>
    </w:p>
    <w:p w:rsidR="00DB1B84" w:rsidRPr="00187C93" w:rsidRDefault="00DB1B84">
      <w:pPr>
        <w:pStyle w:val="Rubrik3"/>
        <w:spacing w:before="235"/>
        <w:rPr>
          <w:noProof w:val="0"/>
        </w:rPr>
      </w:pPr>
      <w:bookmarkStart w:id="7" w:name="_Toc515765272"/>
      <w:r w:rsidRPr="00187C93">
        <w:rPr>
          <w:noProof w:val="0"/>
        </w:rPr>
        <w:t>Motioner</w:t>
      </w:r>
      <w:bookmarkEnd w:id="7"/>
    </w:p>
    <w:p w:rsidR="00DB1B84" w:rsidRPr="00187C93" w:rsidRDefault="00DB1B84">
      <w:r w:rsidRPr="00187C93">
        <w:rPr>
          <w:i/>
        </w:rPr>
        <w:t xml:space="preserve">Moderaterna </w:t>
      </w:r>
      <w:r w:rsidRPr="00187C93">
        <w:t>ger sin syn på inriktningen av den ekonomiska politiken i m</w:t>
      </w:r>
      <w:r w:rsidRPr="00187C93">
        <w:t>o</w:t>
      </w:r>
      <w:r w:rsidRPr="00187C93">
        <w:t>tion Fi17 (yrkandena 1, 7, 10 och 15 alla delvis) enligt följande.</w:t>
      </w:r>
    </w:p>
    <w:p w:rsidR="00DB1B84" w:rsidRPr="00187C93" w:rsidRDefault="00DB1B84">
      <w:pPr>
        <w:pStyle w:val="Normaltindrag"/>
      </w:pPr>
      <w:r w:rsidRPr="00187C93">
        <w:t>Den enskilda människan får allt större möjligheter i sin egenskap av ind</w:t>
      </w:r>
      <w:r w:rsidRPr="00187C93">
        <w:t>i</w:t>
      </w:r>
      <w:r w:rsidRPr="00187C93">
        <w:t xml:space="preserve">vid. Det är denna utveckling som allra mest präglar den nya tid som nu växer fram och därmed också politikens utmaningar. Det är </w:t>
      </w:r>
      <w:r w:rsidRPr="00187C93">
        <w:rPr>
          <w:i/>
        </w:rPr>
        <w:t xml:space="preserve">den enskilde individens kompetens, engagemang och kunnande </w:t>
      </w:r>
      <w:r w:rsidRPr="00187C93">
        <w:t xml:space="preserve">som i allt högre grad avgör välfärdens utveckling. </w:t>
      </w:r>
    </w:p>
    <w:p w:rsidR="00DB1B84" w:rsidRPr="00187C93" w:rsidRDefault="00DB1B84">
      <w:pPr>
        <w:pStyle w:val="Normaltindrag"/>
      </w:pPr>
      <w:r w:rsidRPr="00187C93">
        <w:t xml:space="preserve">Sverige skall vara ett </w:t>
      </w:r>
      <w:r w:rsidRPr="00187C93">
        <w:rPr>
          <w:i/>
        </w:rPr>
        <w:t>ledande företagssamhälle</w:t>
      </w:r>
      <w:r w:rsidRPr="00187C93">
        <w:t>. Välfärden skall utvecklas genom att minska människors behov av bidrag. Lägre skatt</w:t>
      </w:r>
      <w:r w:rsidRPr="00187C93">
        <w:rPr>
          <w:b/>
        </w:rPr>
        <w:t xml:space="preserve"> </w:t>
      </w:r>
      <w:r w:rsidRPr="00187C93">
        <w:t>minskar medbo</w:t>
      </w:r>
      <w:r w:rsidRPr="00187C93">
        <w:t>r</w:t>
      </w:r>
      <w:r w:rsidRPr="00187C93">
        <w:t xml:space="preserve">garnas behov av bidrag och stärker förutsättningarna för tillväxt. Kvinnor och män skall kunna förena arbetsliv och familj. Det skall vara lätt att arbeta och samtidigt ha barn och det skall vara möjligt att arbeta mer under de delar av livet då det passar bäst. Den demografiska utmaningen skall mötas genom en politik för tillväxt och ett växande utbud av arbete. </w:t>
      </w:r>
    </w:p>
    <w:p w:rsidR="00DB1B84" w:rsidRPr="00187C93" w:rsidRDefault="00DB1B84">
      <w:pPr>
        <w:pStyle w:val="Normaltindrag"/>
      </w:pPr>
      <w:r w:rsidRPr="00187C93">
        <w:t xml:space="preserve"> Målet med politiken ä</w:t>
      </w:r>
      <w:r w:rsidRPr="00187C93">
        <w:t>r att öka Sveriges långsiktiga tillväxtpotential. A</w:t>
      </w:r>
      <w:r w:rsidRPr="00187C93">
        <w:t>r</w:t>
      </w:r>
      <w:r w:rsidRPr="00187C93">
        <w:t>betslösheten skall pressas ned och sysselsättningen öka, utan växande efte</w:t>
      </w:r>
      <w:r w:rsidRPr="00187C93">
        <w:t>r</w:t>
      </w:r>
      <w:r w:rsidRPr="00187C93">
        <w:t>frågetryck och inflation.</w:t>
      </w:r>
    </w:p>
    <w:p w:rsidR="00DB1B84" w:rsidRPr="00187C93" w:rsidRDefault="00DB1B84">
      <w:pPr>
        <w:pStyle w:val="Normaltindrag"/>
      </w:pPr>
      <w:r w:rsidRPr="00187C93">
        <w:t>Den svenska</w:t>
      </w:r>
      <w:r w:rsidRPr="00187C93">
        <w:rPr>
          <w:b/>
        </w:rPr>
        <w:t xml:space="preserve"> </w:t>
      </w:r>
      <w:r w:rsidRPr="00187C93">
        <w:t>arbetsmarknaden präglas av stelhet och brist på öppenhet</w:t>
      </w:r>
      <w:r w:rsidRPr="00187C93">
        <w:rPr>
          <w:b/>
        </w:rPr>
        <w:t xml:space="preserve"> </w:t>
      </w:r>
      <w:r w:rsidRPr="00187C93">
        <w:t xml:space="preserve">som försvårar både kampen mot arbetslösheten och möjligheterna till en långsiktig uthållig tillväxt. </w:t>
      </w:r>
      <w:r w:rsidRPr="00187C93">
        <w:rPr>
          <w:i/>
        </w:rPr>
        <w:t>Den ekonomiska politiken</w:t>
      </w:r>
      <w:r w:rsidRPr="00187C93">
        <w:t xml:space="preserve"> skall vara utbudsinriktad och syfta till att underlätta för ökade investeringar och ökat företagande.</w:t>
      </w:r>
      <w:r w:rsidRPr="00187C93">
        <w:rPr>
          <w:b/>
        </w:rPr>
        <w:t xml:space="preserve"> </w:t>
      </w:r>
      <w:r w:rsidRPr="00187C93">
        <w:rPr>
          <w:i/>
        </w:rPr>
        <w:t>Skattepolitiken</w:t>
      </w:r>
      <w:r w:rsidRPr="00187C93">
        <w:t xml:space="preserve"> skall uppmuntra till arbete och motverka både fattigdomsfällor och tröskele</w:t>
      </w:r>
      <w:r w:rsidRPr="00187C93">
        <w:t>f</w:t>
      </w:r>
      <w:r w:rsidRPr="00187C93">
        <w:t xml:space="preserve">fekter för dem som vill in på arbetsmarknaden. Det skall </w:t>
      </w:r>
      <w:r w:rsidRPr="00187C93">
        <w:rPr>
          <w:i/>
        </w:rPr>
        <w:t>löna sig med utbil</w:t>
      </w:r>
      <w:r w:rsidRPr="00187C93">
        <w:rPr>
          <w:i/>
        </w:rPr>
        <w:t>d</w:t>
      </w:r>
      <w:r w:rsidRPr="00187C93">
        <w:rPr>
          <w:i/>
        </w:rPr>
        <w:t>ning</w:t>
      </w:r>
      <w:r w:rsidRPr="00187C93">
        <w:rPr>
          <w:b/>
        </w:rPr>
        <w:t>.</w:t>
      </w:r>
      <w:r w:rsidRPr="00187C93">
        <w:t xml:space="preserve"> Politiken skall bidra till att fler vill arbeta en l</w:t>
      </w:r>
      <w:r w:rsidRPr="00187C93">
        <w:t xml:space="preserve">ängre del av sitt liv och mer under de delar av livet då det passar bäst. </w:t>
      </w:r>
    </w:p>
    <w:p w:rsidR="00DB1B84" w:rsidRPr="00187C93" w:rsidRDefault="00DB1B84">
      <w:pPr>
        <w:pStyle w:val="Normaltindrag"/>
        <w:rPr>
          <w:snapToGrid w:val="0"/>
          <w:color w:val="000000"/>
          <w:lang w:eastAsia="sv-SE"/>
        </w:rPr>
      </w:pPr>
      <w:r w:rsidRPr="00187C93">
        <w:t xml:space="preserve">Det skall vara </w:t>
      </w:r>
      <w:r w:rsidRPr="00187C93">
        <w:rPr>
          <w:i/>
        </w:rPr>
        <w:t>lätt att starta och driva företag</w:t>
      </w:r>
      <w:r w:rsidRPr="00187C93">
        <w:t>. Arbetsmarknadens regler skall uppmuntra företagare att bli arbetsgivare till fler anställda. Småföret</w:t>
      </w:r>
      <w:r w:rsidRPr="00187C93">
        <w:t>a</w:t>
      </w:r>
      <w:r w:rsidRPr="00187C93">
        <w:t xml:space="preserve">gande skall ha skattevillkor och ett regelverk som stimulerar till tillväxt och fortsatt företagande. Tjänstesektorn för </w:t>
      </w:r>
      <w:r w:rsidRPr="00187C93">
        <w:rPr>
          <w:i/>
        </w:rPr>
        <w:t>hushållstjänster</w:t>
      </w:r>
      <w:r w:rsidRPr="00187C93">
        <w:t xml:space="preserve"> kan genom nya regler bidra med nytt företagande. </w:t>
      </w:r>
      <w:r w:rsidRPr="00187C93">
        <w:rPr>
          <w:i/>
        </w:rPr>
        <w:t>Förenklingar</w:t>
      </w:r>
      <w:r w:rsidRPr="00187C93">
        <w:t xml:space="preserve"> för företagande bör göras enligt den s.k. Simplexgruppens förslag. </w:t>
      </w:r>
      <w:r w:rsidRPr="00187C93">
        <w:rPr>
          <w:i/>
          <w:snapToGrid w:val="0"/>
          <w:color w:val="000000"/>
          <w:lang w:eastAsia="sv-SE"/>
        </w:rPr>
        <w:t xml:space="preserve">Företagsbeskattningen </w:t>
      </w:r>
      <w:r w:rsidRPr="00187C93">
        <w:rPr>
          <w:snapToGrid w:val="0"/>
          <w:color w:val="000000"/>
          <w:lang w:eastAsia="sv-SE"/>
        </w:rPr>
        <w:t>måste utformas så att företagande och investeringar i Sverige stimuleras och det svens</w:t>
      </w:r>
      <w:r w:rsidRPr="00187C93">
        <w:rPr>
          <w:snapToGrid w:val="0"/>
          <w:color w:val="000000"/>
          <w:lang w:eastAsia="sv-SE"/>
        </w:rPr>
        <w:t>ka för</w:t>
      </w:r>
      <w:r w:rsidRPr="00187C93">
        <w:rPr>
          <w:snapToGrid w:val="0"/>
          <w:color w:val="000000"/>
          <w:lang w:eastAsia="sv-SE"/>
        </w:rPr>
        <w:t>e</w:t>
      </w:r>
      <w:r w:rsidRPr="00187C93">
        <w:rPr>
          <w:snapToGrid w:val="0"/>
          <w:color w:val="000000"/>
          <w:lang w:eastAsia="sv-SE"/>
        </w:rPr>
        <w:t>tagsklimatet kan hävda sig i ett internationellt perspektiv. Moderaterna fra</w:t>
      </w:r>
      <w:r w:rsidRPr="00187C93">
        <w:rPr>
          <w:snapToGrid w:val="0"/>
          <w:color w:val="000000"/>
          <w:lang w:eastAsia="sv-SE"/>
        </w:rPr>
        <w:t>m</w:t>
      </w:r>
      <w:r w:rsidRPr="00187C93">
        <w:rPr>
          <w:snapToGrid w:val="0"/>
          <w:color w:val="000000"/>
          <w:lang w:eastAsia="sv-SE"/>
        </w:rPr>
        <w:t>för i motionen förslag till en rad förändringar på skatteområdet för att uppnå detta mål, bl.a. vad gäller inkomstskatt, förmögenhetsskatt, skatt på aktieu</w:t>
      </w:r>
      <w:r w:rsidRPr="00187C93">
        <w:rPr>
          <w:snapToGrid w:val="0"/>
          <w:color w:val="000000"/>
          <w:lang w:eastAsia="sv-SE"/>
        </w:rPr>
        <w:t>t</w:t>
      </w:r>
      <w:r w:rsidRPr="00187C93">
        <w:rPr>
          <w:snapToGrid w:val="0"/>
          <w:color w:val="000000"/>
          <w:lang w:eastAsia="sv-SE"/>
        </w:rPr>
        <w:t xml:space="preserve">delningar och optioner. </w:t>
      </w:r>
      <w:r w:rsidRPr="00187C93">
        <w:rPr>
          <w:i/>
          <w:snapToGrid w:val="0"/>
          <w:color w:val="000000"/>
          <w:lang w:eastAsia="sv-SE"/>
        </w:rPr>
        <w:t>Ökad konkurrens och mångfald</w:t>
      </w:r>
      <w:r w:rsidRPr="00187C93">
        <w:rPr>
          <w:b/>
          <w:snapToGrid w:val="0"/>
          <w:color w:val="000000"/>
          <w:lang w:eastAsia="sv-SE"/>
        </w:rPr>
        <w:t xml:space="preserve"> </w:t>
      </w:r>
      <w:r w:rsidRPr="00187C93">
        <w:rPr>
          <w:snapToGrid w:val="0"/>
          <w:color w:val="000000"/>
          <w:lang w:eastAsia="sv-SE"/>
        </w:rPr>
        <w:t>skall säkras. Fritt företagande och</w:t>
      </w:r>
      <w:r w:rsidRPr="00187C93">
        <w:rPr>
          <w:b/>
          <w:snapToGrid w:val="0"/>
          <w:color w:val="000000"/>
          <w:lang w:eastAsia="sv-SE"/>
        </w:rPr>
        <w:t xml:space="preserve"> </w:t>
      </w:r>
      <w:r w:rsidRPr="00187C93">
        <w:rPr>
          <w:i/>
          <w:snapToGrid w:val="0"/>
          <w:color w:val="000000"/>
          <w:lang w:eastAsia="sv-SE"/>
        </w:rPr>
        <w:t>etableringsfrihet</w:t>
      </w:r>
      <w:r w:rsidRPr="00187C93">
        <w:rPr>
          <w:b/>
          <w:snapToGrid w:val="0"/>
          <w:color w:val="000000"/>
          <w:lang w:eastAsia="sv-SE"/>
        </w:rPr>
        <w:t xml:space="preserve"> </w:t>
      </w:r>
      <w:r w:rsidRPr="00187C93">
        <w:rPr>
          <w:snapToGrid w:val="0"/>
          <w:color w:val="000000"/>
          <w:lang w:eastAsia="sv-SE"/>
        </w:rPr>
        <w:t>bör genomföras inom sjukvården, utbil</w:t>
      </w:r>
      <w:r w:rsidRPr="00187C93">
        <w:rPr>
          <w:snapToGrid w:val="0"/>
          <w:color w:val="000000"/>
          <w:lang w:eastAsia="sv-SE"/>
        </w:rPr>
        <w:t>d</w:t>
      </w:r>
      <w:r w:rsidRPr="00187C93">
        <w:rPr>
          <w:snapToGrid w:val="0"/>
          <w:color w:val="000000"/>
          <w:lang w:eastAsia="sv-SE"/>
        </w:rPr>
        <w:t xml:space="preserve">ningen och omsorgsverksamheterna. </w:t>
      </w:r>
    </w:p>
    <w:p w:rsidR="00DB1B84" w:rsidRPr="00187C93" w:rsidRDefault="00DB1B84">
      <w:pPr>
        <w:pStyle w:val="Normaltindrag"/>
      </w:pPr>
      <w:r w:rsidRPr="00187C93">
        <w:rPr>
          <w:snapToGrid w:val="0"/>
          <w:lang w:eastAsia="sv-SE"/>
        </w:rPr>
        <w:t xml:space="preserve">Arbetsmarknaden bör reformeras med sikte på att skapa en större </w:t>
      </w:r>
      <w:r w:rsidRPr="00187C93">
        <w:rPr>
          <w:i/>
          <w:snapToGrid w:val="0"/>
          <w:lang w:eastAsia="sv-SE"/>
        </w:rPr>
        <w:t>flexibil</w:t>
      </w:r>
      <w:r w:rsidRPr="00187C93">
        <w:rPr>
          <w:i/>
          <w:snapToGrid w:val="0"/>
          <w:lang w:eastAsia="sv-SE"/>
        </w:rPr>
        <w:t>i</w:t>
      </w:r>
      <w:r w:rsidRPr="00187C93">
        <w:rPr>
          <w:i/>
          <w:snapToGrid w:val="0"/>
          <w:lang w:eastAsia="sv-SE"/>
        </w:rPr>
        <w:t>tet och en större mångfald av åtgärder</w:t>
      </w:r>
      <w:r w:rsidRPr="00187C93">
        <w:rPr>
          <w:b/>
          <w:snapToGrid w:val="0"/>
          <w:lang w:eastAsia="sv-SE"/>
        </w:rPr>
        <w:t xml:space="preserve"> </w:t>
      </w:r>
      <w:r w:rsidRPr="00187C93">
        <w:rPr>
          <w:snapToGrid w:val="0"/>
          <w:lang w:eastAsia="sv-SE"/>
        </w:rPr>
        <w:t xml:space="preserve">för att ge fler arbetslösa arbete. </w:t>
      </w:r>
      <w:r w:rsidRPr="00187C93">
        <w:rPr>
          <w:i/>
          <w:snapToGrid w:val="0"/>
          <w:lang w:eastAsia="sv-SE"/>
        </w:rPr>
        <w:t>A</w:t>
      </w:r>
      <w:r w:rsidRPr="00187C93">
        <w:rPr>
          <w:i/>
          <w:snapToGrid w:val="0"/>
          <w:lang w:eastAsia="sv-SE"/>
        </w:rPr>
        <w:t>r</w:t>
      </w:r>
      <w:r w:rsidRPr="00187C93">
        <w:rPr>
          <w:i/>
          <w:snapToGrid w:val="0"/>
          <w:lang w:eastAsia="sv-SE"/>
        </w:rPr>
        <w:t xml:space="preserve">betsrätten </w:t>
      </w:r>
      <w:r w:rsidRPr="00187C93">
        <w:rPr>
          <w:snapToGrid w:val="0"/>
          <w:lang w:eastAsia="sv-SE"/>
        </w:rPr>
        <w:t>bör göras mer individuell för att leva upp till en ny tids arbet</w:t>
      </w:r>
      <w:r w:rsidRPr="00187C93">
        <w:rPr>
          <w:snapToGrid w:val="0"/>
          <w:lang w:eastAsia="sv-SE"/>
        </w:rPr>
        <w:t>s</w:t>
      </w:r>
      <w:r w:rsidRPr="00187C93">
        <w:rPr>
          <w:snapToGrid w:val="0"/>
          <w:lang w:eastAsia="sv-SE"/>
        </w:rPr>
        <w:t>marknad och göra det lätt att anställa. Både socialförsäkringar och arbetslö</w:t>
      </w:r>
      <w:r w:rsidRPr="00187C93">
        <w:rPr>
          <w:snapToGrid w:val="0"/>
          <w:lang w:eastAsia="sv-SE"/>
        </w:rPr>
        <w:t>s</w:t>
      </w:r>
      <w:r w:rsidRPr="00187C93">
        <w:rPr>
          <w:snapToGrid w:val="0"/>
          <w:lang w:eastAsia="sv-SE"/>
        </w:rPr>
        <w:t>hetsförsäkringen skall vara utformade för att underlätta för människor att arbeta när de vill. Arbetslöshetsförsäkringen</w:t>
      </w:r>
      <w:r w:rsidRPr="00187C93">
        <w:rPr>
          <w:i/>
          <w:snapToGrid w:val="0"/>
          <w:lang w:eastAsia="sv-SE"/>
        </w:rPr>
        <w:t xml:space="preserve"> </w:t>
      </w:r>
      <w:r w:rsidRPr="00187C93">
        <w:rPr>
          <w:snapToGrid w:val="0"/>
          <w:lang w:eastAsia="sv-SE"/>
        </w:rPr>
        <w:t>skall vara allmän och obligat</w:t>
      </w:r>
      <w:r w:rsidRPr="00187C93">
        <w:rPr>
          <w:snapToGrid w:val="0"/>
          <w:lang w:eastAsia="sv-SE"/>
        </w:rPr>
        <w:t>o</w:t>
      </w:r>
      <w:r w:rsidRPr="00187C93">
        <w:rPr>
          <w:snapToGrid w:val="0"/>
          <w:lang w:eastAsia="sv-SE"/>
        </w:rPr>
        <w:t xml:space="preserve">risk och så utformad att den stimulerar och underlättar jobbsökande. </w:t>
      </w:r>
      <w:r w:rsidRPr="00187C93">
        <w:rPr>
          <w:i/>
          <w:snapToGrid w:val="0"/>
          <w:lang w:eastAsia="sv-SE"/>
        </w:rPr>
        <w:t xml:space="preserve">Privata arbetsförmedlingar och rekryteringsföretag </w:t>
      </w:r>
      <w:r w:rsidRPr="00187C93">
        <w:rPr>
          <w:snapToGrid w:val="0"/>
          <w:lang w:eastAsia="sv-SE"/>
        </w:rPr>
        <w:t>spe</w:t>
      </w:r>
      <w:r w:rsidRPr="00187C93">
        <w:rPr>
          <w:snapToGrid w:val="0"/>
          <w:lang w:eastAsia="sv-SE"/>
        </w:rPr>
        <w:t xml:space="preserve">lar en allt större roll i detta arbete. </w:t>
      </w:r>
      <w:r w:rsidRPr="00187C93">
        <w:rPr>
          <w:i/>
          <w:snapToGrid w:val="0"/>
          <w:lang w:eastAsia="sv-SE"/>
        </w:rPr>
        <w:t>Utbildningen för vuxna</w:t>
      </w:r>
      <w:r w:rsidRPr="00187C93">
        <w:rPr>
          <w:snapToGrid w:val="0"/>
          <w:lang w:eastAsia="sv-SE"/>
        </w:rPr>
        <w:t xml:space="preserve"> bör i större utsträckning återspegla den enski</w:t>
      </w:r>
      <w:r w:rsidRPr="00187C93">
        <w:rPr>
          <w:snapToGrid w:val="0"/>
          <w:lang w:eastAsia="sv-SE"/>
        </w:rPr>
        <w:t>l</w:t>
      </w:r>
      <w:r w:rsidRPr="00187C93">
        <w:rPr>
          <w:snapToGrid w:val="0"/>
          <w:lang w:eastAsia="sv-SE"/>
        </w:rPr>
        <w:t xml:space="preserve">des villkor och önskemål. Den kvalificerade yrkesutbildningen skall stå i fokus. </w:t>
      </w:r>
    </w:p>
    <w:p w:rsidR="00DB1B84" w:rsidRPr="00187C93" w:rsidRDefault="00DB1B84">
      <w:pPr>
        <w:spacing w:before="245"/>
      </w:pPr>
      <w:r w:rsidRPr="00187C93">
        <w:t>I motion Fi18 (yrk. 1 och 2, båda delvis) anför</w:t>
      </w:r>
      <w:r w:rsidRPr="00187C93">
        <w:rPr>
          <w:i/>
        </w:rPr>
        <w:t xml:space="preserve"> Kristdemokraterna</w:t>
      </w:r>
      <w:r w:rsidRPr="00187C93">
        <w:t xml:space="preserve"> följande om den allmänna inriktningen av politiken.</w:t>
      </w:r>
    </w:p>
    <w:p w:rsidR="00DB1B84" w:rsidRPr="00187C93" w:rsidRDefault="00DB1B84">
      <w:pPr>
        <w:pStyle w:val="Normaltindrag"/>
      </w:pPr>
      <w:r w:rsidRPr="00187C93">
        <w:t>Lönebildningen fungerar dåligt, liksom arbetsmarknadens funktionssätt, anser Kristdemokraterna, som pekar ut fyra s.k. tillväxtfällor på den svenska arbetsmarknaden i sin motion. Den första tillväxtfällan är den i internationell jämförelse låga andelen anställda inom den privata sektorn. Den andra til</w:t>
      </w:r>
      <w:r w:rsidRPr="00187C93">
        <w:t>l</w:t>
      </w:r>
      <w:r w:rsidRPr="00187C93">
        <w:t>växtfällan är den låga</w:t>
      </w:r>
      <w:r w:rsidRPr="00187C93">
        <w:rPr>
          <w:i/>
        </w:rPr>
        <w:t xml:space="preserve"> </w:t>
      </w:r>
      <w:r w:rsidRPr="00187C93">
        <w:t>rörligheten på arbetsmarknaden som resulterar i flas</w:t>
      </w:r>
      <w:r w:rsidRPr="00187C93">
        <w:t>k</w:t>
      </w:r>
      <w:r w:rsidRPr="00187C93">
        <w:t>halseffekter. Den tredje tillväxtfällan är det faktum att utbildning lönar sig dåligt</w:t>
      </w:r>
      <w:r w:rsidRPr="00187C93">
        <w:rPr>
          <w:i/>
        </w:rPr>
        <w:t xml:space="preserve"> </w:t>
      </w:r>
      <w:r w:rsidRPr="00187C93">
        <w:t>i Sverige. Den fjärde tillväxtfällan, slutligen, är de höga anställnings</w:t>
      </w:r>
      <w:r w:rsidRPr="00187C93">
        <w:softHyphen/>
        <w:t>trösklarna, både för företag och individer.</w:t>
      </w:r>
    </w:p>
    <w:p w:rsidR="00DB1B84" w:rsidRPr="00187C93" w:rsidRDefault="00DB1B84">
      <w:pPr>
        <w:pStyle w:val="Normaltindrag"/>
      </w:pPr>
      <w:r w:rsidRPr="00187C93">
        <w:t xml:space="preserve">Enligt Kristdemokraterna krävs det ett brett program för att bryta den höga totala arbetslösheten genom ökad sysselsättning. I ett sådant program ingår bl.a. strukturella förändringar av </w:t>
      </w:r>
      <w:r w:rsidRPr="00187C93">
        <w:rPr>
          <w:i/>
        </w:rPr>
        <w:t>skatterna</w:t>
      </w:r>
      <w:r w:rsidRPr="00187C93">
        <w:rPr>
          <w:b/>
        </w:rPr>
        <w:t xml:space="preserve"> </w:t>
      </w:r>
      <w:r w:rsidRPr="00187C93">
        <w:t>och ett sänkt skattetryck,</w:t>
      </w:r>
      <w:r w:rsidRPr="00187C93">
        <w:rPr>
          <w:b/>
        </w:rPr>
        <w:t xml:space="preserve"> </w:t>
      </w:r>
      <w:r w:rsidRPr="00187C93">
        <w:rPr>
          <w:i/>
        </w:rPr>
        <w:t>fören</w:t>
      </w:r>
      <w:r w:rsidRPr="00187C93">
        <w:rPr>
          <w:i/>
        </w:rPr>
        <w:t>k</w:t>
      </w:r>
      <w:r w:rsidRPr="00187C93">
        <w:rPr>
          <w:i/>
        </w:rPr>
        <w:t>lingar i regelverken för företagen,</w:t>
      </w:r>
      <w:r w:rsidRPr="00187C93">
        <w:t xml:space="preserve"> en modernisering av </w:t>
      </w:r>
      <w:r w:rsidRPr="00187C93">
        <w:rPr>
          <w:i/>
        </w:rPr>
        <w:t>arbetsrätten,</w:t>
      </w:r>
      <w:r w:rsidRPr="00187C93">
        <w:t xml:space="preserve"> ett e</w:t>
      </w:r>
      <w:r w:rsidRPr="00187C93">
        <w:t>f</w:t>
      </w:r>
      <w:r w:rsidRPr="00187C93">
        <w:t xml:space="preserve">fektivare rättsväsende samt en sundare konkurrenssituation genom krafttag mot skattefusk och ekonomisk brottslighet. En reformering av dagens </w:t>
      </w:r>
      <w:r w:rsidRPr="00187C93">
        <w:rPr>
          <w:i/>
        </w:rPr>
        <w:t>socia</w:t>
      </w:r>
      <w:r w:rsidRPr="00187C93">
        <w:rPr>
          <w:i/>
        </w:rPr>
        <w:t>l</w:t>
      </w:r>
      <w:r w:rsidRPr="00187C93">
        <w:rPr>
          <w:i/>
        </w:rPr>
        <w:t>försäkringssystem</w:t>
      </w:r>
      <w:r w:rsidRPr="00187C93">
        <w:t xml:space="preserve"> skall ge rätt incitament till arbete, samtidigt som en rimlig ekonomisk trygghet finns i oförutsedda eller opåverkbara situationer. </w:t>
      </w:r>
    </w:p>
    <w:p w:rsidR="00DB1B84" w:rsidRPr="00187C93" w:rsidRDefault="00DB1B84">
      <w:pPr>
        <w:pStyle w:val="Normaltindrag"/>
      </w:pPr>
      <w:r w:rsidRPr="00187C93">
        <w:t xml:space="preserve">Ett gynnsamt klimat för </w:t>
      </w:r>
      <w:r w:rsidRPr="00187C93">
        <w:rPr>
          <w:i/>
        </w:rPr>
        <w:t xml:space="preserve">små- och nyföretagande </w:t>
      </w:r>
      <w:r w:rsidRPr="00187C93">
        <w:t>är av största vikt i ka</w:t>
      </w:r>
      <w:r w:rsidRPr="00187C93">
        <w:t>m</w:t>
      </w:r>
      <w:r w:rsidRPr="00187C93">
        <w:t xml:space="preserve">pen mot den höga arbetslösheten. Bättre förutsättningar bör skapas så att kreativitet kan frigöras, så att människor vågar förverkliga sina affärsidéer, vågar ta språnget att starta eget, ta risker, utvidga och nyanställa. </w:t>
      </w:r>
    </w:p>
    <w:p w:rsidR="00DB1B84" w:rsidRPr="00187C93" w:rsidRDefault="00DB1B84">
      <w:pPr>
        <w:pStyle w:val="Normaltindrag"/>
      </w:pPr>
      <w:r w:rsidRPr="00187C93">
        <w:rPr>
          <w:i/>
        </w:rPr>
        <w:t>Lönebildningen</w:t>
      </w:r>
      <w:r w:rsidRPr="00187C93">
        <w:t xml:space="preserve"> bör främja utbildning, ansvarstagande och rörlighet på a</w:t>
      </w:r>
      <w:r w:rsidRPr="00187C93">
        <w:t>r</w:t>
      </w:r>
      <w:r w:rsidRPr="00187C93">
        <w:t>betsmarknaden. Staten skall inte avgöra vilka löneavtal som får träffas. Staten bör dock skapa spelregler som underlättar lönebildningen, ger ramar för ett gott förhandlingsklimat och skapar sådana incitament att t. ex. risken för ökad arbetslöshet tas med som en kostnad när avtal tecknas, liksom vinsten med en lägre arbetslöshet.</w:t>
      </w:r>
    </w:p>
    <w:p w:rsidR="00DB1B84" w:rsidRPr="00187C93" w:rsidRDefault="00DB1B84">
      <w:pPr>
        <w:pStyle w:val="Normaltindrag"/>
      </w:pPr>
      <w:r w:rsidRPr="00187C93">
        <w:t xml:space="preserve">Den moderna arbetsmarknaden präglas av ett större behov av </w:t>
      </w:r>
      <w:r w:rsidRPr="00187C93">
        <w:rPr>
          <w:i/>
        </w:rPr>
        <w:t>flexibilitet och ett allt större kunskapsbehov.</w:t>
      </w:r>
      <w:r w:rsidRPr="00187C93">
        <w:t xml:space="preserve"> De nuvarande </w:t>
      </w:r>
      <w:r w:rsidRPr="00187C93">
        <w:rPr>
          <w:i/>
        </w:rPr>
        <w:t xml:space="preserve">arbetsmarknadspolitiska åtgärderna </w:t>
      </w:r>
      <w:r w:rsidRPr="00187C93">
        <w:t>måste ses över och en bättre balans mellan tillgången på utbildad arbetskraft och arbetsmarknadens behov måste till. Det krävs ökade satsnin</w:t>
      </w:r>
      <w:r w:rsidRPr="00187C93">
        <w:t>g</w:t>
      </w:r>
      <w:r w:rsidRPr="00187C93">
        <w:t xml:space="preserve">ar på </w:t>
      </w:r>
      <w:r w:rsidRPr="00187C93">
        <w:rPr>
          <w:i/>
        </w:rPr>
        <w:t xml:space="preserve">kvalificerad yrkesutbildning och individuella handlingsplaner </w:t>
      </w:r>
      <w:r w:rsidRPr="00187C93">
        <w:t xml:space="preserve">som utgår från vilka förutsättningar den enskilde besitter. Ett nära </w:t>
      </w:r>
      <w:r w:rsidRPr="00187C93">
        <w:rPr>
          <w:i/>
        </w:rPr>
        <w:t>samarbete mellan näringslivet och arbetsförmedlingarna</w:t>
      </w:r>
      <w:r w:rsidRPr="00187C93">
        <w:rPr>
          <w:b/>
        </w:rPr>
        <w:t xml:space="preserve"> </w:t>
      </w:r>
      <w:r w:rsidRPr="00187C93">
        <w:t xml:space="preserve">behövs runt om i landet för att de arbetsmarknadspolitiska åtgärderna skall få den </w:t>
      </w:r>
      <w:r w:rsidRPr="00187C93">
        <w:t>genomslagskraft som efte</w:t>
      </w:r>
      <w:r w:rsidRPr="00187C93">
        <w:t>r</w:t>
      </w:r>
      <w:r w:rsidRPr="00187C93">
        <w:t xml:space="preserve">frågas bland företagen. </w:t>
      </w:r>
      <w:r w:rsidRPr="00187C93">
        <w:rPr>
          <w:i/>
        </w:rPr>
        <w:t>Bemanningsföretagen</w:t>
      </w:r>
      <w:r w:rsidRPr="00187C93">
        <w:rPr>
          <w:b/>
        </w:rPr>
        <w:t xml:space="preserve"> </w:t>
      </w:r>
      <w:r w:rsidRPr="00187C93">
        <w:t>är en resurs som måste utnyttjas fullt ut. En</w:t>
      </w:r>
      <w:r w:rsidRPr="00187C93">
        <w:rPr>
          <w:b/>
        </w:rPr>
        <w:t xml:space="preserve"> </w:t>
      </w:r>
      <w:r w:rsidRPr="00187C93">
        <w:rPr>
          <w:i/>
        </w:rPr>
        <w:t xml:space="preserve">lärlingsutbildning </w:t>
      </w:r>
      <w:r w:rsidRPr="00187C93">
        <w:t>bör införas både inom gymnasieskolans ram och som arbetsmarknadspolitisk åtgärd. Den nuvarande KY-utbildningen bör u</w:t>
      </w:r>
      <w:r w:rsidRPr="00187C93">
        <w:t>t</w:t>
      </w:r>
      <w:r w:rsidRPr="00187C93">
        <w:t xml:space="preserve">vecklas till en yrkesteknisk högskola. </w:t>
      </w:r>
    </w:p>
    <w:p w:rsidR="00DB1B84" w:rsidRPr="00187C93" w:rsidRDefault="00DB1B84">
      <w:pPr>
        <w:pStyle w:val="Normaltindrag"/>
      </w:pPr>
      <w:r w:rsidRPr="00187C93">
        <w:t>Kristdemokraterna föreslår följande för att förbättra arbetsmarknadens funktionssätt och uppnå en bättre balans i lönebildningsprocessen.</w:t>
      </w:r>
    </w:p>
    <w:p w:rsidR="00DB1B84" w:rsidRPr="00187C93" w:rsidRDefault="00DB1B84">
      <w:pPr>
        <w:numPr>
          <w:ilvl w:val="0"/>
          <w:numId w:val="18"/>
        </w:numPr>
        <w:rPr>
          <w:snapToGrid w:val="0"/>
          <w:lang w:eastAsia="sv-SE"/>
        </w:rPr>
      </w:pPr>
      <w:r w:rsidRPr="00187C93">
        <w:rPr>
          <w:snapToGrid w:val="0"/>
          <w:color w:val="000000"/>
          <w:lang w:eastAsia="sv-SE"/>
        </w:rPr>
        <w:t>De ekonomisk-politiska ramarna för lönebildningen</w:t>
      </w:r>
      <w:r w:rsidRPr="00187C93">
        <w:rPr>
          <w:b/>
          <w:snapToGrid w:val="0"/>
          <w:color w:val="000000"/>
          <w:lang w:eastAsia="sv-SE"/>
        </w:rPr>
        <w:t xml:space="preserve"> </w:t>
      </w:r>
      <w:r w:rsidRPr="00187C93">
        <w:rPr>
          <w:snapToGrid w:val="0"/>
          <w:color w:val="000000"/>
          <w:lang w:eastAsia="sv-SE"/>
        </w:rPr>
        <w:t>skall vara stabila och främja ett ansvarsfullt beteende hos parterna på arbetsmarknaden, de e</w:t>
      </w:r>
      <w:r w:rsidRPr="00187C93">
        <w:rPr>
          <w:snapToGrid w:val="0"/>
          <w:color w:val="000000"/>
          <w:lang w:eastAsia="sv-SE"/>
        </w:rPr>
        <w:t>n</w:t>
      </w:r>
      <w:r w:rsidRPr="00187C93">
        <w:rPr>
          <w:snapToGrid w:val="0"/>
          <w:color w:val="000000"/>
          <w:lang w:eastAsia="sv-SE"/>
        </w:rPr>
        <w:t xml:space="preserve">skilda företagen och de anställda. Statlig inkomstpolitik avvisas. Det </w:t>
      </w:r>
      <w:r w:rsidRPr="00187C93">
        <w:rPr>
          <w:i/>
          <w:snapToGrid w:val="0"/>
          <w:color w:val="000000"/>
          <w:lang w:eastAsia="sv-SE"/>
        </w:rPr>
        <w:t>medlingsinstitut</w:t>
      </w:r>
      <w:r w:rsidRPr="00187C93">
        <w:rPr>
          <w:snapToGrid w:val="0"/>
          <w:color w:val="000000"/>
          <w:lang w:eastAsia="sv-SE"/>
        </w:rPr>
        <w:t xml:space="preserve"> som inrättats måste arbeta utifrån detta perspektiv. </w:t>
      </w:r>
      <w:r w:rsidRPr="00187C93">
        <w:rPr>
          <w:snapToGrid w:val="0"/>
          <w:lang w:eastAsia="sv-SE"/>
        </w:rPr>
        <w:t>A</w:t>
      </w:r>
      <w:r w:rsidRPr="00187C93">
        <w:rPr>
          <w:snapToGrid w:val="0"/>
          <w:lang w:eastAsia="sv-SE"/>
        </w:rPr>
        <w:t>r</w:t>
      </w:r>
      <w:r w:rsidRPr="00187C93">
        <w:rPr>
          <w:snapToGrid w:val="0"/>
          <w:lang w:eastAsia="sv-SE"/>
        </w:rPr>
        <w:t xml:space="preserve">betsmarknadens parter bör eftersträva ökad flexibilitet vad gäller </w:t>
      </w:r>
      <w:r w:rsidRPr="00187C93">
        <w:rPr>
          <w:i/>
          <w:snapToGrid w:val="0"/>
          <w:lang w:eastAsia="sv-SE"/>
        </w:rPr>
        <w:t>lön</w:t>
      </w:r>
      <w:r w:rsidRPr="00187C93">
        <w:rPr>
          <w:i/>
          <w:snapToGrid w:val="0"/>
          <w:lang w:eastAsia="sv-SE"/>
        </w:rPr>
        <w:t>e</w:t>
      </w:r>
      <w:r w:rsidRPr="00187C93">
        <w:rPr>
          <w:i/>
          <w:snapToGrid w:val="0"/>
          <w:lang w:eastAsia="sv-SE"/>
        </w:rPr>
        <w:t>bildning för ungdom</w:t>
      </w:r>
      <w:r w:rsidRPr="00187C93">
        <w:rPr>
          <w:snapToGrid w:val="0"/>
          <w:lang w:eastAsia="sv-SE"/>
        </w:rPr>
        <w:t>. Lägre ingångslöner inom vissa branscher kan vara ett verksamt sätt att få fler unga i arbete. Detta bör i första hand lösas avtalsvägen.</w:t>
      </w:r>
    </w:p>
    <w:p w:rsidR="00DB1B84" w:rsidRPr="00187C93" w:rsidRDefault="00DB1B84">
      <w:pPr>
        <w:numPr>
          <w:ilvl w:val="0"/>
          <w:numId w:val="13"/>
        </w:numPr>
        <w:rPr>
          <w:snapToGrid w:val="0"/>
          <w:lang w:eastAsia="sv-SE"/>
        </w:rPr>
      </w:pPr>
      <w:r w:rsidRPr="00187C93">
        <w:rPr>
          <w:snapToGrid w:val="0"/>
          <w:lang w:eastAsia="sv-SE"/>
        </w:rPr>
        <w:t>För att uppmuntra arbete, utbildning, kompete</w:t>
      </w:r>
      <w:r w:rsidRPr="00187C93">
        <w:rPr>
          <w:snapToGrid w:val="0"/>
          <w:lang w:eastAsia="sv-SE"/>
        </w:rPr>
        <w:t xml:space="preserve">nsutveckling och ökat ansvarstagande måste </w:t>
      </w:r>
      <w:r w:rsidRPr="00187C93">
        <w:rPr>
          <w:i/>
          <w:snapToGrid w:val="0"/>
          <w:lang w:eastAsia="sv-SE"/>
        </w:rPr>
        <w:t xml:space="preserve">skatten på arbete </w:t>
      </w:r>
      <w:r w:rsidRPr="00187C93">
        <w:rPr>
          <w:snapToGrid w:val="0"/>
          <w:lang w:eastAsia="sv-SE"/>
        </w:rPr>
        <w:t>sänkas för alla, genom höjt grundavdrag och/eller förvärvsavdrag. Marginalskatterna och olika fo</w:t>
      </w:r>
      <w:r w:rsidRPr="00187C93">
        <w:rPr>
          <w:snapToGrid w:val="0"/>
          <w:lang w:eastAsia="sv-SE"/>
        </w:rPr>
        <w:t>r</w:t>
      </w:r>
      <w:r w:rsidRPr="00187C93">
        <w:rPr>
          <w:snapToGrid w:val="0"/>
          <w:lang w:eastAsia="sv-SE"/>
        </w:rPr>
        <w:t>mer av marginaleffekter måste hållas nere. Marginalskatten skall vara maximalt 50 %.</w:t>
      </w:r>
    </w:p>
    <w:p w:rsidR="00DB1B84" w:rsidRPr="00187C93" w:rsidRDefault="00DB1B84">
      <w:pPr>
        <w:numPr>
          <w:ilvl w:val="0"/>
          <w:numId w:val="14"/>
        </w:numPr>
      </w:pPr>
      <w:r w:rsidRPr="00187C93">
        <w:t>För att</w:t>
      </w:r>
      <w:r w:rsidRPr="00187C93">
        <w:rPr>
          <w:i/>
        </w:rPr>
        <w:t xml:space="preserve"> utbildning skall premieras</w:t>
      </w:r>
      <w:r w:rsidRPr="00187C93">
        <w:t xml:space="preserve"> bättre och </w:t>
      </w:r>
      <w:r w:rsidRPr="00187C93">
        <w:rPr>
          <w:i/>
        </w:rPr>
        <w:t>bristyrken</w:t>
      </w:r>
      <w:r w:rsidRPr="00187C93">
        <w:t xml:space="preserve"> skall kunna locka till sig arbetskraft måste lönebildningen ge utrymme för en bättre löneu</w:t>
      </w:r>
      <w:r w:rsidRPr="00187C93">
        <w:t>t</w:t>
      </w:r>
      <w:r w:rsidRPr="00187C93">
        <w:t>veckling inom dessa yrken än hittills. Därmed kan också ökade möjli</w:t>
      </w:r>
      <w:r w:rsidRPr="00187C93">
        <w:t>g</w:t>
      </w:r>
      <w:r w:rsidRPr="00187C93">
        <w:t>heter skapas för tillkomst av arbeten inom branscher med relativt låga ingångslöner. Fler sådana arbeten ökar möjligheten för många att komma in på arbetsmarknaden. Skattesänkningar för låginkomsttagare kan u</w:t>
      </w:r>
      <w:r w:rsidRPr="00187C93">
        <w:t>n</w:t>
      </w:r>
      <w:r w:rsidRPr="00187C93">
        <w:t>derlätta en sådan process.</w:t>
      </w:r>
    </w:p>
    <w:p w:rsidR="00DB1B84" w:rsidRPr="00187C93" w:rsidRDefault="00DB1B84">
      <w:pPr>
        <w:numPr>
          <w:ilvl w:val="0"/>
          <w:numId w:val="15"/>
        </w:numPr>
      </w:pPr>
      <w:r w:rsidRPr="00187C93">
        <w:t>Kostnaderna för arbetslösheten bör synliggöras genom en högre egenf</w:t>
      </w:r>
      <w:r w:rsidRPr="00187C93">
        <w:t>i</w:t>
      </w:r>
      <w:r w:rsidRPr="00187C93">
        <w:t xml:space="preserve">nansiering av en allmän och obligatorisk </w:t>
      </w:r>
      <w:r w:rsidRPr="00187C93">
        <w:rPr>
          <w:i/>
        </w:rPr>
        <w:t xml:space="preserve">arbetslöshetsförsäkring. </w:t>
      </w:r>
      <w:r w:rsidRPr="00187C93">
        <w:t>Ege</w:t>
      </w:r>
      <w:r w:rsidRPr="00187C93">
        <w:t>n</w:t>
      </w:r>
      <w:r w:rsidRPr="00187C93">
        <w:t>finansieringen bör uppgå till 33 % och kompenseras fullt ut för den e</w:t>
      </w:r>
      <w:r w:rsidRPr="00187C93">
        <w:t>n</w:t>
      </w:r>
      <w:r w:rsidRPr="00187C93">
        <w:t xml:space="preserve">skilde genom en generell höjning av grundavdraget. </w:t>
      </w:r>
    </w:p>
    <w:p w:rsidR="00DB1B84" w:rsidRPr="00187C93" w:rsidRDefault="00DB1B84">
      <w:pPr>
        <w:numPr>
          <w:ilvl w:val="0"/>
          <w:numId w:val="16"/>
        </w:numPr>
        <w:rPr>
          <w:snapToGrid w:val="0"/>
          <w:lang w:eastAsia="sv-SE"/>
        </w:rPr>
      </w:pPr>
      <w:r w:rsidRPr="00187C93">
        <w:rPr>
          <w:i/>
          <w:snapToGrid w:val="0"/>
          <w:lang w:eastAsia="sv-SE"/>
        </w:rPr>
        <w:t>Varseltiden för strejkåtgärder</w:t>
      </w:r>
      <w:r w:rsidRPr="00187C93">
        <w:rPr>
          <w:snapToGrid w:val="0"/>
          <w:lang w:eastAsia="sv-SE"/>
        </w:rPr>
        <w:t xml:space="preserve"> bör förlängas från 7 till 14 dagar. Me</w:t>
      </w:r>
      <w:r w:rsidRPr="00187C93">
        <w:rPr>
          <w:snapToGrid w:val="0"/>
          <w:lang w:eastAsia="sv-SE"/>
        </w:rPr>
        <w:t>d</w:t>
      </w:r>
      <w:r w:rsidRPr="00187C93">
        <w:rPr>
          <w:snapToGrid w:val="0"/>
          <w:lang w:eastAsia="sv-SE"/>
        </w:rPr>
        <w:t>lingsinstitutet bör kunna skjuta upp varslade stridsåtgärder i 14 dagar.</w:t>
      </w:r>
    </w:p>
    <w:p w:rsidR="00DB1B84" w:rsidRPr="00187C93" w:rsidRDefault="00DB1B84">
      <w:pPr>
        <w:numPr>
          <w:ilvl w:val="0"/>
          <w:numId w:val="17"/>
        </w:numPr>
        <w:rPr>
          <w:snapToGrid w:val="0"/>
          <w:lang w:eastAsia="sv-SE"/>
        </w:rPr>
      </w:pPr>
      <w:r w:rsidRPr="00187C93">
        <w:rPr>
          <w:rFonts w:ascii="Symbol" w:hAnsi="Symbol"/>
          <w:snapToGrid w:val="0"/>
          <w:lang w:eastAsia="sv-SE"/>
        </w:rPr>
        <w:t></w:t>
      </w:r>
      <w:r w:rsidRPr="00187C93">
        <w:rPr>
          <w:snapToGrid w:val="0"/>
          <w:lang w:eastAsia="sv-SE"/>
        </w:rPr>
        <w:t xml:space="preserve">öjlighet för </w:t>
      </w:r>
      <w:r w:rsidRPr="00187C93">
        <w:rPr>
          <w:i/>
          <w:snapToGrid w:val="0"/>
          <w:lang w:eastAsia="sv-SE"/>
        </w:rPr>
        <w:t>enskilda löntagare att sluta avtal med arbetsgivare</w:t>
      </w:r>
      <w:r w:rsidRPr="00187C93">
        <w:rPr>
          <w:snapToGrid w:val="0"/>
          <w:lang w:eastAsia="sv-SE"/>
        </w:rPr>
        <w:t xml:space="preserve"> utan hänsyn till gällande kollektivavtal bör utredas. Riskerna för att enskilda arbetstagare utnyttjas otillbörligt genom att hamna i en underlägsen p</w:t>
      </w:r>
      <w:r w:rsidRPr="00187C93">
        <w:rPr>
          <w:snapToGrid w:val="0"/>
          <w:lang w:eastAsia="sv-SE"/>
        </w:rPr>
        <w:t>o</w:t>
      </w:r>
      <w:r w:rsidRPr="00187C93">
        <w:rPr>
          <w:snapToGrid w:val="0"/>
          <w:lang w:eastAsia="sv-SE"/>
        </w:rPr>
        <w:t>sition, exempelvis vid hög arbetslöshet</w:t>
      </w:r>
      <w:r w:rsidRPr="00187C93">
        <w:rPr>
          <w:snapToGrid w:val="0"/>
          <w:lang w:eastAsia="sv-SE"/>
        </w:rPr>
        <w:t>, måste beaktas i denna översyn.</w:t>
      </w:r>
    </w:p>
    <w:p w:rsidR="00DB1B84" w:rsidRPr="00187C93" w:rsidRDefault="00DB1B84">
      <w:pPr>
        <w:numPr>
          <w:ilvl w:val="0"/>
          <w:numId w:val="19"/>
        </w:numPr>
        <w:rPr>
          <w:snapToGrid w:val="0"/>
          <w:lang w:eastAsia="sv-SE"/>
        </w:rPr>
      </w:pPr>
      <w:r w:rsidRPr="00187C93">
        <w:rPr>
          <w:i/>
          <w:snapToGrid w:val="0"/>
          <w:lang w:eastAsia="sv-SE"/>
        </w:rPr>
        <w:t>Vinstdelningssystem</w:t>
      </w:r>
      <w:r w:rsidRPr="00187C93">
        <w:rPr>
          <w:snapToGrid w:val="0"/>
          <w:lang w:eastAsia="sv-SE"/>
        </w:rPr>
        <w:t xml:space="preserve"> för de anställda kan med fördel utgöra en del i den framtida lönebildningen. Ett sådant system skapar en god och flexibel koppling mellan företagens resultat och de anställdas ersättningar. </w:t>
      </w:r>
    </w:p>
    <w:p w:rsidR="00DB1B84" w:rsidRPr="00187C93" w:rsidRDefault="00DB1B84">
      <w:pPr>
        <w:numPr>
          <w:ilvl w:val="0"/>
          <w:numId w:val="20"/>
        </w:numPr>
      </w:pPr>
      <w:r w:rsidRPr="00187C93">
        <w:t xml:space="preserve">Prioritet måste ges åt att åtgärda bristyrken genom </w:t>
      </w:r>
      <w:r w:rsidRPr="00187C93">
        <w:rPr>
          <w:i/>
        </w:rPr>
        <w:t>kvalificerad arbet</w:t>
      </w:r>
      <w:r w:rsidRPr="00187C93">
        <w:rPr>
          <w:i/>
        </w:rPr>
        <w:t>s</w:t>
      </w:r>
      <w:r w:rsidRPr="00187C93">
        <w:rPr>
          <w:i/>
        </w:rPr>
        <w:t>marknadsutbildning.</w:t>
      </w:r>
      <w:r w:rsidRPr="00187C93">
        <w:t xml:space="preserve"> Antalet</w:t>
      </w:r>
      <w:r w:rsidRPr="00187C93">
        <w:rPr>
          <w:b/>
        </w:rPr>
        <w:t xml:space="preserve"> </w:t>
      </w:r>
      <w:r w:rsidRPr="00187C93">
        <w:t>arbetsmarknadspolitiska åtgärder</w:t>
      </w:r>
      <w:r w:rsidRPr="00187C93">
        <w:rPr>
          <w:b/>
        </w:rPr>
        <w:t xml:space="preserve"> </w:t>
      </w:r>
      <w:r w:rsidRPr="00187C93">
        <w:t>bör min</w:t>
      </w:r>
      <w:r w:rsidRPr="00187C93">
        <w:t>s</w:t>
      </w:r>
      <w:r w:rsidRPr="00187C93">
        <w:t>kas och regelverket kring åtgärderna förenklas.</w:t>
      </w:r>
    </w:p>
    <w:p w:rsidR="00DB1B84" w:rsidRPr="00187C93" w:rsidRDefault="00DB1B84">
      <w:pPr>
        <w:spacing w:before="245"/>
      </w:pPr>
      <w:r w:rsidRPr="00187C93">
        <w:rPr>
          <w:i/>
        </w:rPr>
        <w:t>Centerpartiet,</w:t>
      </w:r>
      <w:r w:rsidRPr="00187C93">
        <w:t xml:space="preserve"> tecknar sin syn på inriktningen av politiken i motion Fi19 (yrk. 1, 7, 9 och 10, alla delvis).</w:t>
      </w:r>
    </w:p>
    <w:p w:rsidR="00DB1B84" w:rsidRPr="00187C93" w:rsidRDefault="00DB1B84">
      <w:pPr>
        <w:pStyle w:val="Normaltindrag"/>
        <w:rPr>
          <w:i/>
        </w:rPr>
      </w:pPr>
      <w:r w:rsidRPr="00187C93">
        <w:t>Enligt Centerpartiet måste fler människor i landet stimuleras till och ges möjlighet att arbeta, så att de kan försörja sig själva och sin familj. Fler i arbete</w:t>
      </w:r>
      <w:r w:rsidRPr="00187C93">
        <w:rPr>
          <w:b/>
        </w:rPr>
        <w:t xml:space="preserve"> </w:t>
      </w:r>
      <w:r w:rsidRPr="00187C93">
        <w:t xml:space="preserve">är också en förutsättning för uthållig tillväxt och framtida välfärd. Det måste vara </w:t>
      </w:r>
      <w:r w:rsidRPr="00187C93">
        <w:rPr>
          <w:i/>
        </w:rPr>
        <w:t xml:space="preserve">lönsamt att arbeta. </w:t>
      </w:r>
    </w:p>
    <w:p w:rsidR="00DB1B84" w:rsidRPr="00187C93" w:rsidRDefault="00DB1B84">
      <w:pPr>
        <w:pStyle w:val="Normaltindrag"/>
      </w:pPr>
      <w:r w:rsidRPr="00187C93">
        <w:t xml:space="preserve">Alltför många människor har inte fått möjlighet att erhålla arbete under den tid som den ekonomiska utvecklingen i landet har varit positiv. En stor del av dessa bor i regioner och områden där arbetslösheten uppgår till 10 % av arbetskraften eller mer. Detta ökar </w:t>
      </w:r>
      <w:r w:rsidRPr="00187C93">
        <w:rPr>
          <w:i/>
        </w:rPr>
        <w:t>den sociala och regionala klyvningen</w:t>
      </w:r>
      <w:r w:rsidRPr="00187C93">
        <w:t xml:space="preserve"> i landet. Nuvarande arbetsmarknadspolitik har också misslyckats vad gäller </w:t>
      </w:r>
      <w:r w:rsidRPr="00187C93">
        <w:rPr>
          <w:i/>
        </w:rPr>
        <w:t xml:space="preserve">de nya svenskarna, </w:t>
      </w:r>
      <w:r w:rsidRPr="00187C93">
        <w:t>vilket ökar den sociala klyvningen och förstärker behovet av en reformerad arbetsmarknadspolitik.</w:t>
      </w:r>
    </w:p>
    <w:p w:rsidR="00DB1B84" w:rsidRPr="00187C93" w:rsidRDefault="00DB1B84">
      <w:pPr>
        <w:pStyle w:val="Normaltindrag"/>
      </w:pPr>
      <w:r w:rsidRPr="00187C93">
        <w:t>Centerpartiet föreslår en förnyad och decentraliserad arbetsmarknadspol</w:t>
      </w:r>
      <w:r w:rsidRPr="00187C93">
        <w:t>i</w:t>
      </w:r>
      <w:r w:rsidRPr="00187C93">
        <w:t>tik som bygger på tre spår.</w:t>
      </w:r>
    </w:p>
    <w:p w:rsidR="00DB1B84" w:rsidRPr="00187C93" w:rsidRDefault="00DB1B84">
      <w:pPr>
        <w:numPr>
          <w:ilvl w:val="0"/>
          <w:numId w:val="22"/>
        </w:numPr>
      </w:pPr>
      <w:r w:rsidRPr="00187C93">
        <w:t xml:space="preserve">En </w:t>
      </w:r>
      <w:r w:rsidRPr="00187C93">
        <w:rPr>
          <w:i/>
        </w:rPr>
        <w:t xml:space="preserve">utbildningsgaranti </w:t>
      </w:r>
      <w:r w:rsidRPr="00187C93">
        <w:t>som syftar till att ge alla, både arbetslösa och förvärvsarbetande, möjlighet att komplettera en tidigare kort utbildning upp till motsvarande gymnasienivå.</w:t>
      </w:r>
    </w:p>
    <w:p w:rsidR="00DB1B84" w:rsidRPr="00187C93" w:rsidRDefault="00DB1B84">
      <w:pPr>
        <w:numPr>
          <w:ilvl w:val="0"/>
          <w:numId w:val="22"/>
        </w:numPr>
        <w:rPr>
          <w:i/>
        </w:rPr>
      </w:pPr>
      <w:r w:rsidRPr="00187C93">
        <w:t xml:space="preserve">En utfasning av volyminriktade åtgärder som syftar till att pressa ned den öppna arbetslösheten och lägga större vikt vid </w:t>
      </w:r>
      <w:r w:rsidRPr="00187C93">
        <w:rPr>
          <w:i/>
        </w:rPr>
        <w:t>meningsfulla yrkesinrikt</w:t>
      </w:r>
      <w:r w:rsidRPr="00187C93">
        <w:rPr>
          <w:i/>
        </w:rPr>
        <w:t>a</w:t>
      </w:r>
      <w:r w:rsidRPr="00187C93">
        <w:rPr>
          <w:i/>
        </w:rPr>
        <w:t>de utbildningar.</w:t>
      </w:r>
    </w:p>
    <w:p w:rsidR="00DB1B84" w:rsidRPr="00187C93" w:rsidRDefault="00DB1B84">
      <w:pPr>
        <w:numPr>
          <w:ilvl w:val="0"/>
          <w:numId w:val="22"/>
        </w:numPr>
      </w:pPr>
      <w:r w:rsidRPr="00187C93">
        <w:t xml:space="preserve">Inrättande av </w:t>
      </w:r>
      <w:r w:rsidRPr="00187C93">
        <w:rPr>
          <w:i/>
        </w:rPr>
        <w:t>övergångsarbetsmarknade</w:t>
      </w:r>
      <w:r w:rsidRPr="00187C93">
        <w:t>r för människor som har svårt att komma in på den reguljära arbetsmarknaden. På dessa arbetsmarknader skall arbetskraften vara billigare genom en återföring av arbetsgivara</w:t>
      </w:r>
      <w:r w:rsidRPr="00187C93">
        <w:t>v</w:t>
      </w:r>
      <w:r w:rsidRPr="00187C93">
        <w:t>gifter.</w:t>
      </w:r>
    </w:p>
    <w:p w:rsidR="00DB1B84" w:rsidRPr="00187C93" w:rsidRDefault="00DB1B84">
      <w:r w:rsidRPr="00187C93">
        <w:t xml:space="preserve">Centerpartiet är kritiskt till regeringens förslag om en höjning av taket i </w:t>
      </w:r>
      <w:r w:rsidRPr="00187C93">
        <w:rPr>
          <w:i/>
        </w:rPr>
        <w:t>a</w:t>
      </w:r>
      <w:r w:rsidRPr="00187C93">
        <w:rPr>
          <w:i/>
        </w:rPr>
        <w:t>r</w:t>
      </w:r>
      <w:r w:rsidRPr="00187C93">
        <w:rPr>
          <w:i/>
        </w:rPr>
        <w:t>betslöshetsförsäkringen</w:t>
      </w:r>
      <w:r w:rsidRPr="00187C93">
        <w:rPr>
          <w:b/>
        </w:rPr>
        <w:t>.</w:t>
      </w:r>
      <w:r w:rsidRPr="00187C93">
        <w:t xml:space="preserve"> Resurser som avsatts i budgeten för en sådan höjning bör i stället, anser partiet, användas till att öka möjligheterna för arbetslösa att få arbete. Däremot kan partiet ansluta sig till förslaget att höja den lägsta ersättningsnivån i a-kassan. Arbetslöshetsförsäkringens karaktär av omstäl</w:t>
      </w:r>
      <w:r w:rsidRPr="00187C93">
        <w:t>l</w:t>
      </w:r>
      <w:r w:rsidRPr="00187C93">
        <w:t>ningsförsäkring bör göras tydligare genom en successiv avtrappning av e</w:t>
      </w:r>
      <w:r w:rsidRPr="00187C93">
        <w:t>r</w:t>
      </w:r>
      <w:r w:rsidRPr="00187C93">
        <w:t>sättningsnivån. Ersättningen bör vara 80 % av inkomsten under de första 200 dagarna för att sedan minska. Ersättningsperio</w:t>
      </w:r>
      <w:r w:rsidRPr="00187C93">
        <w:t xml:space="preserve">den bör vara maximalt 600 dagar varefter en lägre permanent ersättning ges. </w:t>
      </w:r>
    </w:p>
    <w:p w:rsidR="00DB1B84" w:rsidRPr="00187C93" w:rsidRDefault="00DB1B84">
      <w:pPr>
        <w:pStyle w:val="Normaltindrag"/>
      </w:pPr>
      <w:r w:rsidRPr="00187C93">
        <w:t xml:space="preserve">Möjligheterna för både kvinnor och män att </w:t>
      </w:r>
      <w:r w:rsidRPr="00187C93">
        <w:rPr>
          <w:i/>
        </w:rPr>
        <w:t xml:space="preserve">kombinera föräldraskap med förvärvsarbete och karriär </w:t>
      </w:r>
      <w:r w:rsidRPr="00187C93">
        <w:t>bör förbättras. En sådan möjlighet ger ökad li</w:t>
      </w:r>
      <w:r w:rsidRPr="00187C93">
        <w:t>v</w:t>
      </w:r>
      <w:r w:rsidRPr="00187C93">
        <w:t>s</w:t>
      </w:r>
      <w:r w:rsidRPr="00187C93">
        <w:softHyphen/>
        <w:t>kvalitet och ett ökat självbestämmande för arbetstagaren. Centerpartiet för</w:t>
      </w:r>
      <w:r w:rsidRPr="00187C93">
        <w:t>e</w:t>
      </w:r>
      <w:r w:rsidRPr="00187C93">
        <w:t>slår ett nytt familjestöd i form av ett barnomsorgskonto, lika för alla, avdrag för styrkta barnomsorgskostnader samt en skattereform som sänker skatterna för människor med låga och normala inkomster.</w:t>
      </w:r>
    </w:p>
    <w:p w:rsidR="00DB1B84" w:rsidRPr="00187C93" w:rsidRDefault="00DB1B84">
      <w:pPr>
        <w:pStyle w:val="Normaltindrag"/>
      </w:pPr>
      <w:r w:rsidRPr="00187C93">
        <w:t xml:space="preserve">Sjukskrivningar och </w:t>
      </w:r>
      <w:r w:rsidRPr="00187C93">
        <w:rPr>
          <w:i/>
        </w:rPr>
        <w:t xml:space="preserve">ohälsa i arbete </w:t>
      </w:r>
      <w:r w:rsidRPr="00187C93">
        <w:t>har blivit en verklighet för alla yrke</w:t>
      </w:r>
      <w:r w:rsidRPr="00187C93">
        <w:t>s</w:t>
      </w:r>
      <w:r w:rsidRPr="00187C93">
        <w:t>grupper. Det förebyggande arbetet mot ohälsa bör inriktas mer mot den e</w:t>
      </w:r>
      <w:r w:rsidRPr="00187C93">
        <w:t>n</w:t>
      </w:r>
      <w:r w:rsidRPr="00187C93">
        <w:t>skilde arbetstagaren. Ohälsa kan förebyggas genom kompetens och ku</w:t>
      </w:r>
      <w:r w:rsidRPr="00187C93">
        <w:t>n</w:t>
      </w:r>
      <w:r w:rsidRPr="00187C93">
        <w:t>skapsutveckling och nyttjande av tekniska hjälpmedel. Företagen bör ges incitament att i större utsträckning arbeta för att förbättra arbetsmiljön på de arbetsplatser och i de yrkesgrupper där ohälsa är vanligt förekommande.</w:t>
      </w:r>
    </w:p>
    <w:p w:rsidR="00DB1B84" w:rsidRPr="00187C93" w:rsidRDefault="00DB1B84">
      <w:pPr>
        <w:pStyle w:val="Normaltindrag"/>
      </w:pPr>
      <w:r w:rsidRPr="00187C93">
        <w:t xml:space="preserve">Centerpartiet efterlyser ett fungerande system för </w:t>
      </w:r>
      <w:r w:rsidRPr="00187C93">
        <w:rPr>
          <w:i/>
        </w:rPr>
        <w:t>det livslånga lärandet</w:t>
      </w:r>
      <w:r w:rsidRPr="00187C93">
        <w:t>.</w:t>
      </w:r>
      <w:r w:rsidRPr="00187C93">
        <w:rPr>
          <w:i/>
        </w:rPr>
        <w:t xml:space="preserve"> </w:t>
      </w:r>
      <w:r w:rsidRPr="00187C93">
        <w:t>Omskolning och vidareutbildning är avgörande för enskilda människor som riskerar att marginaliseras på den moderna arbetsmarknaden liksom för sa</w:t>
      </w:r>
      <w:r w:rsidRPr="00187C93">
        <w:t>m</w:t>
      </w:r>
      <w:r w:rsidRPr="00187C93">
        <w:t>hället i dess helhet. Ett system med individuella kompetenskonton förordas där insättningar gynnas skattemässigt. Enskilda personer kan då spara till egen kompetensutveckling, eventuellt tillsammans med arbetsgivaren. Staten bör ha en utjämnande roll för dem som har låga löner eller saknar möjlighet att göra avsättningar. Kontona bör vara öp</w:t>
      </w:r>
      <w:r w:rsidRPr="00187C93">
        <w:t>pna för egenföretagare.</w:t>
      </w:r>
    </w:p>
    <w:p w:rsidR="00DB1B84" w:rsidRPr="00187C93" w:rsidRDefault="00DB1B84">
      <w:pPr>
        <w:pStyle w:val="Normaltindrag"/>
      </w:pPr>
      <w:r w:rsidRPr="00187C93">
        <w:t>En inkomstskattereform bör genomföras så att det</w:t>
      </w:r>
      <w:r w:rsidRPr="00187C93">
        <w:rPr>
          <w:b/>
        </w:rPr>
        <w:t xml:space="preserve"> </w:t>
      </w:r>
      <w:r w:rsidRPr="00187C93">
        <w:rPr>
          <w:i/>
        </w:rPr>
        <w:t>lönar sig för människor som är bidragsberoende att ta ett arbete.</w:t>
      </w:r>
      <w:r w:rsidRPr="00187C93">
        <w:t xml:space="preserve"> Förslaget innebär kraftigt </w:t>
      </w:r>
      <w:r w:rsidRPr="00187C93">
        <w:rPr>
          <w:i/>
        </w:rPr>
        <w:t>sänkt skatt för låg- och medelinkomsttagare.</w:t>
      </w:r>
      <w:r w:rsidRPr="00187C93">
        <w:t xml:space="preserve"> Centerpartiet föreslår en inkomstskatter</w:t>
      </w:r>
      <w:r w:rsidRPr="00187C93">
        <w:t>e</w:t>
      </w:r>
      <w:r w:rsidRPr="00187C93">
        <w:t>form som bör genomföras stegvis fram till år 2003. En skatterabatt bör ges till alla på 10 000 kr och en extra skatterabatt föreslås för arbetsinkomster om maximalt 10 800 kr, i syfte att stimulera arbete och företagande. Grundavdr</w:t>
      </w:r>
      <w:r w:rsidRPr="00187C93">
        <w:t>a</w:t>
      </w:r>
      <w:r w:rsidRPr="00187C93">
        <w:t>get slopas helt och egenavgifterna görs avdragsgilla.</w:t>
      </w:r>
    </w:p>
    <w:p w:rsidR="00DB1B84" w:rsidRPr="00187C93" w:rsidRDefault="00DB1B84">
      <w:pPr>
        <w:pStyle w:val="Normaltindrag"/>
      </w:pPr>
      <w:r w:rsidRPr="00187C93">
        <w:t xml:space="preserve">Ett </w:t>
      </w:r>
      <w:r w:rsidRPr="00187C93">
        <w:rPr>
          <w:i/>
        </w:rPr>
        <w:t>bra företagsklimat</w:t>
      </w:r>
      <w:r w:rsidRPr="00187C93">
        <w:rPr>
          <w:b/>
        </w:rPr>
        <w:t xml:space="preserve"> </w:t>
      </w:r>
      <w:r w:rsidRPr="00187C93">
        <w:t>leder till att fler företag startas och att befintliga f</w:t>
      </w:r>
      <w:r w:rsidRPr="00187C93">
        <w:t>ö</w:t>
      </w:r>
      <w:r w:rsidRPr="00187C93">
        <w:t>retag ges möjlighet att växa. Sysselsättningen ökar då och välfärden kan även fortsättningsvis garanteras. Särskilda insatser bör göras för att uppmuntra kvinnor att starta företag.</w:t>
      </w:r>
    </w:p>
    <w:p w:rsidR="00DB1B84" w:rsidRPr="00187C93" w:rsidRDefault="00DB1B84">
      <w:pPr>
        <w:spacing w:before="245"/>
      </w:pPr>
      <w:r w:rsidRPr="00187C93">
        <w:rPr>
          <w:i/>
        </w:rPr>
        <w:t>Folkpartiet</w:t>
      </w:r>
      <w:r w:rsidRPr="00187C93">
        <w:t xml:space="preserve"> lämnar sitt förslag till allmän inriktning av politiken i motion Fi20 (yrk. 1, 8, 9, 11, 13, 19 och 21, alla delvis) som inbegriper en rad nya refo</w:t>
      </w:r>
      <w:r w:rsidRPr="00187C93">
        <w:t>r</w:t>
      </w:r>
      <w:r w:rsidRPr="00187C93">
        <w:t xml:space="preserve">mer på vitt skilda politikområden. Målen för reformerna är bl.a. att </w:t>
      </w:r>
      <w:r w:rsidRPr="00187C93">
        <w:rPr>
          <w:i/>
        </w:rPr>
        <w:t>öka utb</w:t>
      </w:r>
      <w:r w:rsidRPr="00187C93">
        <w:rPr>
          <w:i/>
        </w:rPr>
        <w:t>u</w:t>
      </w:r>
      <w:r w:rsidRPr="00187C93">
        <w:rPr>
          <w:i/>
        </w:rPr>
        <w:t xml:space="preserve">det av arbetskraft, att öka antalet företagare </w:t>
      </w:r>
      <w:r w:rsidRPr="00187C93">
        <w:t xml:space="preserve">och företag med verksamhet i Sverige och att säkra en god tillväxt oavsett konjunkturläge. </w:t>
      </w:r>
      <w:r w:rsidRPr="00187C93">
        <w:rPr>
          <w:i/>
        </w:rPr>
        <w:t>Långtidsarbet</w:t>
      </w:r>
      <w:r w:rsidRPr="00187C93">
        <w:rPr>
          <w:i/>
        </w:rPr>
        <w:t>s</w:t>
      </w:r>
      <w:r w:rsidRPr="00187C93">
        <w:rPr>
          <w:i/>
        </w:rPr>
        <w:t xml:space="preserve">lösa </w:t>
      </w:r>
      <w:r w:rsidRPr="00187C93">
        <w:t xml:space="preserve">skall få jobb och en ny självkänsla. </w:t>
      </w:r>
      <w:r w:rsidRPr="00187C93">
        <w:rPr>
          <w:i/>
        </w:rPr>
        <w:t>Stressade och utbrända människor</w:t>
      </w:r>
      <w:r w:rsidRPr="00187C93">
        <w:t xml:space="preserve"> skall hitta tillbaka till hälsa och framtidstro. Familjer s</w:t>
      </w:r>
      <w:r w:rsidRPr="00187C93">
        <w:t>kall få större margin</w:t>
      </w:r>
      <w:r w:rsidRPr="00187C93">
        <w:t>a</w:t>
      </w:r>
      <w:r w:rsidRPr="00187C93">
        <w:t>ler i sin vardag</w:t>
      </w:r>
      <w:r w:rsidRPr="00187C93">
        <w:t>s</w:t>
      </w:r>
      <w:r w:rsidRPr="00187C93">
        <w:t xml:space="preserve">ekonomi. </w:t>
      </w:r>
    </w:p>
    <w:p w:rsidR="00DB1B84" w:rsidRPr="00187C93" w:rsidRDefault="00DB1B84">
      <w:pPr>
        <w:numPr>
          <w:ilvl w:val="0"/>
          <w:numId w:val="3"/>
        </w:numPr>
      </w:pPr>
      <w:r w:rsidRPr="00187C93">
        <w:t xml:space="preserve">Den föreslagna </w:t>
      </w:r>
      <w:r w:rsidRPr="00187C93">
        <w:rPr>
          <w:i/>
        </w:rPr>
        <w:t>skattereformen</w:t>
      </w:r>
      <w:r w:rsidRPr="00187C93">
        <w:rPr>
          <w:b/>
        </w:rPr>
        <w:t xml:space="preserve"> </w:t>
      </w:r>
      <w:r w:rsidRPr="00187C93">
        <w:t xml:space="preserve"> syftar bl.a. till att öka utbudet av arbet</w:t>
      </w:r>
      <w:r w:rsidRPr="00187C93">
        <w:t>s</w:t>
      </w:r>
      <w:r w:rsidRPr="00187C93">
        <w:t>kraft, minska bidragsberoende samt stimulera arbete och sparande. R</w:t>
      </w:r>
      <w:r w:rsidRPr="00187C93">
        <w:t>e</w:t>
      </w:r>
      <w:r w:rsidRPr="00187C93">
        <w:t>formen möjliggörs bl.a. genom hårdare prioriteringar, avveckling av statlig näringspolitik, en klokare energipolitik samt en politik som min</w:t>
      </w:r>
      <w:r w:rsidRPr="00187C93">
        <w:t>s</w:t>
      </w:r>
      <w:r w:rsidRPr="00187C93">
        <w:t>kar eller åtminstone hejdar ökningen av antalet långtidsarbetslösa och långtidssjuka. De delar av arbetsgivaravgiften som inte utgör försä</w:t>
      </w:r>
      <w:r w:rsidRPr="00187C93">
        <w:t>k</w:t>
      </w:r>
      <w:r w:rsidRPr="00187C93">
        <w:t>ringsavgifter bör avvecklas successivt, en skattereduktion på hushållsn</w:t>
      </w:r>
      <w:r w:rsidRPr="00187C93">
        <w:t>ä</w:t>
      </w:r>
      <w:r w:rsidRPr="00187C93">
        <w:t>ra tjänster bör införas liksom sä</w:t>
      </w:r>
      <w:r w:rsidRPr="00187C93">
        <w:t>nkta marginalskatter. Sociala avgifter på vinstandelar bör slopas.</w:t>
      </w:r>
    </w:p>
    <w:p w:rsidR="00DB1B84" w:rsidRPr="00187C93" w:rsidRDefault="00DB1B84">
      <w:pPr>
        <w:numPr>
          <w:ilvl w:val="0"/>
          <w:numId w:val="4"/>
        </w:numPr>
      </w:pPr>
      <w:r w:rsidRPr="00187C93">
        <w:t xml:space="preserve">Genom en </w:t>
      </w:r>
      <w:r w:rsidRPr="00187C93">
        <w:rPr>
          <w:i/>
        </w:rPr>
        <w:t>företagarreform,</w:t>
      </w:r>
      <w:r w:rsidRPr="00187C93">
        <w:t xml:space="preserve"> som bl. a. innefattar lägre företagsskatter, mindre krångel, färre monopol och sundare konkurrens skall Sverige få fler företagare, fler företag som kan växa och mer utländska investerin</w:t>
      </w:r>
      <w:r w:rsidRPr="00187C93">
        <w:t>g</w:t>
      </w:r>
      <w:r w:rsidRPr="00187C93">
        <w:t xml:space="preserve">ar i landet. </w:t>
      </w:r>
      <w:r w:rsidRPr="00187C93">
        <w:rPr>
          <w:i/>
        </w:rPr>
        <w:t>Kostnaderna för att anställa</w:t>
      </w:r>
      <w:r w:rsidRPr="00187C93">
        <w:rPr>
          <w:b/>
        </w:rPr>
        <w:t xml:space="preserve"> </w:t>
      </w:r>
      <w:r w:rsidRPr="00187C93">
        <w:t xml:space="preserve">är för höga. För att </w:t>
      </w:r>
      <w:r w:rsidRPr="00187C93">
        <w:rPr>
          <w:i/>
        </w:rPr>
        <w:t>bryta segr</w:t>
      </w:r>
      <w:r w:rsidRPr="00187C93">
        <w:rPr>
          <w:i/>
        </w:rPr>
        <w:t>e</w:t>
      </w:r>
      <w:r w:rsidRPr="00187C93">
        <w:rPr>
          <w:i/>
        </w:rPr>
        <w:t>gationen</w:t>
      </w:r>
      <w:r w:rsidRPr="00187C93">
        <w:rPr>
          <w:b/>
        </w:rPr>
        <w:t xml:space="preserve"> </w:t>
      </w:r>
      <w:r w:rsidRPr="00187C93">
        <w:t>är det viktigt att nya jobb tillkommer, också sådana som passar nytillträdande på den svenska arbetsmarknaden. Även låglönejobb b</w:t>
      </w:r>
      <w:r w:rsidRPr="00187C93">
        <w:t>e</w:t>
      </w:r>
      <w:r w:rsidRPr="00187C93">
        <w:t>hövs om alternativet är bidragsberoende. Förutom tidigare nämnda fö</w:t>
      </w:r>
      <w:r w:rsidRPr="00187C93">
        <w:t>r</w:t>
      </w:r>
      <w:r w:rsidRPr="00187C93">
        <w:t>slag om sänkta arbetsgivara</w:t>
      </w:r>
      <w:r w:rsidRPr="00187C93">
        <w:t xml:space="preserve">vgifter och skattelättnader avseende </w:t>
      </w:r>
      <w:r w:rsidRPr="00187C93">
        <w:rPr>
          <w:i/>
        </w:rPr>
        <w:t>hus</w:t>
      </w:r>
      <w:r w:rsidRPr="00187C93">
        <w:rPr>
          <w:i/>
        </w:rPr>
        <w:softHyphen/>
        <w:t>hållsnära tjänster</w:t>
      </w:r>
      <w:r w:rsidRPr="00187C93">
        <w:t xml:space="preserve"> föreslås under denna punkt bl.a. att möjligheter till ett </w:t>
      </w:r>
      <w:r w:rsidRPr="00187C93">
        <w:rPr>
          <w:i/>
        </w:rPr>
        <w:t>friår mitt i livet</w:t>
      </w:r>
      <w:r w:rsidRPr="00187C93">
        <w:t xml:space="preserve"> ges för dem som vill starta ett eget företag eller vidareu</w:t>
      </w:r>
      <w:r w:rsidRPr="00187C93">
        <w:t>t</w:t>
      </w:r>
      <w:r w:rsidRPr="00187C93">
        <w:t xml:space="preserve">bilda sig. </w:t>
      </w:r>
    </w:p>
    <w:p w:rsidR="00DB1B84" w:rsidRPr="00187C93" w:rsidRDefault="00DB1B84">
      <w:pPr>
        <w:numPr>
          <w:ilvl w:val="0"/>
          <w:numId w:val="5"/>
        </w:numPr>
      </w:pPr>
      <w:r w:rsidRPr="00187C93">
        <w:t xml:space="preserve">Folkpartiets </w:t>
      </w:r>
      <w:r w:rsidRPr="00187C93">
        <w:rPr>
          <w:i/>
        </w:rPr>
        <w:t>socialförsäkringsreform</w:t>
      </w:r>
      <w:r w:rsidRPr="00187C93">
        <w:t xml:space="preserve"> bygger på principen att det skall löna sig att arbeta. En ny trygghetsförsäkring bör byggas upp med tre riktiga försäkringar, en allmän pensionsförsäkring, en allmän sjukförsä</w:t>
      </w:r>
      <w:r w:rsidRPr="00187C93">
        <w:t>k</w:t>
      </w:r>
      <w:r w:rsidRPr="00187C93">
        <w:t>ring och en allmän arbetslöshetsförsäkring. Arbetslöshetsförsäkringen skall vara allmän, obligatorisk och tidsbegränsad. Den skall vara en o</w:t>
      </w:r>
      <w:r w:rsidRPr="00187C93">
        <w:t>m</w:t>
      </w:r>
      <w:r w:rsidRPr="00187C93">
        <w:t>ställningsförsäkring för personer med relativt lång anknytning till a</w:t>
      </w:r>
      <w:r w:rsidRPr="00187C93">
        <w:t>r</w:t>
      </w:r>
      <w:r w:rsidRPr="00187C93">
        <w:t>betsmarknaden, och den bör kompletteras med ett</w:t>
      </w:r>
      <w:r w:rsidRPr="00187C93">
        <w:rPr>
          <w:b/>
        </w:rPr>
        <w:t xml:space="preserve"> </w:t>
      </w:r>
      <w:r w:rsidRPr="00187C93">
        <w:rPr>
          <w:i/>
        </w:rPr>
        <w:t>nytt skydd för utfö</w:t>
      </w:r>
      <w:r w:rsidRPr="00187C93">
        <w:rPr>
          <w:i/>
        </w:rPr>
        <w:t>r</w:t>
      </w:r>
      <w:r w:rsidRPr="00187C93">
        <w:rPr>
          <w:i/>
        </w:rPr>
        <w:t>säkrade</w:t>
      </w:r>
      <w:r w:rsidRPr="00187C93">
        <w:t>. Ett villkor för stödet ä</w:t>
      </w:r>
      <w:r w:rsidRPr="00187C93">
        <w:t>r att individen står till arbetsmarknadens förfogande. Den försäkrade skall själv svara för ungefär en tredjedel av pr</w:t>
      </w:r>
      <w:r w:rsidRPr="00187C93">
        <w:t>e</w:t>
      </w:r>
      <w:r w:rsidRPr="00187C93">
        <w:t xml:space="preserve">mien. </w:t>
      </w:r>
    </w:p>
    <w:p w:rsidR="00DB1B84" w:rsidRPr="00187C93" w:rsidRDefault="00DB1B84">
      <w:pPr>
        <w:numPr>
          <w:ilvl w:val="0"/>
          <w:numId w:val="6"/>
        </w:numPr>
      </w:pPr>
      <w:r w:rsidRPr="00187C93">
        <w:rPr>
          <w:i/>
        </w:rPr>
        <w:t>En kunskaps- och bildningsreform</w:t>
      </w:r>
      <w:r w:rsidRPr="00187C93">
        <w:rPr>
          <w:b/>
        </w:rPr>
        <w:t xml:space="preserve"> </w:t>
      </w:r>
      <w:r w:rsidRPr="00187C93">
        <w:t>behövs för bättre skolor, högre kval</w:t>
      </w:r>
      <w:r w:rsidRPr="00187C93">
        <w:t>i</w:t>
      </w:r>
      <w:r w:rsidRPr="00187C93">
        <w:t>tet inom högskolan, mer forskning och mer kompetensutveckling på i</w:t>
      </w:r>
      <w:r w:rsidRPr="00187C93">
        <w:t>n</w:t>
      </w:r>
      <w:r w:rsidRPr="00187C93">
        <w:t>dividens villkor i arbetslivet.</w:t>
      </w:r>
    </w:p>
    <w:p w:rsidR="00DB1B84" w:rsidRPr="00187C93" w:rsidRDefault="00DB1B84">
      <w:pPr>
        <w:numPr>
          <w:ilvl w:val="0"/>
          <w:numId w:val="7"/>
        </w:numPr>
      </w:pPr>
      <w:r w:rsidRPr="00187C93">
        <w:rPr>
          <w:i/>
        </w:rPr>
        <w:t>En arbetsmarknads- och integrationsreform</w:t>
      </w:r>
      <w:r w:rsidRPr="00187C93">
        <w:rPr>
          <w:b/>
        </w:rPr>
        <w:t xml:space="preserve"> </w:t>
      </w:r>
      <w:r w:rsidRPr="00187C93">
        <w:t>föreslås också.</w:t>
      </w:r>
      <w:r w:rsidRPr="00187C93">
        <w:rPr>
          <w:b/>
        </w:rPr>
        <w:t xml:space="preserve"> </w:t>
      </w:r>
      <w:r w:rsidRPr="00187C93">
        <w:t>Genom följande förändringar i arbetsmarknadspolitiken vill Folkpartiet få in fler människor på arbetsmarknaden och minska bidragsberoendet.</w:t>
      </w:r>
      <w:r w:rsidRPr="00187C93">
        <w:rPr>
          <w:b/>
        </w:rPr>
        <w:t xml:space="preserve"> </w:t>
      </w:r>
      <w:r w:rsidRPr="00187C93">
        <w:rPr>
          <w:i/>
        </w:rPr>
        <w:t>AMS</w:t>
      </w:r>
      <w:r w:rsidRPr="00187C93">
        <w:t xml:space="preserve"> i sin nuvarande form bör läggas ned. Hela ”servicefunktionen” i arbetsmar</w:t>
      </w:r>
      <w:r w:rsidRPr="00187C93">
        <w:t>k</w:t>
      </w:r>
      <w:r w:rsidRPr="00187C93">
        <w:t>nadspolitiken, som jobbförmedling och yrkesutbildning, bör genomföras av andra aktörer som utbildningsföretag, komvux, folkhögskolor, privata arbetsförmedlingar, nya bemanningsföretag etc. Lönebidragsanställning, anställningsstöd, arbetsplatsintroduktion, arbetspraktik, flyttb</w:t>
      </w:r>
      <w:r w:rsidRPr="00187C93">
        <w:t>idrag, sta</w:t>
      </w:r>
      <w:r w:rsidRPr="00187C93">
        <w:t>r</w:t>
      </w:r>
      <w:r w:rsidRPr="00187C93">
        <w:t>ta</w:t>
      </w:r>
      <w:r w:rsidRPr="00187C93">
        <w:softHyphen/>
      </w:r>
      <w:r w:rsidRPr="00187C93">
        <w:softHyphen/>
        <w:t xml:space="preserve">-eget-bidrag och arbetslivsinriktad rehabilitering bör dock kunna vara motiverade även för framtiden. Myndighetsdelen av AMS verksamhet förs till en ny organisation, som har ett nät över landet av s.k. </w:t>
      </w:r>
      <w:r w:rsidRPr="00187C93">
        <w:rPr>
          <w:i/>
        </w:rPr>
        <w:t>”jobbkontor”</w:t>
      </w:r>
      <w:r w:rsidRPr="00187C93">
        <w:t xml:space="preserve">. En </w:t>
      </w:r>
      <w:r w:rsidRPr="00187C93">
        <w:rPr>
          <w:i/>
        </w:rPr>
        <w:t>”omställningspeng”</w:t>
      </w:r>
      <w:r w:rsidRPr="00187C93">
        <w:t xml:space="preserve"> skall införas. Jobbkontoren skall handlägga ansökningar om omställningspengen, auktorisation av aktörer på marknaden och att upphandla jobbgarantiprogrammet. Kravet på en arbetslös att stå till arbetsmarknadens förfogande skall finnas kvar. Pen</w:t>
      </w:r>
      <w:r w:rsidRPr="00187C93">
        <w:t>g</w:t>
      </w:r>
      <w:r w:rsidRPr="00187C93">
        <w:t>ens storlek be</w:t>
      </w:r>
      <w:r w:rsidRPr="00187C93">
        <w:t xml:space="preserve">ror på vilka statligt finansierade insatser som anses behövas för att den arbetslöse skall få ett nytt arbete. Den arbetslöse bestämmer själv till vilken utbildningsanordnare eller förmedling han eller hon skall vända sig. Ett </w:t>
      </w:r>
      <w:r w:rsidRPr="00187C93">
        <w:rPr>
          <w:i/>
        </w:rPr>
        <w:t>jobbgarantiprogram</w:t>
      </w:r>
      <w:r w:rsidRPr="00187C93">
        <w:t xml:space="preserve"> införs och bör gälla för personer som är socialbidragsberoende på grund av arbetslöshet.</w:t>
      </w:r>
      <w:r w:rsidRPr="00187C93">
        <w:rPr>
          <w:i/>
        </w:rPr>
        <w:t xml:space="preserve"> Bemanningspooler, </w:t>
      </w:r>
      <w:r w:rsidRPr="00187C93">
        <w:t>som drivs av uthyrnings- och bemanningsföretag, skall finnas. Där b</w:t>
      </w:r>
      <w:r w:rsidRPr="00187C93">
        <w:t>e</w:t>
      </w:r>
      <w:r w:rsidRPr="00187C93">
        <w:t>drivs arbetsträning, uppdragstillverkning och framför allt uthyrning av arbetskraft. Ersätt</w:t>
      </w:r>
      <w:r w:rsidRPr="00187C93">
        <w:t>ningen till den som deltar skall ligga något högre än socialb</w:t>
      </w:r>
      <w:r w:rsidRPr="00187C93">
        <w:t>i</w:t>
      </w:r>
      <w:r w:rsidRPr="00187C93">
        <w:t>dragsnormen.</w:t>
      </w:r>
    </w:p>
    <w:p w:rsidR="00DB1B84" w:rsidRPr="00187C93" w:rsidRDefault="00DB1B84">
      <w:pPr>
        <w:numPr>
          <w:ilvl w:val="0"/>
          <w:numId w:val="8"/>
        </w:numPr>
      </w:pPr>
      <w:r w:rsidRPr="00187C93">
        <w:t>En</w:t>
      </w:r>
      <w:r w:rsidRPr="00187C93">
        <w:rPr>
          <w:i/>
        </w:rPr>
        <w:t xml:space="preserve"> jämställdhetsreform </w:t>
      </w:r>
      <w:r w:rsidRPr="00187C93">
        <w:t>föreslås också.</w:t>
      </w:r>
      <w:r w:rsidRPr="00187C93">
        <w:rPr>
          <w:i/>
        </w:rPr>
        <w:t xml:space="preserve"> </w:t>
      </w:r>
      <w:r w:rsidRPr="00187C93">
        <w:t>Ett jämställt arbetsliv främjar tillväxten. Den viktigaste åtgärden för att bekämpa</w:t>
      </w:r>
      <w:r w:rsidRPr="00187C93">
        <w:rPr>
          <w:b/>
        </w:rPr>
        <w:t xml:space="preserve"> </w:t>
      </w:r>
      <w:r w:rsidRPr="00187C93">
        <w:t>lönediskriminering av kvinnor och åtgärda bristen på kvinnor i ledningen för större företag är att bryta upp de offentliga monopolen. Den traditionellt kvinnliga a</w:t>
      </w:r>
      <w:r w:rsidRPr="00187C93">
        <w:t>r</w:t>
      </w:r>
      <w:r w:rsidRPr="00187C93">
        <w:t xml:space="preserve">betsmarknaden bör präglas av näringsfrihet. Det måste bli lättare att kompetensutveckla sig både för kvinnor och män. </w:t>
      </w:r>
      <w:r w:rsidRPr="00187C93">
        <w:rPr>
          <w:i/>
        </w:rPr>
        <w:t>Arbetstidslagstiftnin</w:t>
      </w:r>
      <w:r w:rsidRPr="00187C93">
        <w:rPr>
          <w:i/>
        </w:rPr>
        <w:t>g</w:t>
      </w:r>
      <w:r w:rsidRPr="00187C93">
        <w:rPr>
          <w:i/>
        </w:rPr>
        <w:t>en och semesterlagen</w:t>
      </w:r>
      <w:r w:rsidRPr="00187C93">
        <w:t xml:space="preserve"> bör förändras så att det ges bättre möjligheter att i avtal kunna </w:t>
      </w:r>
      <w:r w:rsidRPr="00187C93">
        <w:t>påverka arbetstid både vad gäller längd och förläggning.</w:t>
      </w:r>
    </w:p>
    <w:p w:rsidR="00DB1B84" w:rsidRPr="00187C93" w:rsidRDefault="00DB1B84">
      <w:r w:rsidRPr="00187C93">
        <w:t xml:space="preserve">Folkpartiet presenterar också ett program för </w:t>
      </w:r>
      <w:r w:rsidRPr="00187C93">
        <w:rPr>
          <w:i/>
        </w:rPr>
        <w:t>färre långtidssjukskrivningar och förtidspensioneringar.</w:t>
      </w:r>
      <w:r w:rsidRPr="00187C93">
        <w:t xml:space="preserve"> Programmet innehåller flera av de komponenter som inryms i reformförslagen. Ett </w:t>
      </w:r>
      <w:r w:rsidRPr="00187C93">
        <w:rPr>
          <w:i/>
        </w:rPr>
        <w:t>egenmaktprogram</w:t>
      </w:r>
      <w:r w:rsidRPr="00187C93">
        <w:t xml:space="preserve"> bör genomföras för att stärka människor i arbetslivet i fråga om arbetstider, arbetsmiljön, komp</w:t>
      </w:r>
      <w:r w:rsidRPr="00187C93">
        <w:t>e</w:t>
      </w:r>
      <w:r w:rsidRPr="00187C93">
        <w:t xml:space="preserve">tensutveckling och möjlighet att köpa hushållstjänster. En förstärkt </w:t>
      </w:r>
      <w:r w:rsidRPr="00187C93">
        <w:rPr>
          <w:i/>
        </w:rPr>
        <w:t>företag</w:t>
      </w:r>
      <w:r w:rsidRPr="00187C93">
        <w:rPr>
          <w:i/>
        </w:rPr>
        <w:t>s</w:t>
      </w:r>
      <w:r w:rsidRPr="00187C93">
        <w:rPr>
          <w:i/>
        </w:rPr>
        <w:t>hälsovård</w:t>
      </w:r>
      <w:r w:rsidRPr="00187C93">
        <w:rPr>
          <w:b/>
        </w:rPr>
        <w:t xml:space="preserve"> </w:t>
      </w:r>
      <w:r w:rsidRPr="00187C93">
        <w:t>föreslås också liksom att en utredning tillsätts om vad som kan göras för att uppmuntra redan förtidspensionerade att återgå till arbetsl</w:t>
      </w:r>
      <w:r w:rsidRPr="00187C93">
        <w:t>i</w:t>
      </w:r>
      <w:r w:rsidRPr="00187C93">
        <w:t>vet.</w:t>
      </w:r>
    </w:p>
    <w:p w:rsidR="00DB1B84" w:rsidRPr="00187C93" w:rsidRDefault="00DB1B84">
      <w:pPr>
        <w:pStyle w:val="Rubrik3"/>
        <w:rPr>
          <w:noProof w:val="0"/>
        </w:rPr>
      </w:pPr>
      <w:bookmarkStart w:id="8" w:name="_Toc515765273"/>
      <w:r w:rsidRPr="00187C93">
        <w:rPr>
          <w:noProof w:val="0"/>
        </w:rPr>
        <w:t>Utskottets ställningstagande</w:t>
      </w:r>
      <w:bookmarkEnd w:id="8"/>
    </w:p>
    <w:p w:rsidR="00DB1B84" w:rsidRPr="00187C93" w:rsidRDefault="00DB1B84">
      <w:pPr>
        <w:pStyle w:val="R4"/>
      </w:pPr>
      <w:r w:rsidRPr="00187C93">
        <w:t xml:space="preserve">Utvecklingen på arbetsmarknaden m.m. </w:t>
      </w:r>
    </w:p>
    <w:p w:rsidR="00DB1B84" w:rsidRPr="00187C93" w:rsidRDefault="00DB1B84">
      <w:pPr>
        <w:spacing w:before="187"/>
      </w:pPr>
      <w:r w:rsidRPr="00187C93">
        <w:t>Under år 2000 ökade sysselsättningen med ca 134 000 personer, vilket var en ökning med 2,2 % jämfört med året innan. Den öppna arbetslösheten föll i säsongsrensade termer från 5,6 % till 4,0 % under året. Målet att sänka den öppna arbetslösheten nåddes därmed. Samtidigt som sysselsättningen steg kraftigt var inflationstakten låg, vilket ledde till goda reallöneökningar trots måttliga nominella lönehöjningar.</w:t>
      </w:r>
    </w:p>
    <w:p w:rsidR="00DB1B84" w:rsidRPr="00187C93" w:rsidRDefault="00DB1B84">
      <w:pPr>
        <w:pStyle w:val="Normaltindrag"/>
      </w:pPr>
      <w:r w:rsidRPr="00187C93">
        <w:t xml:space="preserve">Enligt </w:t>
      </w:r>
      <w:r w:rsidRPr="00187C93">
        <w:rPr>
          <w:i/>
        </w:rPr>
        <w:t>Konjunkturinstitutets</w:t>
      </w:r>
      <w:r w:rsidRPr="00187C93">
        <w:t xml:space="preserve"> (KI) barometer för april i år  utvecklas i</w:t>
      </w:r>
      <w:r w:rsidRPr="00187C93">
        <w:t>n</w:t>
      </w:r>
      <w:r w:rsidRPr="00187C93">
        <w:t>dustriproduktionen svagare än väntat. Framför allt gäller det teleprodukt- och motorfordonsindustrin som har drabbats hårt av den internationella konjun</w:t>
      </w:r>
      <w:r w:rsidRPr="00187C93">
        <w:t>k</w:t>
      </w:r>
      <w:r w:rsidRPr="00187C93">
        <w:t>turavmattningen. Industriproduktionen kan komma att vika under våren för att återigen ta fart under hösten. De internationella konjunkturutsikterna har förskjutits i negativ riktning sedan KI:s marsrapport. Det finns dock enligt KI inga tecken på en bred konjunkturnedgång i den svenska ekonomi</w:t>
      </w:r>
      <w:r w:rsidRPr="00187C93">
        <w:t>n. Industr</w:t>
      </w:r>
      <w:r w:rsidRPr="00187C93">
        <w:t>i</w:t>
      </w:r>
      <w:r w:rsidRPr="00187C93">
        <w:t>produktionen utvecklas svagt, men sysselsättningen i resten av ekonomin har fortsatt att växa under våren och den privata konsumtionen ökar stadigt. Byggkonjunkturen är också stark och inom tjänstenäringarna är tillväxten förhållandevis hög. BNP-tillväxten bedöms uppgå till 2,5 % i år. Bristtalen på arbetsmarknaden fortsätter att falla tillbaka. Hittills slutna löneavtal framstår som förhållandevis återhållsamma. Enligt KI kan det inte uteslutas att arbet</w:t>
      </w:r>
      <w:r w:rsidRPr="00187C93">
        <w:t>s</w:t>
      </w:r>
      <w:r w:rsidRPr="00187C93">
        <w:t xml:space="preserve">lösheten kan sjunka ytterligare utan att </w:t>
      </w:r>
      <w:r w:rsidRPr="00187C93">
        <w:t xml:space="preserve">pris- och löneökningarna tar fart. </w:t>
      </w:r>
    </w:p>
    <w:p w:rsidR="00DB1B84" w:rsidRPr="00187C93" w:rsidRDefault="00DB1B84">
      <w:pPr>
        <w:pStyle w:val="Normaltindrag"/>
      </w:pPr>
      <w:r w:rsidRPr="00187C93">
        <w:t>Nyligen publicerades AMS kvartalsrapport för det första kvartalet 2001. Under första kvartalet anmäldes 49 000 nya platser i genomsnitt per månad,  vilket är en minskning i förhållande till året innan. Platstillströmningen har minskat inom flera yrkesområden, särskilt markant inom tillverkningsindu</w:t>
      </w:r>
      <w:r w:rsidRPr="00187C93">
        <w:softHyphen/>
        <w:t>strin. Andelen platser avseende tillsvidareanställningar har emellertid fortsatt att öka och uppgick till 50 % under första kvartalet. Det totala arbetskraftsu</w:t>
      </w:r>
      <w:r w:rsidRPr="00187C93">
        <w:t>t</w:t>
      </w:r>
      <w:r w:rsidRPr="00187C93">
        <w:t xml:space="preserve">budet uppgick till i genomsnitt 4 354 000, vilket innebär en ökning med ca </w:t>
      </w:r>
      <w:r w:rsidRPr="00187C93">
        <w:br/>
        <w:t>77 000 personer jämfört med första kvartalet förra året. Av kvartalsrapporten framgår också att i genomsnitt 4 174 000 personer var sysselsatta under per</w:t>
      </w:r>
      <w:r w:rsidRPr="00187C93">
        <w:t>i</w:t>
      </w:r>
      <w:r w:rsidRPr="00187C93">
        <w:t>oden, vilket innebär en ökning med ca 127 000 personer jämfört med första kvartalet förra året. Sysselsättningsökningen u</w:t>
      </w:r>
      <w:r w:rsidRPr="00187C93">
        <w:t>nder första kvartalet var något större för män än för kvinnor. Sysselsättningsökningen har i första hand skett inom tjänstesektorn. För den kommunala sektorn konstateras en sysselsät</w:t>
      </w:r>
      <w:r w:rsidRPr="00187C93">
        <w:t>t</w:t>
      </w:r>
      <w:r w:rsidRPr="00187C93">
        <w:t xml:space="preserve">ningsökning  inom äldreomsorg och utbildning. </w:t>
      </w:r>
    </w:p>
    <w:p w:rsidR="00DB1B84" w:rsidRPr="00187C93" w:rsidRDefault="00DB1B84">
      <w:pPr>
        <w:pStyle w:val="Normaltindrag"/>
      </w:pPr>
      <w:r w:rsidRPr="00187C93">
        <w:t xml:space="preserve">AMS har också i dagarna rapporterat om arbetsmarknadsläget i april i år. Enligt AMS är arbetsmarknaden fortfarande stark med många nya lediga platser. Under april anmäldes 46 000 lediga platser. 5 900 personer varslades om uppsägning under april. Antalet varsel är det högsta sedan </w:t>
      </w:r>
      <w:r w:rsidRPr="00187C93">
        <w:t>1996 uppger AMS. 65 % av varslen avser tillverkningsindustrin. Den öppna arbetslösheten uppgick i april till 3,8 %. 166 000 personer var arbetslösa i slutet av april. Det är en minskning med 53 000 personer jämfört med april förra året. Av de öppet arbetslösa var ca 68 000 kvinnor. Det är ca 24 000 färre än vid samma tid föregående år. Obalanstalet (antalet arbetslösa och antalet personer i a</w:t>
      </w:r>
      <w:r w:rsidRPr="00187C93">
        <w:t>r</w:t>
      </w:r>
      <w:r w:rsidRPr="00187C93">
        <w:t>betsmarknadspolitiska program) har sjunkit i samtliga län. Stora regionala skillnader föreligger dock. I april var o</w:t>
      </w:r>
      <w:r w:rsidRPr="00187C93">
        <w:t>balanstalet i Stockholms län 3,1 % medan det uppgick till 13,9 % i Norrbo</w:t>
      </w:r>
      <w:r w:rsidRPr="00187C93">
        <w:t>t</w:t>
      </w:r>
      <w:r w:rsidRPr="00187C93">
        <w:t>tens län.</w:t>
      </w:r>
    </w:p>
    <w:p w:rsidR="00DB1B84" w:rsidRPr="00187C93" w:rsidRDefault="00DB1B84">
      <w:pPr>
        <w:pStyle w:val="Normaltindrag"/>
      </w:pPr>
      <w:r w:rsidRPr="00187C93">
        <w:t>Utskottet konstaterar liksom regeringen att läget på arbetsmarknaden for</w:t>
      </w:r>
      <w:r w:rsidRPr="00187C93">
        <w:t>t</w:t>
      </w:r>
      <w:r w:rsidRPr="00187C93">
        <w:t>sätter att förbättras. Det s.k. halveringsmålet uppnåddes i oktober förra året och som lägst uppgick den öppna arbetslösheten till 3,7 % i december i fjol.  Den starka sysselsättningstillväxten har i olika grad kommit stora delar av landet till godo, vilket lett till att obalanstalet sjunkit i samtliga län. Sysse</w:t>
      </w:r>
      <w:r w:rsidRPr="00187C93">
        <w:t>l</w:t>
      </w:r>
      <w:r w:rsidRPr="00187C93">
        <w:t>sättningsgraden och arbetslösheten varierar kraftigt mellan olika län och arbetsmarknadsregioner. Fortfarande är de regionala obalanserna mycket stora och riskerar att skapa ökade klyftor mellan m</w:t>
      </w:r>
      <w:r w:rsidRPr="00187C93">
        <w:t>änniskor och regioner. Det är viktigt att hela Sveriges resurser i form av arbetskraft och kapital kan tas till vara. Dessutom befinner sig en alltför stor del av den arbetsföra befol</w:t>
      </w:r>
      <w:r w:rsidRPr="00187C93">
        <w:t>k</w:t>
      </w:r>
      <w:r w:rsidRPr="00187C93">
        <w:t>ningen fortfarande utanför arbetskraften. Utskottet kan konstatera att även om antalet långtidsarbetslösa och långtidsinskrivna minskat är antalet fortfarande för högt. Äldre och funktionshindrade är liksom utomnordiska medborgare överrepresenterade bland dem som har svag förankring på arbetsmarknaden. Här har arbetsmarknadspo</w:t>
      </w:r>
      <w:r w:rsidRPr="00187C93">
        <w:t>litiken stora utmaningar samtidigt som det krävs att arbetsgivarna axlar ett väsentligt större långsiktigt socialt ansvar i fråga om rekryterings- och personalpolitik.</w:t>
      </w:r>
    </w:p>
    <w:p w:rsidR="00DB1B84" w:rsidRPr="00187C93" w:rsidRDefault="00DB1B84">
      <w:pPr>
        <w:pStyle w:val="Normaltindrag"/>
      </w:pPr>
      <w:r w:rsidRPr="00187C93">
        <w:t>Utskottet noterar dessutom med oro att ökningen av arbetade timmar inte motsvarar sysselsättningstillväxten, vilket främst beror på att sjukfrånvaron fortsätter att öka. Skall nödvändiga rekryteringar kunna klaras på arbetsmar</w:t>
      </w:r>
      <w:r w:rsidRPr="00187C93">
        <w:t>k</w:t>
      </w:r>
      <w:r w:rsidRPr="00187C93">
        <w:t>naden framöver måste denna utveckling brytas. Det krävs kraftfulla satsningar inom arbetslivsområdet och vad gäller kompetensutveckling i arbetslivet. Det är värdefullt att regeringen aviserar åtgärder på detta område och att arbetsg</w:t>
      </w:r>
      <w:r w:rsidRPr="00187C93">
        <w:t>i</w:t>
      </w:r>
      <w:r w:rsidRPr="00187C93">
        <w:t>varansvaret ges en ökad tyngd inte minst för rehabiliteringsinsatserna.</w:t>
      </w:r>
    </w:p>
    <w:p w:rsidR="00DB1B84" w:rsidRPr="00187C93" w:rsidRDefault="00DB1B84">
      <w:pPr>
        <w:pStyle w:val="Normaltindrag"/>
      </w:pPr>
      <w:r w:rsidRPr="00187C93">
        <w:t>Utskottet vill också peka på den osäkerhet som nu råder vad gäller ko</w:t>
      </w:r>
      <w:r w:rsidRPr="00187C93">
        <w:t>n</w:t>
      </w:r>
      <w:r w:rsidRPr="00187C93">
        <w:t>junkturläget. Som en liten och öppen ekonomi påverkas Sverige starkt av den internationella konjunkturens utveckling. Fortfarande råder det en betydande osäkerhet om effekterna av den ekonomiska nedgången i USA och av hur tillväxten i Europa utvecklas. Påtagliga risker finns även med utvecklingen inom informations- och kommunikationssektorn liksom inom fordonstillver</w:t>
      </w:r>
      <w:r w:rsidRPr="00187C93">
        <w:t>k</w:t>
      </w:r>
      <w:r w:rsidRPr="00187C93">
        <w:t xml:space="preserve">ningssektorn. Dessa branscher är starkt exportinriktade och därmed i väsentlig grad beroende av den internationella utvecklingen. Båda dessa </w:t>
      </w:r>
      <w:r w:rsidRPr="00187C93">
        <w:t>sektorer spelar en stor roll för sysselsättningsutvecklingen i Sverige, varför en negativ u</w:t>
      </w:r>
      <w:r w:rsidRPr="00187C93">
        <w:t>t</w:t>
      </w:r>
      <w:r w:rsidRPr="00187C93">
        <w:t>veckling riskerar att få betydande effekter. Utskottet noterar också att den ökning i antalet varsel som förekommit under året huvudsakligen har sin grund i dessa förhållanden.</w:t>
      </w:r>
    </w:p>
    <w:p w:rsidR="00DB1B84" w:rsidRPr="00187C93" w:rsidRDefault="00DB1B84">
      <w:pPr>
        <w:pStyle w:val="Normaltindrag"/>
      </w:pPr>
      <w:r w:rsidRPr="00187C93">
        <w:t>Som regeringen påpekar är en väl fungerande lönebildning av stor betyde</w:t>
      </w:r>
      <w:r w:rsidRPr="00187C93">
        <w:t>l</w:t>
      </w:r>
      <w:r w:rsidRPr="00187C93">
        <w:t>se för att ha långsiktigt hållbar sysselsättningsutveckling. Utskottet kan ko</w:t>
      </w:r>
      <w:r w:rsidRPr="00187C93">
        <w:t>n</w:t>
      </w:r>
      <w:r w:rsidRPr="00187C93">
        <w:t>statera att reallönerna under de senaste fem åren i genomsnitt har ökat med nära 4 % per år trots måttliga nominella lönehöjningar. Mycket tyder på att den pågående avtalsrörelsen kommer att medföra en fortsatt positiv utvec</w:t>
      </w:r>
      <w:r w:rsidRPr="00187C93">
        <w:t>k</w:t>
      </w:r>
      <w:r w:rsidRPr="00187C93">
        <w:t>ling. I kombination med de minskade riskerna för överhettning på vissa del</w:t>
      </w:r>
      <w:r w:rsidRPr="00187C93">
        <w:softHyphen/>
        <w:t>arbetsmarknader talar det mesta för att de fleråriga avtalen kan medföra en sund lönebildning som därmed tar till vara de förbättrade</w:t>
      </w:r>
      <w:r w:rsidRPr="00187C93">
        <w:t xml:space="preserve"> förutsättningarna på arbet</w:t>
      </w:r>
      <w:r w:rsidRPr="00187C93">
        <w:t>s</w:t>
      </w:r>
      <w:r w:rsidRPr="00187C93">
        <w:t xml:space="preserve">marknaden. </w:t>
      </w:r>
    </w:p>
    <w:p w:rsidR="00DB1B84" w:rsidRPr="00187C93" w:rsidRDefault="00DB1B84">
      <w:pPr>
        <w:pStyle w:val="Normaltindrag"/>
      </w:pPr>
      <w:r w:rsidRPr="00187C93">
        <w:t>Sammanfattningsvis är den svenska ekonomin god, även om tillväxten dämpats i förhållande till de senaste årens höga tillväxttal. Arbetsmarknaden har uppvisat en god utveckling med hög sysselsättningstillväxt och sjunkande arbetslöshet. Konjunkturen har nu mattats av, och en rad problem på arbet</w:t>
      </w:r>
      <w:r w:rsidRPr="00187C93">
        <w:t>s</w:t>
      </w:r>
      <w:r w:rsidRPr="00187C93">
        <w:t>marknaden kvarstår att lösa. Utskottet ansluter sig till regeringens slutsats att den svenska ekonomiska politiken nu med all kraft måste riktas in mot full sysselsättning, inte minst om delmålet om 80 % sysselsatta år 2004 skall uppnås.</w:t>
      </w:r>
    </w:p>
    <w:p w:rsidR="00DB1B84" w:rsidRPr="00187C93" w:rsidRDefault="00DB1B84">
      <w:pPr>
        <w:pStyle w:val="R4"/>
      </w:pPr>
      <w:r w:rsidRPr="00187C93">
        <w:t>Mål för sysselsättningen m.m.</w:t>
      </w:r>
    </w:p>
    <w:p w:rsidR="00DB1B84" w:rsidRPr="00187C93" w:rsidRDefault="00DB1B84">
      <w:pPr>
        <w:spacing w:before="187"/>
      </w:pPr>
      <w:r w:rsidRPr="00187C93">
        <w:t xml:space="preserve">Målet för den ekonomiska politiken är full sysselsättning och ökat välstånd genom en god och uthållig ekonomisk tillväxt. Det s.k. halveringsmålet om högst 4 % öppen arbetslöshet uppnåddes i slutet av förra året. Trots detta är arbetslösheten fortfarande alltför hög i vissa grupper och regioner. </w:t>
      </w:r>
    </w:p>
    <w:p w:rsidR="00DB1B84" w:rsidRPr="00187C93" w:rsidRDefault="00DB1B84">
      <w:pPr>
        <w:pStyle w:val="Normaltindrag"/>
      </w:pPr>
      <w:r w:rsidRPr="00187C93">
        <w:t>Regeringen och riksdagen har därför satt upp ett konkret etappmål också för sysselsättningen. Målet innebär att andelen reguljärt sysselsatta av befol</w:t>
      </w:r>
      <w:r w:rsidRPr="00187C93">
        <w:t>k</w:t>
      </w:r>
      <w:r w:rsidRPr="00187C93">
        <w:t>ningen mellan 20 och 64 år skall öka till 80 % år 2004. Som sysselsatta på den reguljära arbetsmarknaden räknas sysselsatta exklusive personer i ko</w:t>
      </w:r>
      <w:r w:rsidRPr="00187C93">
        <w:t>n</w:t>
      </w:r>
      <w:r w:rsidRPr="00187C93">
        <w:t>junkturberoende arbetsmarknadspolitiska åtgärder. Enligt SCB var den r</w:t>
      </w:r>
      <w:r w:rsidRPr="00187C93">
        <w:t>e</w:t>
      </w:r>
      <w:r w:rsidRPr="00187C93">
        <w:t xml:space="preserve">guljära sysselsättningsgraden i mars i år 77,5 %. </w:t>
      </w:r>
    </w:p>
    <w:p w:rsidR="00DB1B84" w:rsidRPr="00187C93" w:rsidRDefault="00DB1B84">
      <w:pPr>
        <w:pStyle w:val="Normaltindrag"/>
      </w:pPr>
      <w:r w:rsidRPr="00187C93">
        <w:t>Full sysselsättning är av avgörande betydelse för Sverige. En inriktning av politiken mot full sysselsättning motverkar orättvisor och klyftor i samhället. Med en hög andel sysselsatta  kan Sverige möta den demografiska utmanin</w:t>
      </w:r>
      <w:r w:rsidRPr="00187C93">
        <w:t>g</w:t>
      </w:r>
      <w:r w:rsidRPr="00187C93">
        <w:t>en som landet står inför. Den s.k. arbets- och kompetenslinjen måste få ytte</w:t>
      </w:r>
      <w:r w:rsidRPr="00187C93">
        <w:t>r</w:t>
      </w:r>
      <w:r w:rsidRPr="00187C93">
        <w:t>ligare ökad tyngd i arbetsmarknadspolitiken. Sysselsättningen behöver öka så att fler kan hjälpa till att försörja dem som inte arbetar. I de strävandena är det nödvändigt att samtliga individers kompetens tas till vara oavsett kön, ålder, etnicitet eller funktionshinder. Om andelen reguljärt sysselsatta ökar, får det den positiva effekten att behovet av bidrag och sociala ersättningar minskar. Utskottet ser mycket positivt på att</w:t>
      </w:r>
      <w:r w:rsidRPr="00187C93">
        <w:t xml:space="preserve"> regeringen har formulerat ett nytt mål som innebär att antalet socialbidragstagare skall halveras mellan åren 1999 och 2004. Arbetet för att förbättra arbetsmarknadens funktionssätt och att stärka arbetstagarens möjligheter till utveckling och en fast förankring på arbet</w:t>
      </w:r>
      <w:r w:rsidRPr="00187C93">
        <w:t>s</w:t>
      </w:r>
      <w:r w:rsidRPr="00187C93">
        <w:t>marknaden måste fortsätta.</w:t>
      </w:r>
    </w:p>
    <w:p w:rsidR="00DB1B84" w:rsidRPr="00187C93" w:rsidRDefault="00DB1B84">
      <w:pPr>
        <w:pStyle w:val="Normaltindrag"/>
      </w:pPr>
      <w:r w:rsidRPr="00187C93">
        <w:t>I propositionen Förnyad arbetsmarknadspolitik för delaktighet och tillväxt (prop. 1999/2000:98) föreslog regeringen att arbetsmarknadspolitiken skall ha tre huvuduppgifter. För det första att förmedla arbete till</w:t>
      </w:r>
      <w:r w:rsidRPr="00187C93">
        <w:t xml:space="preserve"> arbetssökande och arbetskraft till företag, för det andra att öka de arbetslösas kunskaper och för det tredje att stödja dem som har det svårt att få arbete på den reguljära a</w:t>
      </w:r>
      <w:r w:rsidRPr="00187C93">
        <w:t>r</w:t>
      </w:r>
      <w:r w:rsidRPr="00187C93">
        <w:t>betsmarknaden. Riksdagen har ställt sig bakom målen (bet. 1999/2000:AU7). De som står längst från arbetsmarknaden bör prioriteras för att öka sysselsät</w:t>
      </w:r>
      <w:r w:rsidRPr="00187C93">
        <w:t>t</w:t>
      </w:r>
      <w:r w:rsidRPr="00187C93">
        <w:t>ning och förhindra marginalisering.</w:t>
      </w:r>
    </w:p>
    <w:p w:rsidR="00DB1B84" w:rsidRPr="00187C93" w:rsidRDefault="00DB1B84">
      <w:pPr>
        <w:pStyle w:val="Normaltindrag"/>
      </w:pPr>
      <w:r w:rsidRPr="00187C93">
        <w:t>Arbetsmarknadspolitiken skall även medverka till att bryta den könsup</w:t>
      </w:r>
      <w:r w:rsidRPr="00187C93">
        <w:t>p</w:t>
      </w:r>
      <w:r w:rsidRPr="00187C93">
        <w:t>delade arbetsmarknaden, bidra till trygghet vid omställning och främja arbets- och kompetenslinjen.</w:t>
      </w:r>
    </w:p>
    <w:p w:rsidR="00DB1B84" w:rsidRPr="00187C93" w:rsidRDefault="00DB1B84">
      <w:pPr>
        <w:pStyle w:val="Normaltindrag"/>
      </w:pPr>
      <w:r w:rsidRPr="00187C93">
        <w:t>I regleringsbrev för budgetåret 2001 avseende Arbetsmarknadsverket (AMV) och anslag inom utgiftsområde 13 Arbetsmarknad anges AMV:s verksamhetsmål. Tre mål gäller för matchning på arbetsmarknaden.  Det skall vara en effektiv matchning mellan vakanser och arbetssökande på arbetsfö</w:t>
      </w:r>
      <w:r w:rsidRPr="00187C93">
        <w:t>r</w:t>
      </w:r>
      <w:r w:rsidRPr="00187C93">
        <w:t>medlingen. Även sökprocessen skall vara effektiv så att arbetslöshetstiderna blir korta. Individuella handlingsplaner med hög kvalitet skall upprättas i samverkan mellan arbetsförmedlingen och den arbetssökande inom tre mån</w:t>
      </w:r>
      <w:r w:rsidRPr="00187C93">
        <w:t>a</w:t>
      </w:r>
      <w:r w:rsidRPr="00187C93">
        <w:t>der. Ett annat mål är att antalet långtidsinskrivna, som inte har haft ett regu</w:t>
      </w:r>
      <w:r w:rsidRPr="00187C93">
        <w:t>l</w:t>
      </w:r>
      <w:r w:rsidRPr="00187C93">
        <w:t>järt arbete de senaste två åren skall minska kontinuerligt under året och vara mindre än 40 000 personer i slutet av budgetåret. För verksamhetsgrenen Kompetenshöjande insatser samt stöd till dem som har det</w:t>
      </w:r>
      <w:r w:rsidRPr="00187C93">
        <w:t xml:space="preserve"> svårast på arbet</w:t>
      </w:r>
      <w:r w:rsidRPr="00187C93">
        <w:t>s</w:t>
      </w:r>
      <w:r w:rsidRPr="00187C93">
        <w:t>marknaden är ett mål att andelen personer som fått arbete 90 dagar efter a</w:t>
      </w:r>
      <w:r w:rsidRPr="00187C93">
        <w:t>v</w:t>
      </w:r>
      <w:r w:rsidRPr="00187C93">
        <w:t>slutad arbetsmarknadsutbildning i genomsnitt skall uppgå till 70 %. Vidare skall i genomsnitt minst 57 000 arbetshandikappade personer per månad ha lämplig sysselsättning under år 2001. Den genomsnittliga bidragsnivån i lönebidrag som lämnas till andra arbetsgivare än allmännyttiga organisationer skall uppgå till högst 58 % av den bidragsgrundande lönekostnaden. Vid sidan om målen för dessa verksamhetsgrenar skall A</w:t>
      </w:r>
      <w:r w:rsidRPr="00187C93">
        <w:t>MV också ha en effektiv tillsyn, kontroll och uppföljning för att säkerställa en likformig och rättssäker tillämpning av regelverk. Verksamheten skall också medverka till att personer som står utanför arbetslivet skall kunna gå tillbaka till sitt tidigare arbete eller få ett annat arbete.</w:t>
      </w:r>
    </w:p>
    <w:p w:rsidR="00DB1B84" w:rsidRPr="00187C93" w:rsidRDefault="00DB1B84">
      <w:pPr>
        <w:pStyle w:val="R4"/>
      </w:pPr>
      <w:r w:rsidRPr="00187C93">
        <w:t>Tillväxt, förutsättningar för företagande, skatter</w:t>
      </w:r>
    </w:p>
    <w:p w:rsidR="00DB1B84" w:rsidRPr="00187C93" w:rsidRDefault="00DB1B84">
      <w:pPr>
        <w:spacing w:before="187"/>
      </w:pPr>
      <w:r w:rsidRPr="00187C93">
        <w:t>I flera av motionerna förs resonemang om sambandet mellan tillväxt och en god sysselsättningsutveckling å ena sidan och skattepolitiken eller förutsät</w:t>
      </w:r>
      <w:r w:rsidRPr="00187C93">
        <w:t>t</w:t>
      </w:r>
      <w:r w:rsidRPr="00187C93">
        <w:t>ningar för föret</w:t>
      </w:r>
      <w:r w:rsidRPr="00187C93">
        <w:t>a</w:t>
      </w:r>
      <w:r w:rsidRPr="00187C93">
        <w:t>gande å andra sidan.</w:t>
      </w:r>
    </w:p>
    <w:p w:rsidR="00DB1B84" w:rsidRPr="00187C93" w:rsidRDefault="00DB1B84">
      <w:pPr>
        <w:pStyle w:val="Normaltindrag"/>
      </w:pPr>
      <w:r w:rsidRPr="00187C93">
        <w:t>Det tillväxtfrämjande arbetet måste bedrivas på flera områden. Det gäller regelförenklingar, väl fungerande konkurrens samt information, service och rådgivning till småföretagare i syfte att stimulera ett gott företagsklimat, goda möjligheter för nya företag att etableras och befintliga företag att växa. Också infrastrukturen och regionalpolitikens innehåll har betydelse för näringslivets utvecklingsmöjligheter och för att skapa förutsättningar för tillväxt och rättv</w:t>
      </w:r>
      <w:r w:rsidRPr="00187C93">
        <w:t>i</w:t>
      </w:r>
      <w:r w:rsidRPr="00187C93">
        <w:t>sa, något som regeringen också framhåller i propositionen.</w:t>
      </w:r>
    </w:p>
    <w:p w:rsidR="00DB1B84" w:rsidRPr="00187C93" w:rsidRDefault="00DB1B84">
      <w:pPr>
        <w:pStyle w:val="Normaltindrag"/>
      </w:pPr>
      <w:r w:rsidRPr="00187C93">
        <w:t>Utskottet instämmer i vad såväl regeringen som flera av motionärerna för fram att det måste vara lätt att starta och driva företag. Regeringen utvecklar närmare insatserna på området i Sveriges handlingsplan för sysselsättning (NAP) som lämnas till EG-kommissionen i maj i år. Sedan i maj 2000 sa</w:t>
      </w:r>
      <w:r w:rsidRPr="00187C93">
        <w:t>m</w:t>
      </w:r>
      <w:r w:rsidRPr="00187C93">
        <w:t>ordnas regelförenklingsarbetet med särskild inriktning på små företag inom Regeringskansliet. Målet med verksamheten är att, inom en treårsperiod, tydligt minska regelverkets administrativa börda för små företag. Inte minst skattereglerna är härvid viktiga att beakta. Insatser för olika typer av inform</w:t>
      </w:r>
      <w:r w:rsidRPr="00187C93">
        <w:t>a</w:t>
      </w:r>
      <w:r w:rsidRPr="00187C93">
        <w:t>tion och service från myndigheter och konkurrensbefrämjande insatser är exempel på andra komponenter i en politik för ökat företagande. Kvinnors, ungdomars och invandrares möjligheter att få lån till företag</w:t>
      </w:r>
      <w:r w:rsidRPr="00187C93">
        <w:t>ande, särskilt inom tjänstesektorn skall belysas. Regeringen planerar också andra insatser för att främja kvinnors och invandrares företagande. Det satsas 9 miljoner kronor år 2002 och 14 respektive 19 milj</w:t>
      </w:r>
      <w:r w:rsidRPr="00187C93">
        <w:t>o</w:t>
      </w:r>
      <w:r w:rsidRPr="00187C93">
        <w:t>ner kronor för de följande två åren.</w:t>
      </w:r>
    </w:p>
    <w:p w:rsidR="00DB1B84" w:rsidRPr="00187C93" w:rsidRDefault="00DB1B84">
      <w:pPr>
        <w:pStyle w:val="Normaltindrag"/>
      </w:pPr>
      <w:r w:rsidRPr="00187C93">
        <w:t>Som ett led i ansträngningarna att öka sysselsättningen och arbetskraftsu</w:t>
      </w:r>
      <w:r w:rsidRPr="00187C93">
        <w:t>t</w:t>
      </w:r>
      <w:r w:rsidRPr="00187C93">
        <w:t>budet samt för att minska marginaleffekterna har bl.a. skatterna för låg- och medelinkomsttagare sänkts genom kompensation för hälften av egenavgifte</w:t>
      </w:r>
      <w:r w:rsidRPr="00187C93">
        <w:t>r</w:t>
      </w:r>
      <w:r w:rsidRPr="00187C93">
        <w:t>na. Andelen personer som betalar statlig inkomstskatt har minskat genom att grundavdraget och den nedre skiktgränsen för statlig skatt har höjts. Reg</w:t>
      </w:r>
      <w:r w:rsidRPr="00187C93">
        <w:t>e</w:t>
      </w:r>
      <w:r w:rsidRPr="00187C93">
        <w:t>ringen aviserar att en samlad bedömning av det samhällsekonomiska utry</w:t>
      </w:r>
      <w:r w:rsidRPr="00187C93">
        <w:t>m</w:t>
      </w:r>
      <w:r w:rsidRPr="00187C93">
        <w:t>met för sänkta skatter på förvärvsinkomster och andra eventuella skatterefo</w:t>
      </w:r>
      <w:r w:rsidRPr="00187C93">
        <w:t>r</w:t>
      </w:r>
      <w:r w:rsidRPr="00187C93">
        <w:t>mer för år 2002 och framöver kommer att göras i samband med budg</w:t>
      </w:r>
      <w:r w:rsidRPr="00187C93">
        <w:t>etprop</w:t>
      </w:r>
      <w:r w:rsidRPr="00187C93">
        <w:t>o</w:t>
      </w:r>
      <w:r w:rsidRPr="00187C93">
        <w:t>sitionen i höst. Utskottet avvaktar detta arbete.</w:t>
      </w:r>
    </w:p>
    <w:p w:rsidR="00DB1B84" w:rsidRPr="00187C93" w:rsidRDefault="00DB1B84">
      <w:pPr>
        <w:pStyle w:val="Normaltindrag"/>
      </w:pPr>
      <w:r w:rsidRPr="00187C93">
        <w:t>Utskottet vill slutligen framhålla att verksamheten inom arbetsmarknad</w:t>
      </w:r>
      <w:r w:rsidRPr="00187C93">
        <w:t>s</w:t>
      </w:r>
      <w:r w:rsidRPr="00187C93">
        <w:t>politiken för att främja tillväxt och företagande sker först och främst inom ramen för  kärnuppgifterna för politikområdet, nämligen platsförmedling, företagskontakter, insatser för att motverka flaskhalsar och åtgärder för att hjälpa dem som har svårast att få arbete. Det är särskilt viktigt att underlätta geografisk och yrkesmässig rörlighet på olika arbetsmarknader. En lokalt flexibel arbetsmarknadspolitik kan spela en viktig roll i en regionalt anpassad sysselsättningsstrategi. Härvid bör regionalpolit</w:t>
      </w:r>
      <w:r w:rsidRPr="00187C93">
        <w:t>iska insatser kombineras med närings-, utbildnings- och arbetsmarknadspolitiska init</w:t>
      </w:r>
      <w:r w:rsidRPr="00187C93">
        <w:t>i</w:t>
      </w:r>
      <w:r w:rsidRPr="00187C93">
        <w:t>ativ.</w:t>
      </w:r>
    </w:p>
    <w:p w:rsidR="00DB1B84" w:rsidRPr="00187C93" w:rsidRDefault="00DB1B84">
      <w:pPr>
        <w:pStyle w:val="R4"/>
      </w:pPr>
      <w:r w:rsidRPr="00187C93">
        <w:t>Lönebildning</w:t>
      </w:r>
    </w:p>
    <w:p w:rsidR="00DB1B84" w:rsidRPr="00187C93" w:rsidRDefault="00DB1B84">
      <w:pPr>
        <w:spacing w:before="187"/>
      </w:pPr>
      <w:r w:rsidRPr="00187C93">
        <w:t>Löneökningarna har varit måttliga under de senaste åren, vilket visar ett ökat ansvarstagande från arbetsmarknadens parter i frågan. Det förefaller inte råda någon politisk oenighet om betydelsen av frågan om den generella löneu</w:t>
      </w:r>
      <w:r w:rsidRPr="00187C93">
        <w:t>t</w:t>
      </w:r>
      <w:r w:rsidRPr="00187C93">
        <w:t>vecklingen.  Kristdemokraterna är emellertid kritiska till att lönebildningen inte i tillräckligt hög grad främjar utbildningen och rörlighet på arbetsmar</w:t>
      </w:r>
      <w:r w:rsidRPr="00187C93">
        <w:t>k</w:t>
      </w:r>
      <w:r w:rsidRPr="00187C93">
        <w:t xml:space="preserve">naden. Kristdemokraterna efterlyser också en större flexibilitet i lönerna för ungdomar och en bättre löneutveckling i bristyrken.  Moderaterna talar i mer allmänna termer om att det måste löna sig med utbildning. </w:t>
      </w:r>
    </w:p>
    <w:p w:rsidR="00DB1B84" w:rsidRPr="00187C93" w:rsidRDefault="00DB1B84">
      <w:pPr>
        <w:pStyle w:val="Normaltindrag"/>
      </w:pPr>
      <w:r w:rsidRPr="00187C93">
        <w:t>Utskottet uttalade sig förra våren i betänkande 1999/2000:AU5 Lönebil</w:t>
      </w:r>
      <w:r w:rsidRPr="00187C93">
        <w:t>d</w:t>
      </w:r>
      <w:r w:rsidRPr="00187C93">
        <w:t>ning och arbetsrätt om sin principiella syn i övergripande lönebildningsfrågor. Då liksom nu konstaterar utskottet att löneökningarnas storlek och dess fö</w:t>
      </w:r>
      <w:r w:rsidRPr="00187C93">
        <w:t>r</w:t>
      </w:r>
      <w:r w:rsidRPr="00187C93">
        <w:t>delning mellan olika grupper skall avgöras i förhandlingar mellan parterna. Frågor om relativt löneläge, ingångslöner och lönesystemets effekter på l</w:t>
      </w:r>
      <w:r w:rsidRPr="00187C93">
        <w:t>ö</w:t>
      </w:r>
      <w:r w:rsidRPr="00187C93">
        <w:t>nespridningen måste bestämmas inom ramen för avtalsrörelsen. Utskottet konstaterar dock att utvecklingen under senare år inneburit ökade inkoms</w:t>
      </w:r>
      <w:r w:rsidRPr="00187C93">
        <w:t>t</w:t>
      </w:r>
      <w:r w:rsidRPr="00187C93">
        <w:t xml:space="preserve">klyftor mellan olika yrkesgrupper och sektorer. Det har också </w:t>
      </w:r>
      <w:r w:rsidRPr="00187C93">
        <w:t>uppmärksa</w:t>
      </w:r>
      <w:r w:rsidRPr="00187C93">
        <w:t>m</w:t>
      </w:r>
      <w:r w:rsidRPr="00187C93">
        <w:t>mats fall av ren lönediskriminering och även omotiverat höga lönefavörer för vissa grupper. Det är viktigt att lönebildningssystemet uppfattas som legitimt. Brister det i legitimitet kan det leda till kompensationskrav, som i slutändan medför att den totala löneutvecklingen leder till att de samhällsekonomiska målen inte uppnås.  Därtill kommer att löneskillnaderna inte får vara så stora att det leder till social oro. Det finns heller inga bevis för att stora löneskilln</w:t>
      </w:r>
      <w:r w:rsidRPr="00187C93">
        <w:t>a</w:t>
      </w:r>
      <w:r w:rsidRPr="00187C93">
        <w:t>der bidrar till en mer prod</w:t>
      </w:r>
      <w:r w:rsidRPr="00187C93">
        <w:t>uktiv ekonomi (se också  Benchmarking av n</w:t>
      </w:r>
      <w:r w:rsidRPr="00187C93">
        <w:t>ä</w:t>
      </w:r>
      <w:r w:rsidRPr="00187C93">
        <w:t>ringspolitiken 2001, Ds 2001:20).</w:t>
      </w:r>
    </w:p>
    <w:p w:rsidR="00DB1B84" w:rsidRPr="00187C93" w:rsidRDefault="00DB1B84">
      <w:pPr>
        <w:pStyle w:val="Normaltindrag"/>
      </w:pPr>
      <w:r w:rsidRPr="00187C93">
        <w:t>I detta sammanhang vill utskottet också påminna om att Medlingsinstitutet inrättades i juni 2000 för att förbättra förutsättningarna för en väl fungerande lönebildning, se närmare om detta i nyss nämnda betänkande. Arbetsmar</w:t>
      </w:r>
      <w:r w:rsidRPr="00187C93">
        <w:t>k</w:t>
      </w:r>
      <w:r w:rsidRPr="00187C93">
        <w:t>nadspolitiken har i ökad utsträckning inriktats på att motverka flaskhalsar samtidigt som speciella insatser görs för att de personer som under lång tid varit utan arbete skall komma tillbaka till den reguljära arbetsmarknaden. Betydande satsningar har också gjorts inom utbildningsområdet i syfte att öka til</w:t>
      </w:r>
      <w:r w:rsidRPr="00187C93">
        <w:t>l</w:t>
      </w:r>
      <w:r w:rsidRPr="00187C93">
        <w:t>gången på kvalificerad arbetskraft.</w:t>
      </w:r>
    </w:p>
    <w:p w:rsidR="00DB1B84" w:rsidRPr="00187C93" w:rsidRDefault="00DB1B84">
      <w:pPr>
        <w:pStyle w:val="Normaltindrag"/>
      </w:pPr>
      <w:r w:rsidRPr="00187C93">
        <w:t>Utskottet vill slutligen särskilt betona frågan om löneskillnader mellan kvinnor och män som en av jämställdhetspolitikens viktigaste. Parterna har ett speciellt ans</w:t>
      </w:r>
      <w:r w:rsidRPr="00187C93">
        <w:t>var även för att motverka sådana löneskillnader. Ett viktigt i</w:t>
      </w:r>
      <w:r w:rsidRPr="00187C93">
        <w:t>n</w:t>
      </w:r>
      <w:r w:rsidRPr="00187C93">
        <w:t xml:space="preserve">strument är jämställdhetslagen, som skärptes genom en lagändring som trädde i kraft i januari i år. </w:t>
      </w:r>
    </w:p>
    <w:p w:rsidR="00DB1B84" w:rsidRPr="00187C93" w:rsidRDefault="00DB1B84">
      <w:pPr>
        <w:pStyle w:val="R4"/>
      </w:pPr>
      <w:r w:rsidRPr="00187C93">
        <w:t>Utestängning från arbetsmarknaden och diskriminering</w:t>
      </w:r>
    </w:p>
    <w:p w:rsidR="00DB1B84" w:rsidRPr="00187C93" w:rsidRDefault="00DB1B84">
      <w:pPr>
        <w:spacing w:before="187"/>
      </w:pPr>
      <w:r w:rsidRPr="00187C93">
        <w:t>Utskottet delar regeringens uppfattning att kompetenshöjande åtgärder och sådana åtgärder som ger alla människor goda motiv till arbete är en viktig väg för att motverka att människor stängs ute från arbetsmarknaden. Den pågåe</w:t>
      </w:r>
      <w:r w:rsidRPr="00187C93">
        <w:t>n</w:t>
      </w:r>
      <w:r w:rsidRPr="00187C93">
        <w:t>de strukturomvandlingen på arbetsmarknaden och den demografiska utvec</w:t>
      </w:r>
      <w:r w:rsidRPr="00187C93">
        <w:t>k</w:t>
      </w:r>
      <w:r w:rsidRPr="00187C93">
        <w:t>lingen ökar behovet av arbetskraft och livslångt lärande. Arbetsmarknadsp</w:t>
      </w:r>
      <w:r w:rsidRPr="00187C93">
        <w:t>o</w:t>
      </w:r>
      <w:r w:rsidRPr="00187C93">
        <w:t>litiken kan med sina insatser förhindra att individer slås ut från arbetsmarkn</w:t>
      </w:r>
      <w:r w:rsidRPr="00187C93">
        <w:t>a</w:t>
      </w:r>
      <w:r w:rsidRPr="00187C93">
        <w:t>den på grund av brister i efterfrågade kunskaper. En utredning om hur ett kompetenssparande skall utformas bereds för närvarande inom Regering</w:t>
      </w:r>
      <w:r w:rsidRPr="00187C93">
        <w:t>s</w:t>
      </w:r>
      <w:r w:rsidRPr="00187C93">
        <w:t>kansliet (SOU 2000:119).</w:t>
      </w:r>
    </w:p>
    <w:p w:rsidR="00DB1B84" w:rsidRPr="00187C93" w:rsidRDefault="00DB1B84">
      <w:pPr>
        <w:pStyle w:val="Normaltindrag"/>
      </w:pPr>
      <w:r w:rsidRPr="00187C93">
        <w:t>Utbildning som ges inom ramen för arbetsmarknadspolitiken skall bidra till att motverka flaskhalsar inom bristyrkesområd</w:t>
      </w:r>
      <w:r w:rsidRPr="00187C93">
        <w:t xml:space="preserve">en. Utvecklingen inom IT-sektorn är dock ett exempel på att förutsättningar snabbt kan förändras och att det måste finnas en beredskap för att insatser måste få en annan inriktning. </w:t>
      </w:r>
    </w:p>
    <w:p w:rsidR="00DB1B84" w:rsidRPr="00187C93" w:rsidRDefault="00DB1B84">
      <w:pPr>
        <w:pStyle w:val="Normaltindrag"/>
      </w:pPr>
      <w:r w:rsidRPr="00187C93">
        <w:t>Vid sidan om generella insatser för att öka sysselsättningen måste det oc</w:t>
      </w:r>
      <w:r w:rsidRPr="00187C93">
        <w:t>k</w:t>
      </w:r>
      <w:r w:rsidRPr="00187C93">
        <w:t>så till en, som regeringen uttrycker det, mobilisering av särskilda grupper som i dag har låg sysselsättningsgrad. Det gäller personer med utländsk bakgrund, äldre, ungdomar och funktionshindrade. Enligt utskottets uppfattning är det i många fall för personer som hör till dessa grupper omotiverat svårt att ta sig in på arbetsmarknaden. Det finns skäl att ställa större krav på långsiktighet och socialt ansvar på aktörerna såväl inom den privata som offentliga sektorn. Det finns dessutom tecken på att det fö</w:t>
      </w:r>
      <w:r w:rsidRPr="00187C93">
        <w:t>rekommer diskriminering på den svenska arbetsmarkn</w:t>
      </w:r>
      <w:r w:rsidRPr="00187C93">
        <w:t>a</w:t>
      </w:r>
      <w:r w:rsidRPr="00187C93">
        <w:t>den.</w:t>
      </w:r>
    </w:p>
    <w:p w:rsidR="00DB1B84" w:rsidRPr="00187C93" w:rsidRDefault="00DB1B84">
      <w:pPr>
        <w:pStyle w:val="Normaltindrag"/>
      </w:pPr>
      <w:r w:rsidRPr="00187C93">
        <w:t xml:space="preserve">Detta förhållande illustreras av uppgifter i AMS kvartalsrapport 2001:1 enligt vilka äldre och arbetshandikappade är överrepresenterade bland de långtidsinskrivna hos arbetsförmedlingarna. Andelen långtidsinskrivna, i åldersgruppen 55 år eller äldre av samtliga långtidsinskrivna, har ökat från </w:t>
      </w:r>
      <w:r w:rsidRPr="00187C93">
        <w:br/>
        <w:t>27 % förra året till 39 % i år. Andelen långtidsinskrivna av samtliga arbetsl</w:t>
      </w:r>
      <w:r w:rsidRPr="00187C93">
        <w:t>ö</w:t>
      </w:r>
      <w:r w:rsidRPr="00187C93">
        <w:t>sa och deltagare i konjunkturberoende program i dessa åldrar uppgick till 35 %. Även andelen arbetshandikappade av den totala andelen långtidsinskrivna har ökat till 27,4 %. Det är särskilt angeläget att utnyttja den goda utvecklin</w:t>
      </w:r>
      <w:r w:rsidRPr="00187C93">
        <w:t>g</w:t>
      </w:r>
      <w:r w:rsidRPr="00187C93">
        <w:t xml:space="preserve">en inom svensk ekonomi och det förbättrade arbetsmarknadsläget för att undvika att dessa personer permanent skall slås ut från arbetsmarknaden. </w:t>
      </w:r>
    </w:p>
    <w:p w:rsidR="00DB1B84" w:rsidRPr="00187C93" w:rsidRDefault="00DB1B84">
      <w:pPr>
        <w:pStyle w:val="Normaltindrag"/>
      </w:pPr>
      <w:r w:rsidRPr="00187C93">
        <w:t>Den 1 augusti 2000 infördes aktivitetsgarantin. Avsikten</w:t>
      </w:r>
      <w:r w:rsidRPr="00187C93">
        <w:t xml:space="preserve"> var att skapa ett nytt flexibelt arbetsmarknadspolitiskt program som skulle bidra till att mo</w:t>
      </w:r>
      <w:r w:rsidRPr="00187C93">
        <w:t>t</w:t>
      </w:r>
      <w:r w:rsidRPr="00187C93">
        <w:t xml:space="preserve">verka passivitet och långtidsinskrivning utan meningsfull sysselsättning. Deltagande i aktivitetsgarantin skall leda till att de arbetssökande inte bara bibehåller utan också förbättrar sin kompetens under arbetslösheten så att den bättre svarar mot behoven på arbetsmarknaden. Aktivitetsgarantin syftar till att motverka utslagning och skall leda till att den arbetssökandes vilja att ta ett arbetet bättre tas till </w:t>
      </w:r>
      <w:r w:rsidRPr="00187C93">
        <w:t>vara, att flaskhalsar motverkas samt att tillväxten ytterl</w:t>
      </w:r>
      <w:r w:rsidRPr="00187C93">
        <w:t>i</w:t>
      </w:r>
      <w:r w:rsidRPr="00187C93">
        <w:t>gare stimuleras. Inom ramen för aktivitetsgarantin skall de befintliga arbet</w:t>
      </w:r>
      <w:r w:rsidRPr="00187C93">
        <w:t>s</w:t>
      </w:r>
      <w:r w:rsidRPr="00187C93">
        <w:t>marknadspolitiska insatserna och möjligheterna genom Europeiska socialfo</w:t>
      </w:r>
      <w:r w:rsidRPr="00187C93">
        <w:t>n</w:t>
      </w:r>
      <w:r w:rsidRPr="00187C93">
        <w:t>dens mål 3 utnyttjas (se prop. 1999/2000:98 och 1999/2000:139 samt bet. 1999/2000:AU7 och 2000/01:AU5). Utskottet vill betona vikten av att de åtgärder som genomförs inom ramen för aktivitetsgarantin upprätthåller en god kvalitet. Viss försiktighet bör iakttas så att en alltför kraftig ökning av omfatt</w:t>
      </w:r>
      <w:r w:rsidRPr="00187C93">
        <w:t>ningen av programmet inte leder till att syftet inte kan uppnås.  Man får dock inte blunda för att det kan finnas ett behov av andra alternativa arbeten för de grupper, bl.a. många äldre arbetssökande, som inte ens efter en längre tids verksamhet inom ramen för aktivitetsgarantin kan få reguljära arbeten. Det är också angeläget att goda erfarenheter från  projekt inom EU:s struktu</w:t>
      </w:r>
      <w:r w:rsidRPr="00187C93">
        <w:t>r</w:t>
      </w:r>
      <w:r w:rsidRPr="00187C93">
        <w:t>fonder, Mål 3 liksom erfarenheter inom den kommunala sektorn av OTA och lokalt genomförda sysselsättning</w:t>
      </w:r>
      <w:r w:rsidRPr="00187C93">
        <w:t>s</w:t>
      </w:r>
      <w:r w:rsidRPr="00187C93">
        <w:t>projekt tas till vara.</w:t>
      </w:r>
    </w:p>
    <w:p w:rsidR="00DB1B84" w:rsidRPr="00187C93" w:rsidRDefault="00DB1B84">
      <w:pPr>
        <w:pStyle w:val="Normaltindrag"/>
      </w:pPr>
      <w:r w:rsidRPr="00187C93">
        <w:t>Utskottet vill också i detta sammanhang nämna att regeringen nyligen dels beslutat att ge möjlighet för deltagare i aktivitetsgarantin att vara lediga med bibehållen ersättning, dels tillsatt en särskild utredare att se över möjlighete</w:t>
      </w:r>
      <w:r w:rsidRPr="00187C93">
        <w:t>r</w:t>
      </w:r>
      <w:r w:rsidRPr="00187C93">
        <w:t>na att effektivisera utbetalningarna av aktivitetsstöd och arbetslöshetsersät</w:t>
      </w:r>
      <w:r w:rsidRPr="00187C93">
        <w:t>t</w:t>
      </w:r>
      <w:r w:rsidRPr="00187C93">
        <w:t>ning genom att låta en och samma organisation sköta dem. Utredaren skall också kartlägga de förändringar som behöver göras i ersättningssystemen för aktivitetsstöd och arbetslöshetsersättning för att underlätta anpassningen av de båda systemen till varandra.</w:t>
      </w:r>
    </w:p>
    <w:p w:rsidR="00DB1B84" w:rsidRPr="00187C93" w:rsidRDefault="00DB1B84">
      <w:pPr>
        <w:pStyle w:val="Normaltindrag"/>
      </w:pPr>
      <w:r w:rsidRPr="00187C93">
        <w:t>Utskottet kan också nämna det särskilda anställningsstödet som införts för långtidsarbetslösa som fyllt 57 år, regler om vilande förtidspension, medel som avsatts för persona</w:t>
      </w:r>
      <w:r w:rsidRPr="00187C93">
        <w:t>lförstärkningar för att särskilt stärka ställningen på arbetsmarknaden för personer med utländsk bakgrund, förbättrad introduktion och svenskundervisning, validering av utländsk kompetens m.m. som exe</w:t>
      </w:r>
      <w:r w:rsidRPr="00187C93">
        <w:t>m</w:t>
      </w:r>
      <w:r w:rsidRPr="00187C93">
        <w:t>pel på riktade insatser för grupper med särskilda svårigheter på arbetsmarkn</w:t>
      </w:r>
      <w:r w:rsidRPr="00187C93">
        <w:t>a</w:t>
      </w:r>
      <w:r w:rsidRPr="00187C93">
        <w:t>den.</w:t>
      </w:r>
    </w:p>
    <w:p w:rsidR="00DB1B84" w:rsidRPr="00187C93" w:rsidRDefault="00DB1B84">
      <w:pPr>
        <w:pStyle w:val="Normaltindrag"/>
      </w:pPr>
      <w:r w:rsidRPr="00187C93">
        <w:t>Kommunerna kan sedan oktober 1995 sluta avtal med länsarbetsnämnde</w:t>
      </w:r>
      <w:r w:rsidRPr="00187C93">
        <w:t>r</w:t>
      </w:r>
      <w:r w:rsidRPr="00187C93">
        <w:t>na om sysselsättning som underlättar arbetslösa ungdomars inträde på a</w:t>
      </w:r>
      <w:r w:rsidRPr="00187C93">
        <w:t>r</w:t>
      </w:r>
      <w:r w:rsidRPr="00187C93">
        <w:t>betsmarknaden. Det kommunala ungdomsprogrammet omfattar heltidsåtgä</w:t>
      </w:r>
      <w:r w:rsidRPr="00187C93">
        <w:t>r</w:t>
      </w:r>
      <w:r w:rsidRPr="00187C93">
        <w:t>der för ungdomar i åldrarna upp till 20 år.</w:t>
      </w:r>
    </w:p>
    <w:p w:rsidR="00DB1B84" w:rsidRPr="00187C93" w:rsidRDefault="00DB1B84">
      <w:pPr>
        <w:pStyle w:val="Normaltindrag"/>
      </w:pPr>
      <w:r w:rsidRPr="00187C93">
        <w:t>Centerpartiet har föreslagit införandet av en övergångsarbetsmarknad, inom vilken arbetskraften skulle vara billigare genom t.ex. återföring av a</w:t>
      </w:r>
      <w:r w:rsidRPr="00187C93">
        <w:t>r</w:t>
      </w:r>
      <w:r w:rsidRPr="00187C93">
        <w:t>betsgivaravgifter. Utskottet, som tidigare har behandlat motsvarande yrkande, konstaterar att förslaget till viss del överensstämmer med de idéer som ligger bakom anställningsstödet och även med vad utskottet ovan uttalat om andra alternativa arbeten, men att det är alltför vagt formulerat för att ligga till grund för något ställningstagande från utskottet (se också bet. 1999/2000:AU7).</w:t>
      </w:r>
    </w:p>
    <w:p w:rsidR="00DB1B84" w:rsidRPr="00187C93" w:rsidRDefault="00DB1B84">
      <w:pPr>
        <w:pStyle w:val="Normaltindrag"/>
      </w:pPr>
      <w:r w:rsidRPr="00187C93">
        <w:t>Utskottet återkommer till åtgärder för att minska långa sjukskrivningstider under r</w:t>
      </w:r>
      <w:r w:rsidRPr="00187C93">
        <w:t>u</w:t>
      </w:r>
      <w:r w:rsidRPr="00187C93">
        <w:t>briken Ohälsa i arbetslivet.</w:t>
      </w:r>
    </w:p>
    <w:p w:rsidR="00DB1B84" w:rsidRPr="00187C93" w:rsidRDefault="00DB1B84">
      <w:pPr>
        <w:pStyle w:val="R4"/>
      </w:pPr>
      <w:r w:rsidRPr="00187C93">
        <w:t>Deltidsarbetslöshet</w:t>
      </w:r>
    </w:p>
    <w:p w:rsidR="00DB1B84" w:rsidRPr="00187C93" w:rsidRDefault="00DB1B84">
      <w:pPr>
        <w:spacing w:before="187"/>
      </w:pPr>
      <w:r w:rsidRPr="00187C93">
        <w:t>Utskottet har i föregående avsnitt berört frågan om behov av ett större arbet</w:t>
      </w:r>
      <w:r w:rsidRPr="00187C93">
        <w:t>s</w:t>
      </w:r>
      <w:r w:rsidRPr="00187C93">
        <w:t>kraftsutbud. Kommande pensionsavgångar och stora rekryteringsbehov av personal medför ett ökat behov av arbetskraft inom bl. a.  vård och omsorg, en sektor där deltidsarbetslöshet är vanligt förekommande. Utskottet har i en rad olika sammanhang behandlat frågor om deltidsarbetslöshet. Senast u</w:t>
      </w:r>
      <w:r w:rsidRPr="00187C93">
        <w:t>t</w:t>
      </w:r>
      <w:r w:rsidRPr="00187C93">
        <w:t>skottet tog upp frågan var i betänkande 2000/01:AU9  Arbetstid och ledighet från anställning m.m. Utskottet pekade då bl. a.  på det förhållandet att det för gruppen deltidsarbetslösa i vissa avseenden råder andra ar</w:t>
      </w:r>
      <w:r w:rsidRPr="00187C93">
        <w:t>betsvillkor än för arbetstagare som arbetar heltid, villkor som i många fall leder till begrän</w:t>
      </w:r>
      <w:r w:rsidRPr="00187C93">
        <w:t>s</w:t>
      </w:r>
      <w:r w:rsidRPr="00187C93">
        <w:t>ningar för individen både ekonomiskt och i förlängningen också socialt. Ett av de mest påtagliga problem som möter dessa personer är svårigheterna att få arbeta fler timmar. Samtidigt som sjukvårdshuvudmännen har en kraftig efterfrågan på arbetskraft tvingas många kvinnor som arbetar deltid inom vården fortsätta med detta utan hänsyn till önskemål om högre sysselsät</w:t>
      </w:r>
      <w:r w:rsidRPr="00187C93">
        <w:t>t</w:t>
      </w:r>
      <w:r w:rsidRPr="00187C93">
        <w:t xml:space="preserve">ningsgrad. Dessa problem är dock inte unika för </w:t>
      </w:r>
      <w:r w:rsidRPr="00187C93">
        <w:t>vårdsektorn utan är tyvärr väl spridda på arbetsmarkn</w:t>
      </w:r>
      <w:r w:rsidRPr="00187C93">
        <w:t>a</w:t>
      </w:r>
      <w:r w:rsidRPr="00187C93">
        <w:t>den i stort.</w:t>
      </w:r>
    </w:p>
    <w:p w:rsidR="00DB1B84" w:rsidRPr="00187C93" w:rsidRDefault="00DB1B84">
      <w:pPr>
        <w:pStyle w:val="Normaltindrag"/>
      </w:pPr>
      <w:r w:rsidRPr="00187C93">
        <w:t>I ett par korta ordalag skall här nämnas några av de åtgärder som har vi</w:t>
      </w:r>
      <w:r w:rsidRPr="00187C93">
        <w:t>d</w:t>
      </w:r>
      <w:r w:rsidRPr="00187C93">
        <w:t>tagits under senare tid för att motverka problemet. Regeringen har i regl</w:t>
      </w:r>
      <w:r w:rsidRPr="00187C93">
        <w:t>e</w:t>
      </w:r>
      <w:r w:rsidRPr="00187C93">
        <w:t xml:space="preserve">ringsbrev för budgetåret 2001 avseende Arbetsmarknadsverket och anslag inom utgiftsområde 13 Arbetsmarknad gett AMS i uppdrag att kartlägga de arbetsgivare som har en stor andel deltidsarbetslösa och som inte erbjuder ökad arbetstid till dem som vill arbeta mer. AMS skall sedan i överläggningar med dessa arbetsgivare försöka påverka dem att organisera sitt arbete så att deltidsanställda kan erbjudas den arbetstid som de efterfrågar. </w:t>
      </w:r>
      <w:r w:rsidRPr="00187C93">
        <w:t>AMS skall också enligt uppdraget ta till vara och utveckla de aktiviteter och arbetsmet</w:t>
      </w:r>
      <w:r w:rsidRPr="00187C93">
        <w:t>o</w:t>
      </w:r>
      <w:r w:rsidRPr="00187C93">
        <w:t>der som beskrivs i Vårdkommissionens förslag (Ds 1999:44) i syfte att min</w:t>
      </w:r>
      <w:r w:rsidRPr="00187C93">
        <w:t>s</w:t>
      </w:r>
      <w:r w:rsidRPr="00187C93">
        <w:t>ka deltidsarbetslösheten och därvid samverka med de fackliga organisatione</w:t>
      </w:r>
      <w:r w:rsidRPr="00187C93">
        <w:t>r</w:t>
      </w:r>
      <w:r w:rsidRPr="00187C93">
        <w:t>na. I uppdraget ingår också att  redovisa om och i vilken omfattning aktiv</w:t>
      </w:r>
      <w:r w:rsidRPr="00187C93">
        <w:t>i</w:t>
      </w:r>
      <w:r w:rsidRPr="00187C93">
        <w:t>tetsg</w:t>
      </w:r>
      <w:r w:rsidRPr="00187C93">
        <w:t>a</w:t>
      </w:r>
      <w:r w:rsidRPr="00187C93">
        <w:t>rantin medverkat till att deltidsarbetslösheten minskat.</w:t>
      </w:r>
    </w:p>
    <w:p w:rsidR="00DB1B84" w:rsidRPr="00187C93" w:rsidRDefault="00DB1B84">
      <w:pPr>
        <w:pStyle w:val="Normaltindrag"/>
      </w:pPr>
      <w:r w:rsidRPr="00187C93">
        <w:t>Enligt uppgift i propositionen kommer ökade krav att ställas på arbetsgiv</w:t>
      </w:r>
      <w:r w:rsidRPr="00187C93">
        <w:t>a</w:t>
      </w:r>
      <w:r w:rsidRPr="00187C93">
        <w:t>re med många deltidsanställda som uppbär arbetslöshetsersättning att intyga att mer arbete inte kan erbjudas. Arbetsgivare som har en stor andel deltidsa</w:t>
      </w:r>
      <w:r w:rsidRPr="00187C93">
        <w:t>r</w:t>
      </w:r>
      <w:r w:rsidRPr="00187C93">
        <w:t>betande och som inte erbjuder önskad arbetstid kommer att kartläggas. AMS kommer därefter att ha överläggningar med arbetsgivarna för att få dem att organisera arbetet på ett s</w:t>
      </w:r>
      <w:r w:rsidRPr="00187C93">
        <w:t>å</w:t>
      </w:r>
      <w:r w:rsidRPr="00187C93">
        <w:t>dant sätt att oönskat deltidsarbete undviks.</w:t>
      </w:r>
    </w:p>
    <w:p w:rsidR="00DB1B84" w:rsidRPr="00187C93" w:rsidRDefault="00DB1B84">
      <w:pPr>
        <w:pStyle w:val="Normaltindrag"/>
      </w:pPr>
      <w:r w:rsidRPr="00187C93">
        <w:t>Regeringen har i vårpropositionen aviserat att den avser att avsätta 100 miljoner kronor för att motverka deltidsarbetslösheten, ett yt</w:t>
      </w:r>
      <w:r w:rsidRPr="00187C93">
        <w:t>terligare bidrag i de strävanden som hittills vidtagits för att minska problemet och som utsko</w:t>
      </w:r>
      <w:r w:rsidRPr="00187C93">
        <w:t>t</w:t>
      </w:r>
      <w:r w:rsidRPr="00187C93">
        <w:t>tet ansluter sig till. Enligt uppgift från Näringsdepartementet återkommer regeringen i budgetpropositionen för år 2002 med en närmare precisering om vad dessa medel skall a</w:t>
      </w:r>
      <w:r w:rsidRPr="00187C93">
        <w:t>n</w:t>
      </w:r>
      <w:r w:rsidRPr="00187C93">
        <w:t xml:space="preserve">vändas till. </w:t>
      </w:r>
    </w:p>
    <w:p w:rsidR="00DB1B84" w:rsidRPr="00187C93" w:rsidRDefault="00DB1B84">
      <w:pPr>
        <w:pStyle w:val="R4"/>
      </w:pPr>
      <w:r w:rsidRPr="00187C93">
        <w:t>Ohälsa i arbetslivet</w:t>
      </w:r>
    </w:p>
    <w:p w:rsidR="00DB1B84" w:rsidRPr="00187C93" w:rsidRDefault="00DB1B84">
      <w:pPr>
        <w:spacing w:before="187"/>
      </w:pPr>
      <w:r w:rsidRPr="00187C93">
        <w:t>Antalet sjukskrivningar och antalet anmälda arbetsskador har ökat kraftigt under slutet av 1990-talet. Det är framför allt antalet långtidssjuka som ökat. Ökningen är störst inom sjukvård, utbildning, polis och annan offentlig ver</w:t>
      </w:r>
      <w:r w:rsidRPr="00187C93">
        <w:t>k</w:t>
      </w:r>
      <w:r w:rsidRPr="00187C93">
        <w:t>samhet. Kvinnor är överrepresenterade i sjukskrivnings- och arbetsskadest</w:t>
      </w:r>
      <w:r w:rsidRPr="00187C93">
        <w:t>a</w:t>
      </w:r>
      <w:r w:rsidRPr="00187C93">
        <w:t>tistiken. Fysiska belastningsskador och psykiskt betingade besvär dominerar. Den snabbaste ökningen har skett när det gäller de psykiskt betingade skado</w:t>
      </w:r>
      <w:r w:rsidRPr="00187C93">
        <w:t>r</w:t>
      </w:r>
      <w:r w:rsidRPr="00187C93">
        <w:t>na. Arbetssjukdomar orsakade av organisatoriska eller sociala faktorer har ökat mest av samtliga sjukdomar. Av dessa är flertalet relaterade till stress och hög arbetsbelastning (källa: Ds 2000:54 Ett föränderligt arbetsliv på gott och ont).</w:t>
      </w:r>
    </w:p>
    <w:p w:rsidR="00DB1B84" w:rsidRPr="00187C93" w:rsidRDefault="00DB1B84">
      <w:pPr>
        <w:pStyle w:val="Normaltindrag"/>
      </w:pPr>
      <w:r w:rsidRPr="00187C93">
        <w:t>Med anledning av den alarmerade utveckling</w:t>
      </w:r>
      <w:r w:rsidRPr="00187C93">
        <w:t>en höll arbetsmarknadsu</w:t>
      </w:r>
      <w:r w:rsidRPr="00187C93">
        <w:t>t</w:t>
      </w:r>
      <w:r w:rsidRPr="00187C93">
        <w:t>skottet tidigare i vår en hearing på temat Ohälsa på jobbet – vad är problemet. Syftet med hearingen var att  få en ökad klarhet i frågor som vad det är i arbetslivet som förorsakar ohälsan och om arbetsmiljölagen behöver ändras. I hearingen deltog en arbetsgivare, en chefsbarnmorska, företrädare för LO, TCO och Arbetsmiljöverket samt forskaren Annika Härenstam. Utskottet inser att problemet är komplicerat och har många bottnar och att det krävs åtgärder på en rad områden för att min</w:t>
      </w:r>
      <w:r w:rsidRPr="00187C93">
        <w:t>ska sjukfrånvaron och för att öka mö</w:t>
      </w:r>
      <w:r w:rsidRPr="00187C93">
        <w:t>j</w:t>
      </w:r>
      <w:r w:rsidRPr="00187C93">
        <w:t>ligheterna för människor att vara kvar i arbetslivet fram till den ordinarie pensionsåldern.</w:t>
      </w:r>
    </w:p>
    <w:p w:rsidR="00DB1B84" w:rsidRPr="00187C93" w:rsidRDefault="00DB1B84">
      <w:pPr>
        <w:pStyle w:val="Normaltindrag"/>
      </w:pPr>
      <w:r w:rsidRPr="00187C93">
        <w:t>I januari 2000 tillsattes en arbetsgrupp inom Regeringskansliet med up</w:t>
      </w:r>
      <w:r w:rsidRPr="00187C93">
        <w:t>p</w:t>
      </w:r>
      <w:r w:rsidRPr="00187C93">
        <w:t>gift att analysera den stora ökningen av arbetsbetingad ohälsa som har sa</w:t>
      </w:r>
      <w:r w:rsidRPr="00187C93">
        <w:t>m</w:t>
      </w:r>
      <w:r w:rsidRPr="00187C93">
        <w:t>band med stress och andra organisatoriska och sociala faktorer. Arbetsgru</w:t>
      </w:r>
      <w:r w:rsidRPr="00187C93">
        <w:t>p</w:t>
      </w:r>
      <w:r w:rsidRPr="00187C93">
        <w:t>pen skall inom kort lämna sin slutrapport. Arbetsgruppens huvudförslag är att regeringen tar initiativ till en trepartsdialog mellan regeringen och de statliga verken, arbetsgivare och arbetstagare. Målet är att komma fram till ett å</w:t>
      </w:r>
      <w:r w:rsidRPr="00187C93">
        <w:t>t</w:t>
      </w:r>
      <w:r w:rsidRPr="00187C93">
        <w:t>gärdsprogram för att långsiktigt råda bot på den negativa stressen i arbetslivet. Frågor som gruppen ansett vara lämpliga för tre</w:t>
      </w:r>
      <w:r w:rsidRPr="00187C93">
        <w:t>partsdialogen är individuellt anpassade arbetstider, inflytande/delaktighet/samverkan på arbetsplatsen, kunskapsspridning och arbetsmiljökompetens, certifiering som en komplett</w:t>
      </w:r>
      <w:r w:rsidRPr="00187C93">
        <w:t>e</w:t>
      </w:r>
      <w:r w:rsidRPr="00187C93">
        <w:t>rande strategi för lagstiftning och tillsyn och speciella åtgärder riktade till små företag. Regeringen har redan i vårpropositionen aviserat att den avser att inleda samarbete med offentliga arbetsgivare och arbetsmarknadens parter i dessa frågor. Enligt propositionen avsätts 100 miljoner kronor för att motve</w:t>
      </w:r>
      <w:r w:rsidRPr="00187C93">
        <w:t>r</w:t>
      </w:r>
      <w:r w:rsidRPr="00187C93">
        <w:t>ka långtidssjukskrivnin</w:t>
      </w:r>
      <w:r w:rsidRPr="00187C93">
        <w:t>gar. Regeringen har också gett Statskontoret i uppdrag att utreda hur ett mer effektivt utnyttjande av företagshälsovård skall kunna medverka till att för</w:t>
      </w:r>
      <w:r w:rsidRPr="00187C93">
        <w:t>e</w:t>
      </w:r>
      <w:r w:rsidRPr="00187C93">
        <w:t>bygga ohälsa på arbetsplatserna.</w:t>
      </w:r>
    </w:p>
    <w:p w:rsidR="00DB1B84" w:rsidRPr="00187C93" w:rsidRDefault="00DB1B84">
      <w:pPr>
        <w:pStyle w:val="Normaltindrag"/>
      </w:pPr>
      <w:r w:rsidRPr="00187C93">
        <w:t>Utskottet välkomnar dessa initiativ.</w:t>
      </w:r>
    </w:p>
    <w:p w:rsidR="00DB1B84" w:rsidRPr="00187C93" w:rsidRDefault="00DB1B84">
      <w:pPr>
        <w:pStyle w:val="R4"/>
      </w:pPr>
      <w:r w:rsidRPr="00187C93">
        <w:t>Arbetslöshetsförsäkringen</w:t>
      </w:r>
    </w:p>
    <w:p w:rsidR="00DB1B84" w:rsidRPr="00187C93" w:rsidRDefault="00DB1B84">
      <w:pPr>
        <w:spacing w:before="187"/>
      </w:pPr>
      <w:r w:rsidRPr="00187C93">
        <w:t>Arbetslöshetsförsäkringens uppgift är att ersätta den enskilde för inkomstfö</w:t>
      </w:r>
      <w:r w:rsidRPr="00187C93">
        <w:t>r</w:t>
      </w:r>
      <w:r w:rsidRPr="00187C93">
        <w:t>lust vid arbetslöshet under en omställningsperiod fram till ett nytt arbete. Stödet till arbetslöshetsförsäkringen syftar till att stärka arbetslinjen i svensk arbetsmarknadspolitik. I syfte att stärka arbetslöshetsförsäkringen i dess roll som en omställningsförsäkring reformerades arbetslöshetsförsäkringen nyl</w:t>
      </w:r>
      <w:r w:rsidRPr="00187C93">
        <w:t>i</w:t>
      </w:r>
      <w:r w:rsidRPr="00187C93">
        <w:t>gen genom lagändringar som trädde i kraft den 5 februari i år. Ändringarna medförde bl.a. ökad rättssäkerhet för den enskilde samt att kraven på den arbetsl</w:t>
      </w:r>
      <w:r w:rsidRPr="00187C93">
        <w:t>ö</w:t>
      </w:r>
      <w:r w:rsidRPr="00187C93">
        <w:t>se tydliggjordes och att en bättre sökpro</w:t>
      </w:r>
      <w:r w:rsidRPr="00187C93">
        <w:t>cess infördes.</w:t>
      </w:r>
    </w:p>
    <w:p w:rsidR="00DB1B84" w:rsidRPr="00187C93" w:rsidRDefault="00DB1B84">
      <w:pPr>
        <w:pStyle w:val="Normaltindrag"/>
      </w:pPr>
      <w:r w:rsidRPr="00187C93">
        <w:t>I vårpropositionen föreslår regeringen att dagpenningen i försäkringen höjs med 100 kr de första hundra dagarna och att den lägsta dagpenningen höjs från 240 kr till 270 kr. Regeringen aviserar vidare att en bedömning  av mö</w:t>
      </w:r>
      <w:r w:rsidRPr="00187C93">
        <w:t>j</w:t>
      </w:r>
      <w:r w:rsidRPr="00187C93">
        <w:t>ligheterna till en ytterligare förbättring av ersättningsnivåerna görs i samband med budgetpropositionen för år 2002, vilket utskottet ser som mycket pos</w:t>
      </w:r>
      <w:r w:rsidRPr="00187C93">
        <w:t>i</w:t>
      </w:r>
      <w:r w:rsidRPr="00187C93">
        <w:t>tivt.</w:t>
      </w:r>
    </w:p>
    <w:p w:rsidR="00DB1B84" w:rsidRPr="00187C93" w:rsidRDefault="00DB1B84">
      <w:pPr>
        <w:pStyle w:val="Normaltindrag"/>
      </w:pPr>
      <w:r w:rsidRPr="00187C93">
        <w:t>Utskottet tog nyligen ställning till en rad frågor om arbetslöshetsförsä</w:t>
      </w:r>
      <w:r w:rsidRPr="00187C93">
        <w:t>k</w:t>
      </w:r>
      <w:r w:rsidRPr="00187C93">
        <w:t>ringens utformning i betänkande 2000/01:AU5 och avstår i detta samma</w:t>
      </w:r>
      <w:r w:rsidRPr="00187C93">
        <w:t>n</w:t>
      </w:r>
      <w:r w:rsidRPr="00187C93">
        <w:t>hang från att i vidare mån kommentera de förslag som lämnats i motione</w:t>
      </w:r>
      <w:r w:rsidRPr="00187C93">
        <w:t>r</w:t>
      </w:r>
      <w:r w:rsidRPr="00187C93">
        <w:t>na.</w:t>
      </w:r>
    </w:p>
    <w:p w:rsidR="00DB1B84" w:rsidRPr="00187C93" w:rsidRDefault="00DB1B84">
      <w:pPr>
        <w:pStyle w:val="R4"/>
      </w:pPr>
      <w:r w:rsidRPr="00187C93">
        <w:t>Arbetsmarknadsverket m.m.</w:t>
      </w:r>
    </w:p>
    <w:p w:rsidR="00DB1B84" w:rsidRPr="00187C93" w:rsidRDefault="00DB1B84">
      <w:pPr>
        <w:spacing w:before="187"/>
      </w:pPr>
      <w:r w:rsidRPr="00187C93">
        <w:t>Arbetsmarknadsverket (AMV) har under en följd av år givits resurser för tillfällig personalförstärkning, för år 2001 motsvarande 700 miljoner kronor. Regeringen aviserar att den avser att återkomma till riksdagen i budgetprop</w:t>
      </w:r>
      <w:r w:rsidRPr="00187C93">
        <w:t>o</w:t>
      </w:r>
      <w:r w:rsidRPr="00187C93">
        <w:t>sitionen för år 2002 med förslag om att  motsvarande belopp tilldelas AMV permanent. Liksom i år skall 165 miljoner kronor av dessa medel användas för att stärka ställningen på arbetsmarknaden för personer med utländsk ba</w:t>
      </w:r>
      <w:r w:rsidRPr="00187C93">
        <w:t>k</w:t>
      </w:r>
      <w:r w:rsidRPr="00187C93">
        <w:t>grund. Utskottet ser positivt på förslaget och konstaterar att en sådan förstär</w:t>
      </w:r>
      <w:r w:rsidRPr="00187C93">
        <w:t>k</w:t>
      </w:r>
      <w:r w:rsidRPr="00187C93">
        <w:t>ning skulle ge AMV förutsättningar att utveckla kvaliteten i handlingsplane</w:t>
      </w:r>
      <w:r w:rsidRPr="00187C93">
        <w:t>r</w:t>
      </w:r>
      <w:r w:rsidRPr="00187C93">
        <w:t>na och aktivitetsgarantin. AMV skulle också kunna utveckla arbetet ytterlig</w:t>
      </w:r>
      <w:r w:rsidRPr="00187C93">
        <w:t>a</w:t>
      </w:r>
      <w:r w:rsidRPr="00187C93">
        <w:t>re med a</w:t>
      </w:r>
      <w:r w:rsidRPr="00187C93">
        <w:t>r</w:t>
      </w:r>
      <w:r w:rsidRPr="00187C93">
        <w:t>betsgivarkontakter.</w:t>
      </w:r>
    </w:p>
    <w:p w:rsidR="00DB1B84" w:rsidRPr="00187C93" w:rsidRDefault="00DB1B84">
      <w:pPr>
        <w:pStyle w:val="Normaltindrag"/>
      </w:pPr>
      <w:r w:rsidRPr="00187C93">
        <w:t>Folkpartiet har föreslagit a</w:t>
      </w:r>
      <w:r w:rsidRPr="00187C93">
        <w:t>tt servicefunktionen hos Arbetsmarknadsverket läggs ned och att uppgifter som utgör myndighetsutövning tillförs s.k. job</w:t>
      </w:r>
      <w:r w:rsidRPr="00187C93">
        <w:t>b</w:t>
      </w:r>
      <w:r w:rsidRPr="00187C93">
        <w:t>kontor.</w:t>
      </w:r>
    </w:p>
    <w:p w:rsidR="00DB1B84" w:rsidRPr="00187C93" w:rsidRDefault="00DB1B84">
      <w:pPr>
        <w:pStyle w:val="Normaltindrag"/>
      </w:pPr>
      <w:r w:rsidRPr="00187C93">
        <w:t>Av vad som anförts inledningsvis i detta avsnitt följer att utskottet inte ställer sig bakom ett sådant förslag. Arbetsmarknadsstyrelsen har lämnat förslag till regeringen om en omorganisation. Regeringen överväger för nä</w:t>
      </w:r>
      <w:r w:rsidRPr="00187C93">
        <w:t>r</w:t>
      </w:r>
      <w:r w:rsidRPr="00187C93">
        <w:t>varande hur en förändrad organisation för AMV skall kunna införas. Utsko</w:t>
      </w:r>
      <w:r w:rsidRPr="00187C93">
        <w:t>t</w:t>
      </w:r>
      <w:r w:rsidRPr="00187C93">
        <w:t>tet, som i avvaktan på dessa överväganden inte tar upp frågan närmare, måste ändå avvisa fö</w:t>
      </w:r>
      <w:r w:rsidRPr="00187C93">
        <w:t>r</w:t>
      </w:r>
      <w:r w:rsidRPr="00187C93">
        <w:t>slaget från Folkpartiet som väl drastiskt och svagt underbyggt.</w:t>
      </w:r>
    </w:p>
    <w:p w:rsidR="00DB1B84" w:rsidRPr="00187C93" w:rsidRDefault="00DB1B84">
      <w:pPr>
        <w:pStyle w:val="R4"/>
      </w:pPr>
      <w:r w:rsidRPr="00187C93">
        <w:t>Slutsats</w:t>
      </w:r>
    </w:p>
    <w:p w:rsidR="00DB1B84" w:rsidRPr="00187C93" w:rsidRDefault="00DB1B84">
      <w:pPr>
        <w:spacing w:before="187"/>
      </w:pPr>
      <w:r w:rsidRPr="00187C93">
        <w:t xml:space="preserve">Utskottet förordar att riksdagen godkänner regeringens förslag om allmänna riktlinjer för den ekonomiska politiken i propositionen, punkt 1 delvis, och avslår motionerna Fi17 yrkandena 1, 7, 10 och 15, alla delvis, Fi18 yrkandena 1 och 2, båda delvis, Fi19 yrkandena 1, 7, 9 och 10, alla delvis, samt Fi20 yrkandena 1, 8, 9, 11, 13, 19 och 21, alla delvis. </w:t>
      </w:r>
    </w:p>
    <w:p w:rsidR="00DB1B84" w:rsidRPr="00187C93" w:rsidRDefault="00DB1B84">
      <w:pPr>
        <w:pStyle w:val="Rubrik2"/>
      </w:pPr>
      <w:bookmarkStart w:id="9" w:name="_Toc515765274"/>
      <w:r w:rsidRPr="00187C93">
        <w:t>3 Utgiftstak för staten och preliminär fördelning på utgiftsområden under åren 2002–2004</w:t>
      </w:r>
      <w:bookmarkEnd w:id="9"/>
    </w:p>
    <w:p w:rsidR="00DB1B84" w:rsidRPr="00187C93" w:rsidRDefault="00DB1B84">
      <w:pPr>
        <w:pStyle w:val="Rubrik2b"/>
      </w:pPr>
      <w:bookmarkStart w:id="10" w:name="_Toc515765275"/>
      <w:r w:rsidRPr="00187C93">
        <w:t>3.1 Förutsättningar</w:t>
      </w:r>
      <w:bookmarkEnd w:id="10"/>
    </w:p>
    <w:p w:rsidR="00DB1B84" w:rsidRPr="00187C93" w:rsidRDefault="00DB1B84">
      <w:r w:rsidRPr="00187C93">
        <w:t>Regeringen föreslår i propositionen en reviderad preliminär fördelning av utgifterna för åren 2002 och 2003 samt en preliminär fördelning av utgifterna för år 2004. Riksdagen har tidigare fastställt utgiftstaket för staten inklusive utgifter för ålderspensionssystemet vid sidan av statsbudgeten till 814 milja</w:t>
      </w:r>
      <w:r w:rsidRPr="00187C93">
        <w:t>r</w:t>
      </w:r>
      <w:r w:rsidRPr="00187C93">
        <w:t>der kronor för år 2002 och till 844 miljarder kronor för år 2003. För år 2004 föreslås att taket skall fas</w:t>
      </w:r>
      <w:r w:rsidRPr="00187C93">
        <w:t>t</w:t>
      </w:r>
      <w:r w:rsidRPr="00187C93">
        <w:t>ställas till 877 miljarder kronor.</w:t>
      </w:r>
    </w:p>
    <w:p w:rsidR="00DB1B84" w:rsidRPr="00187C93" w:rsidRDefault="00DB1B84">
      <w:pPr>
        <w:pStyle w:val="Normaltindrag"/>
      </w:pPr>
      <w:r w:rsidRPr="00187C93">
        <w:t>När det gäller utgiftsområdena 13 Arbetsmarknad och 14 Arbetsliv för</w:t>
      </w:r>
      <w:r w:rsidRPr="00187C93">
        <w:t>e</w:t>
      </w:r>
      <w:r w:rsidRPr="00187C93">
        <w:t>slås en preliminär fördelning som framgår av nedanstående sammanställning. Förslagen skiljer sig från de preliminära ramarna i budgetpropositionen för 2001. Skillnaderna anges inom pare</w:t>
      </w:r>
      <w:r w:rsidRPr="00187C93">
        <w:t>n</w:t>
      </w:r>
      <w:r w:rsidRPr="00187C93">
        <w:t>tes.</w:t>
      </w:r>
    </w:p>
    <w:p w:rsidR="00DB1B84" w:rsidRPr="00187C93" w:rsidRDefault="00DB1B84">
      <w:pPr>
        <w:pStyle w:val="Tabellrubrik"/>
      </w:pPr>
      <w:r w:rsidRPr="00187C93">
        <w:t>Utgiftsområde 13 Arbetsmarknad</w:t>
      </w:r>
    </w:p>
    <w:p w:rsidR="00DB1B84" w:rsidRPr="00187C93" w:rsidRDefault="00DB1B84">
      <w:pPr>
        <w:pStyle w:val="TabellNot"/>
        <w:spacing w:before="120"/>
      </w:pPr>
      <w:r w:rsidRPr="00187C93">
        <w:t>Miljoner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187C93">
        <w:tblPrEx>
          <w:tblCellMar>
            <w:top w:w="0" w:type="dxa"/>
            <w:bottom w:w="0" w:type="dxa"/>
          </w:tblCellMar>
        </w:tblPrEx>
        <w:trPr>
          <w:cantSplit/>
        </w:trPr>
        <w:tc>
          <w:tcPr>
            <w:tcW w:w="1015" w:type="dxa"/>
            <w:vMerge w:val="restart"/>
            <w:tcBorders>
              <w:top w:val="nil"/>
              <w:left w:val="nil"/>
              <w:right w:val="nil"/>
            </w:tcBorders>
          </w:tcPr>
          <w:p w:rsidR="00DB1B84" w:rsidRPr="00187C93" w:rsidRDefault="00DB1B84">
            <w:pPr>
              <w:pStyle w:val="Tabelltext"/>
              <w:jc w:val="center"/>
            </w:pPr>
            <w:r w:rsidRPr="00187C93">
              <w:t>Utfall</w:t>
            </w:r>
          </w:p>
          <w:p w:rsidR="00DB1B84" w:rsidRPr="00187C93" w:rsidRDefault="00DB1B84">
            <w:pPr>
              <w:pStyle w:val="Tabelltext"/>
              <w:spacing w:after="60"/>
              <w:jc w:val="center"/>
            </w:pPr>
            <w:r w:rsidRPr="00187C93">
              <w:t>2000</w:t>
            </w:r>
          </w:p>
        </w:tc>
        <w:tc>
          <w:tcPr>
            <w:tcW w:w="1015" w:type="dxa"/>
            <w:vMerge w:val="restart"/>
            <w:tcBorders>
              <w:top w:val="nil"/>
              <w:left w:val="nil"/>
              <w:right w:val="nil"/>
            </w:tcBorders>
          </w:tcPr>
          <w:p w:rsidR="00DB1B84" w:rsidRPr="00187C93" w:rsidRDefault="00DB1B84">
            <w:pPr>
              <w:pStyle w:val="Tabelltext"/>
              <w:jc w:val="center"/>
            </w:pPr>
            <w:r w:rsidRPr="00187C93">
              <w:t>Anslag</w:t>
            </w:r>
          </w:p>
          <w:p w:rsidR="00DB1B84" w:rsidRPr="00187C93" w:rsidRDefault="00DB1B84">
            <w:pPr>
              <w:pStyle w:val="Tabelltext"/>
              <w:spacing w:after="60"/>
              <w:jc w:val="center"/>
            </w:pPr>
            <w:r w:rsidRPr="00187C93">
              <w:t>2001</w:t>
            </w:r>
          </w:p>
        </w:tc>
        <w:tc>
          <w:tcPr>
            <w:tcW w:w="1015" w:type="dxa"/>
            <w:vMerge w:val="restart"/>
            <w:tcBorders>
              <w:top w:val="nil"/>
              <w:left w:val="nil"/>
              <w:right w:val="nil"/>
            </w:tcBorders>
          </w:tcPr>
          <w:p w:rsidR="00DB1B84" w:rsidRPr="00187C93" w:rsidRDefault="00DB1B84">
            <w:pPr>
              <w:pStyle w:val="Tabelltext"/>
              <w:jc w:val="center"/>
            </w:pPr>
            <w:r w:rsidRPr="00187C93">
              <w:t>Prognos</w:t>
            </w:r>
          </w:p>
          <w:p w:rsidR="00DB1B84" w:rsidRPr="00187C93" w:rsidRDefault="00DB1B84">
            <w:pPr>
              <w:pStyle w:val="Tabelltext"/>
              <w:spacing w:after="60"/>
              <w:jc w:val="center"/>
            </w:pPr>
            <w:r w:rsidRPr="00187C93">
              <w:t>2001</w:t>
            </w:r>
          </w:p>
        </w:tc>
        <w:tc>
          <w:tcPr>
            <w:tcW w:w="3045" w:type="dxa"/>
            <w:gridSpan w:val="3"/>
            <w:tcBorders>
              <w:top w:val="nil"/>
              <w:left w:val="nil"/>
              <w:right w:val="nil"/>
            </w:tcBorders>
          </w:tcPr>
          <w:p w:rsidR="00DB1B84" w:rsidRPr="00187C93" w:rsidRDefault="00DB1B84">
            <w:pPr>
              <w:pStyle w:val="Tabelltext"/>
              <w:ind w:right="138"/>
              <w:jc w:val="right"/>
            </w:pPr>
            <w:r w:rsidRPr="00187C93">
              <w:t>Beräknat</w:t>
            </w:r>
          </w:p>
        </w:tc>
      </w:tr>
      <w:tr w:rsidR="00000000" w:rsidRPr="00187C93">
        <w:tblPrEx>
          <w:tblCellMar>
            <w:top w:w="0" w:type="dxa"/>
            <w:bottom w:w="0" w:type="dxa"/>
          </w:tblCellMar>
        </w:tblPrEx>
        <w:trPr>
          <w:cantSplit/>
        </w:trPr>
        <w:tc>
          <w:tcPr>
            <w:tcW w:w="1015" w:type="dxa"/>
            <w:vMerge/>
            <w:tcBorders>
              <w:left w:val="nil"/>
              <w:bottom w:val="nil"/>
              <w:right w:val="nil"/>
            </w:tcBorders>
          </w:tcPr>
          <w:p w:rsidR="00DB1B84" w:rsidRPr="00187C93" w:rsidRDefault="00DB1B84">
            <w:pPr>
              <w:pStyle w:val="Tabelltext"/>
            </w:pPr>
          </w:p>
        </w:tc>
        <w:tc>
          <w:tcPr>
            <w:tcW w:w="1015" w:type="dxa"/>
            <w:vMerge/>
            <w:tcBorders>
              <w:left w:val="nil"/>
              <w:bottom w:val="nil"/>
              <w:right w:val="nil"/>
            </w:tcBorders>
          </w:tcPr>
          <w:p w:rsidR="00DB1B84" w:rsidRPr="00187C93" w:rsidRDefault="00DB1B84">
            <w:pPr>
              <w:pStyle w:val="Tabelltext"/>
            </w:pPr>
          </w:p>
        </w:tc>
        <w:tc>
          <w:tcPr>
            <w:tcW w:w="1015" w:type="dxa"/>
            <w:vMerge/>
            <w:tcBorders>
              <w:left w:val="nil"/>
              <w:right w:val="nil"/>
            </w:tcBorders>
          </w:tcPr>
          <w:p w:rsidR="00DB1B84" w:rsidRPr="00187C93" w:rsidRDefault="00DB1B84">
            <w:pPr>
              <w:pStyle w:val="Tabelltext"/>
            </w:pPr>
          </w:p>
        </w:tc>
        <w:tc>
          <w:tcPr>
            <w:tcW w:w="1015" w:type="dxa"/>
            <w:tcBorders>
              <w:left w:val="nil"/>
              <w:bottom w:val="nil"/>
              <w:right w:val="nil"/>
            </w:tcBorders>
          </w:tcPr>
          <w:p w:rsidR="00DB1B84" w:rsidRPr="00187C93" w:rsidRDefault="00DB1B84">
            <w:pPr>
              <w:pStyle w:val="Tabelltext"/>
              <w:jc w:val="center"/>
            </w:pPr>
            <w:r w:rsidRPr="00187C93">
              <w:t>2002</w:t>
            </w:r>
          </w:p>
        </w:tc>
        <w:tc>
          <w:tcPr>
            <w:tcW w:w="1015" w:type="dxa"/>
            <w:tcBorders>
              <w:left w:val="nil"/>
              <w:bottom w:val="nil"/>
              <w:right w:val="nil"/>
            </w:tcBorders>
          </w:tcPr>
          <w:p w:rsidR="00DB1B84" w:rsidRPr="00187C93" w:rsidRDefault="00DB1B84">
            <w:pPr>
              <w:pStyle w:val="Tabelltext"/>
              <w:jc w:val="center"/>
            </w:pPr>
            <w:r w:rsidRPr="00187C93">
              <w:t>2003</w:t>
            </w:r>
          </w:p>
        </w:tc>
        <w:tc>
          <w:tcPr>
            <w:tcW w:w="1015" w:type="dxa"/>
            <w:tcBorders>
              <w:left w:val="nil"/>
              <w:bottom w:val="nil"/>
            </w:tcBorders>
          </w:tcPr>
          <w:p w:rsidR="00DB1B84" w:rsidRPr="00187C93" w:rsidRDefault="00DB1B84">
            <w:pPr>
              <w:pStyle w:val="Tabelltext"/>
              <w:jc w:val="center"/>
            </w:pPr>
            <w:r w:rsidRPr="00187C93">
              <w:t>2004</w:t>
            </w:r>
          </w:p>
        </w:tc>
      </w:tr>
      <w:tr w:rsidR="00000000" w:rsidRPr="00187C93">
        <w:tblPrEx>
          <w:tblCellMar>
            <w:top w:w="0" w:type="dxa"/>
            <w:bottom w:w="0" w:type="dxa"/>
          </w:tblCellMar>
        </w:tblPrEx>
        <w:tc>
          <w:tcPr>
            <w:tcW w:w="1015" w:type="dxa"/>
            <w:tcBorders>
              <w:left w:val="nil"/>
              <w:right w:val="nil"/>
            </w:tcBorders>
          </w:tcPr>
          <w:p w:rsidR="00DB1B84" w:rsidRPr="00187C93" w:rsidRDefault="00DB1B84">
            <w:pPr>
              <w:pStyle w:val="Tabelltext"/>
              <w:spacing w:before="60" w:after="60"/>
              <w:jc w:val="center"/>
            </w:pPr>
            <w:r w:rsidRPr="00187C93">
              <w:t>33 224</w:t>
            </w:r>
          </w:p>
        </w:tc>
        <w:tc>
          <w:tcPr>
            <w:tcW w:w="1015" w:type="dxa"/>
            <w:tcBorders>
              <w:left w:val="nil"/>
              <w:right w:val="nil"/>
            </w:tcBorders>
          </w:tcPr>
          <w:p w:rsidR="00DB1B84" w:rsidRPr="00187C93" w:rsidRDefault="00DB1B84">
            <w:pPr>
              <w:pStyle w:val="Tabelltext"/>
              <w:spacing w:before="60" w:after="60"/>
              <w:jc w:val="center"/>
            </w:pPr>
            <w:r w:rsidRPr="00187C93">
              <w:t>63 031</w:t>
            </w:r>
          </w:p>
        </w:tc>
        <w:tc>
          <w:tcPr>
            <w:tcW w:w="1015" w:type="dxa"/>
            <w:tcBorders>
              <w:left w:val="nil"/>
              <w:right w:val="nil"/>
            </w:tcBorders>
          </w:tcPr>
          <w:p w:rsidR="00DB1B84" w:rsidRPr="00187C93" w:rsidRDefault="00DB1B84">
            <w:pPr>
              <w:pStyle w:val="Tabelltext"/>
              <w:spacing w:before="60" w:after="60"/>
              <w:jc w:val="center"/>
            </w:pPr>
            <w:r w:rsidRPr="00187C93">
              <w:t>59 775</w:t>
            </w:r>
          </w:p>
        </w:tc>
        <w:tc>
          <w:tcPr>
            <w:tcW w:w="1015" w:type="dxa"/>
            <w:tcBorders>
              <w:left w:val="nil"/>
              <w:right w:val="nil"/>
            </w:tcBorders>
          </w:tcPr>
          <w:p w:rsidR="00DB1B84" w:rsidRPr="00187C93" w:rsidRDefault="00DB1B84">
            <w:pPr>
              <w:pStyle w:val="Tabelltext"/>
              <w:spacing w:before="60"/>
              <w:jc w:val="center"/>
              <w:rPr>
                <w:b/>
              </w:rPr>
            </w:pPr>
            <w:r w:rsidRPr="00187C93">
              <w:rPr>
                <w:b/>
              </w:rPr>
              <w:t>59 199</w:t>
            </w:r>
          </w:p>
          <w:p w:rsidR="00DB1B84" w:rsidRPr="00187C93" w:rsidRDefault="00DB1B84">
            <w:pPr>
              <w:pStyle w:val="Tabelltext"/>
              <w:spacing w:before="60" w:after="60"/>
              <w:jc w:val="center"/>
            </w:pPr>
            <w:r w:rsidRPr="00187C93">
              <w:t>(- 2 230)</w:t>
            </w:r>
          </w:p>
        </w:tc>
        <w:tc>
          <w:tcPr>
            <w:tcW w:w="1015" w:type="dxa"/>
            <w:tcBorders>
              <w:left w:val="nil"/>
              <w:right w:val="nil"/>
            </w:tcBorders>
          </w:tcPr>
          <w:p w:rsidR="00DB1B84" w:rsidRPr="00187C93" w:rsidRDefault="00DB1B84">
            <w:pPr>
              <w:pStyle w:val="Tabelltext"/>
              <w:spacing w:before="60"/>
              <w:jc w:val="center"/>
            </w:pPr>
            <w:r w:rsidRPr="00187C93">
              <w:t>59 959</w:t>
            </w:r>
          </w:p>
          <w:p w:rsidR="00DB1B84" w:rsidRPr="00187C93" w:rsidRDefault="00DB1B84">
            <w:pPr>
              <w:pStyle w:val="Tabelltext"/>
              <w:spacing w:before="60" w:after="60"/>
              <w:jc w:val="center"/>
            </w:pPr>
            <w:r w:rsidRPr="00187C93">
              <w:t xml:space="preserve">(- 1 508) </w:t>
            </w:r>
          </w:p>
        </w:tc>
        <w:tc>
          <w:tcPr>
            <w:tcW w:w="1015" w:type="dxa"/>
            <w:tcBorders>
              <w:left w:val="nil"/>
              <w:right w:val="nil"/>
            </w:tcBorders>
          </w:tcPr>
          <w:p w:rsidR="00DB1B84" w:rsidRPr="00187C93" w:rsidRDefault="00DB1B84">
            <w:pPr>
              <w:pStyle w:val="Tabelltext"/>
              <w:spacing w:before="60" w:after="60"/>
              <w:jc w:val="center"/>
            </w:pPr>
            <w:r w:rsidRPr="00187C93">
              <w:t>59 593</w:t>
            </w:r>
          </w:p>
        </w:tc>
      </w:tr>
    </w:tbl>
    <w:p w:rsidR="00DB1B84" w:rsidRPr="00187C93" w:rsidRDefault="00DB1B84">
      <w:pPr>
        <w:pStyle w:val="Tabellrubrik"/>
      </w:pPr>
      <w:r w:rsidRPr="00187C93">
        <w:t>Utgiftsområde 14 Arbetsliv</w:t>
      </w:r>
    </w:p>
    <w:p w:rsidR="00DB1B84" w:rsidRPr="00187C93" w:rsidRDefault="00DB1B84">
      <w:pPr>
        <w:pStyle w:val="TabellNot"/>
        <w:spacing w:before="120"/>
      </w:pPr>
      <w:r w:rsidRPr="00187C93">
        <w:t>Miljoner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187C93">
        <w:tblPrEx>
          <w:tblCellMar>
            <w:top w:w="0" w:type="dxa"/>
            <w:bottom w:w="0" w:type="dxa"/>
          </w:tblCellMar>
        </w:tblPrEx>
        <w:trPr>
          <w:cantSplit/>
        </w:trPr>
        <w:tc>
          <w:tcPr>
            <w:tcW w:w="1015" w:type="dxa"/>
            <w:vMerge w:val="restart"/>
            <w:tcBorders>
              <w:top w:val="nil"/>
              <w:left w:val="nil"/>
              <w:right w:val="nil"/>
            </w:tcBorders>
          </w:tcPr>
          <w:p w:rsidR="00DB1B84" w:rsidRPr="00187C93" w:rsidRDefault="00DB1B84">
            <w:pPr>
              <w:pStyle w:val="Tabelltext"/>
              <w:jc w:val="center"/>
            </w:pPr>
            <w:r w:rsidRPr="00187C93">
              <w:t>Utfall</w:t>
            </w:r>
          </w:p>
          <w:p w:rsidR="00DB1B84" w:rsidRPr="00187C93" w:rsidRDefault="00DB1B84">
            <w:pPr>
              <w:pStyle w:val="Tabelltext"/>
              <w:spacing w:after="60"/>
              <w:jc w:val="center"/>
            </w:pPr>
            <w:r w:rsidRPr="00187C93">
              <w:t>2000</w:t>
            </w:r>
          </w:p>
        </w:tc>
        <w:tc>
          <w:tcPr>
            <w:tcW w:w="1015" w:type="dxa"/>
            <w:vMerge w:val="restart"/>
            <w:tcBorders>
              <w:top w:val="nil"/>
              <w:left w:val="nil"/>
              <w:right w:val="nil"/>
            </w:tcBorders>
          </w:tcPr>
          <w:p w:rsidR="00DB1B84" w:rsidRPr="00187C93" w:rsidRDefault="00DB1B84">
            <w:pPr>
              <w:pStyle w:val="Tabelltext"/>
              <w:jc w:val="center"/>
            </w:pPr>
            <w:r w:rsidRPr="00187C93">
              <w:t>Anslag</w:t>
            </w:r>
          </w:p>
          <w:p w:rsidR="00DB1B84" w:rsidRPr="00187C93" w:rsidRDefault="00DB1B84">
            <w:pPr>
              <w:pStyle w:val="Tabelltext"/>
              <w:spacing w:after="60"/>
              <w:jc w:val="center"/>
            </w:pPr>
            <w:r w:rsidRPr="00187C93">
              <w:t>2001</w:t>
            </w:r>
          </w:p>
        </w:tc>
        <w:tc>
          <w:tcPr>
            <w:tcW w:w="1015" w:type="dxa"/>
            <w:vMerge w:val="restart"/>
            <w:tcBorders>
              <w:top w:val="nil"/>
              <w:left w:val="nil"/>
              <w:right w:val="nil"/>
            </w:tcBorders>
          </w:tcPr>
          <w:p w:rsidR="00DB1B84" w:rsidRPr="00187C93" w:rsidRDefault="00DB1B84">
            <w:pPr>
              <w:pStyle w:val="Tabelltext"/>
              <w:jc w:val="center"/>
            </w:pPr>
            <w:r w:rsidRPr="00187C93">
              <w:t>Prognos</w:t>
            </w:r>
          </w:p>
          <w:p w:rsidR="00DB1B84" w:rsidRPr="00187C93" w:rsidRDefault="00DB1B84">
            <w:pPr>
              <w:pStyle w:val="Tabelltext"/>
              <w:spacing w:after="60"/>
              <w:jc w:val="center"/>
            </w:pPr>
            <w:r w:rsidRPr="00187C93">
              <w:t>2001</w:t>
            </w:r>
          </w:p>
        </w:tc>
        <w:tc>
          <w:tcPr>
            <w:tcW w:w="3045" w:type="dxa"/>
            <w:gridSpan w:val="3"/>
            <w:tcBorders>
              <w:top w:val="nil"/>
              <w:left w:val="nil"/>
              <w:right w:val="nil"/>
            </w:tcBorders>
          </w:tcPr>
          <w:p w:rsidR="00DB1B84" w:rsidRPr="00187C93" w:rsidRDefault="00DB1B84">
            <w:pPr>
              <w:pStyle w:val="Tabelltext"/>
              <w:ind w:right="138"/>
              <w:jc w:val="right"/>
            </w:pPr>
            <w:r w:rsidRPr="00187C93">
              <w:t>Beräknat</w:t>
            </w:r>
          </w:p>
        </w:tc>
      </w:tr>
      <w:tr w:rsidR="00000000" w:rsidRPr="00187C93">
        <w:tblPrEx>
          <w:tblCellMar>
            <w:top w:w="0" w:type="dxa"/>
            <w:bottom w:w="0" w:type="dxa"/>
          </w:tblCellMar>
        </w:tblPrEx>
        <w:trPr>
          <w:cantSplit/>
        </w:trPr>
        <w:tc>
          <w:tcPr>
            <w:tcW w:w="1015" w:type="dxa"/>
            <w:vMerge/>
            <w:tcBorders>
              <w:left w:val="nil"/>
              <w:bottom w:val="nil"/>
              <w:right w:val="nil"/>
            </w:tcBorders>
          </w:tcPr>
          <w:p w:rsidR="00DB1B84" w:rsidRPr="00187C93" w:rsidRDefault="00DB1B84">
            <w:pPr>
              <w:pStyle w:val="Tabelltext"/>
            </w:pPr>
          </w:p>
        </w:tc>
        <w:tc>
          <w:tcPr>
            <w:tcW w:w="1015" w:type="dxa"/>
            <w:vMerge/>
            <w:tcBorders>
              <w:left w:val="nil"/>
              <w:bottom w:val="nil"/>
              <w:right w:val="nil"/>
            </w:tcBorders>
          </w:tcPr>
          <w:p w:rsidR="00DB1B84" w:rsidRPr="00187C93" w:rsidRDefault="00DB1B84">
            <w:pPr>
              <w:pStyle w:val="Tabelltext"/>
            </w:pPr>
          </w:p>
        </w:tc>
        <w:tc>
          <w:tcPr>
            <w:tcW w:w="1015" w:type="dxa"/>
            <w:vMerge/>
            <w:tcBorders>
              <w:left w:val="nil"/>
              <w:right w:val="nil"/>
            </w:tcBorders>
          </w:tcPr>
          <w:p w:rsidR="00DB1B84" w:rsidRPr="00187C93" w:rsidRDefault="00DB1B84">
            <w:pPr>
              <w:pStyle w:val="Tabelltext"/>
            </w:pPr>
          </w:p>
        </w:tc>
        <w:tc>
          <w:tcPr>
            <w:tcW w:w="1015" w:type="dxa"/>
            <w:tcBorders>
              <w:left w:val="nil"/>
              <w:bottom w:val="nil"/>
              <w:right w:val="nil"/>
            </w:tcBorders>
          </w:tcPr>
          <w:p w:rsidR="00DB1B84" w:rsidRPr="00187C93" w:rsidRDefault="00DB1B84">
            <w:pPr>
              <w:pStyle w:val="Tabelltext"/>
              <w:jc w:val="center"/>
            </w:pPr>
            <w:r w:rsidRPr="00187C93">
              <w:t>2002</w:t>
            </w:r>
          </w:p>
        </w:tc>
        <w:tc>
          <w:tcPr>
            <w:tcW w:w="1015" w:type="dxa"/>
            <w:tcBorders>
              <w:left w:val="nil"/>
              <w:bottom w:val="nil"/>
              <w:right w:val="nil"/>
            </w:tcBorders>
          </w:tcPr>
          <w:p w:rsidR="00DB1B84" w:rsidRPr="00187C93" w:rsidRDefault="00DB1B84">
            <w:pPr>
              <w:pStyle w:val="Tabelltext"/>
              <w:jc w:val="center"/>
            </w:pPr>
            <w:r w:rsidRPr="00187C93">
              <w:t>2003</w:t>
            </w:r>
          </w:p>
        </w:tc>
        <w:tc>
          <w:tcPr>
            <w:tcW w:w="1015" w:type="dxa"/>
            <w:tcBorders>
              <w:left w:val="nil"/>
              <w:bottom w:val="nil"/>
            </w:tcBorders>
          </w:tcPr>
          <w:p w:rsidR="00DB1B84" w:rsidRPr="00187C93" w:rsidRDefault="00DB1B84">
            <w:pPr>
              <w:pStyle w:val="Tabelltext"/>
              <w:jc w:val="center"/>
            </w:pPr>
            <w:r w:rsidRPr="00187C93">
              <w:t>2004</w:t>
            </w:r>
          </w:p>
        </w:tc>
      </w:tr>
      <w:tr w:rsidR="00000000" w:rsidRPr="00187C93">
        <w:tblPrEx>
          <w:tblCellMar>
            <w:top w:w="0" w:type="dxa"/>
            <w:bottom w:w="0" w:type="dxa"/>
          </w:tblCellMar>
        </w:tblPrEx>
        <w:tc>
          <w:tcPr>
            <w:tcW w:w="1015" w:type="dxa"/>
            <w:tcBorders>
              <w:left w:val="nil"/>
              <w:right w:val="nil"/>
            </w:tcBorders>
          </w:tcPr>
          <w:p w:rsidR="00DB1B84" w:rsidRPr="00187C93" w:rsidRDefault="00DB1B84">
            <w:pPr>
              <w:pStyle w:val="Tabelltext"/>
              <w:spacing w:before="60" w:after="60"/>
              <w:jc w:val="center"/>
            </w:pPr>
            <w:r w:rsidRPr="00187C93">
              <w:t>41 067</w:t>
            </w:r>
          </w:p>
        </w:tc>
        <w:tc>
          <w:tcPr>
            <w:tcW w:w="1015" w:type="dxa"/>
            <w:tcBorders>
              <w:left w:val="nil"/>
              <w:right w:val="nil"/>
            </w:tcBorders>
          </w:tcPr>
          <w:p w:rsidR="00DB1B84" w:rsidRPr="00187C93" w:rsidRDefault="00DB1B84">
            <w:pPr>
              <w:pStyle w:val="Tabelltext"/>
              <w:spacing w:before="60" w:after="60"/>
              <w:jc w:val="center"/>
            </w:pPr>
            <w:r w:rsidRPr="00187C93">
              <w:t>8 542</w:t>
            </w:r>
          </w:p>
        </w:tc>
        <w:tc>
          <w:tcPr>
            <w:tcW w:w="1015" w:type="dxa"/>
            <w:tcBorders>
              <w:left w:val="nil"/>
              <w:right w:val="nil"/>
            </w:tcBorders>
          </w:tcPr>
          <w:p w:rsidR="00DB1B84" w:rsidRPr="00187C93" w:rsidRDefault="00DB1B84">
            <w:pPr>
              <w:pStyle w:val="Tabelltext"/>
              <w:spacing w:before="60" w:after="60"/>
              <w:jc w:val="center"/>
            </w:pPr>
            <w:r w:rsidRPr="00187C93">
              <w:t>8 735</w:t>
            </w:r>
          </w:p>
        </w:tc>
        <w:tc>
          <w:tcPr>
            <w:tcW w:w="1015" w:type="dxa"/>
            <w:tcBorders>
              <w:left w:val="nil"/>
              <w:right w:val="nil"/>
            </w:tcBorders>
          </w:tcPr>
          <w:p w:rsidR="00DB1B84" w:rsidRPr="00187C93" w:rsidRDefault="00DB1B84">
            <w:pPr>
              <w:pStyle w:val="Tabelltext"/>
              <w:spacing w:before="60"/>
              <w:jc w:val="center"/>
              <w:rPr>
                <w:b/>
              </w:rPr>
            </w:pPr>
            <w:r w:rsidRPr="00187C93">
              <w:rPr>
                <w:b/>
              </w:rPr>
              <w:t>8 456</w:t>
            </w:r>
          </w:p>
          <w:p w:rsidR="00DB1B84" w:rsidRPr="00187C93" w:rsidRDefault="00DB1B84">
            <w:pPr>
              <w:pStyle w:val="Tabelltext"/>
              <w:spacing w:before="60" w:after="60"/>
              <w:jc w:val="center"/>
            </w:pPr>
            <w:r w:rsidRPr="00187C93">
              <w:t>(- 10)</w:t>
            </w:r>
          </w:p>
        </w:tc>
        <w:tc>
          <w:tcPr>
            <w:tcW w:w="1015" w:type="dxa"/>
            <w:tcBorders>
              <w:left w:val="nil"/>
              <w:right w:val="nil"/>
            </w:tcBorders>
          </w:tcPr>
          <w:p w:rsidR="00DB1B84" w:rsidRPr="00187C93" w:rsidRDefault="00DB1B84">
            <w:pPr>
              <w:pStyle w:val="Tabelltext"/>
              <w:spacing w:before="60"/>
              <w:jc w:val="center"/>
            </w:pPr>
            <w:r w:rsidRPr="00187C93">
              <w:t>8 425</w:t>
            </w:r>
          </w:p>
          <w:p w:rsidR="00DB1B84" w:rsidRPr="00187C93" w:rsidRDefault="00DB1B84">
            <w:pPr>
              <w:pStyle w:val="Tabelltext"/>
              <w:spacing w:before="60" w:after="60"/>
              <w:jc w:val="center"/>
            </w:pPr>
            <w:r w:rsidRPr="00187C93">
              <w:t>(- 12)</w:t>
            </w:r>
          </w:p>
        </w:tc>
        <w:tc>
          <w:tcPr>
            <w:tcW w:w="1015" w:type="dxa"/>
            <w:tcBorders>
              <w:left w:val="nil"/>
              <w:right w:val="nil"/>
            </w:tcBorders>
          </w:tcPr>
          <w:p w:rsidR="00DB1B84" w:rsidRPr="00187C93" w:rsidRDefault="00DB1B84">
            <w:pPr>
              <w:pStyle w:val="Tabelltext"/>
              <w:spacing w:before="60" w:after="60"/>
              <w:jc w:val="center"/>
            </w:pPr>
            <w:r w:rsidRPr="00187C93">
              <w:t>8 445</w:t>
            </w:r>
          </w:p>
        </w:tc>
      </w:tr>
    </w:tbl>
    <w:p w:rsidR="00DB1B84" w:rsidRPr="00187C93" w:rsidRDefault="00DB1B84">
      <w:pPr>
        <w:spacing w:before="240" w:after="240"/>
      </w:pPr>
      <w:r w:rsidRPr="00187C93">
        <w:t>Regeringens antagande om sysselsättningsgrad, öppen arbetslöshet och o</w:t>
      </w:r>
      <w:r w:rsidRPr="00187C93">
        <w:t>m</w:t>
      </w:r>
      <w:r w:rsidRPr="00187C93">
        <w:t xml:space="preserve">fattningen av de arbetsmarknadspolitiska programmen framgår av följande tabell. De antaganden som regeringen gjorde i budgetpropositionen för 2001 anges inom parentes. </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055"/>
        <w:gridCol w:w="992"/>
        <w:gridCol w:w="851"/>
        <w:gridCol w:w="850"/>
        <w:gridCol w:w="709"/>
        <w:gridCol w:w="709"/>
      </w:tblGrid>
      <w:tr w:rsidR="00000000" w:rsidRPr="00187C93">
        <w:tblPrEx>
          <w:tblCellMar>
            <w:top w:w="0" w:type="dxa"/>
            <w:bottom w:w="0" w:type="dxa"/>
          </w:tblCellMar>
        </w:tblPrEx>
        <w:tc>
          <w:tcPr>
            <w:tcW w:w="2055" w:type="dxa"/>
          </w:tcPr>
          <w:p w:rsidR="00DB1B84" w:rsidRPr="00187C93" w:rsidRDefault="00DB1B84">
            <w:pPr>
              <w:pStyle w:val="Tabelltext"/>
              <w:rPr>
                <w:b/>
              </w:rPr>
            </w:pPr>
            <w:r w:rsidRPr="00187C93">
              <w:rPr>
                <w:b/>
              </w:rPr>
              <w:t xml:space="preserve">År </w:t>
            </w:r>
          </w:p>
        </w:tc>
        <w:tc>
          <w:tcPr>
            <w:tcW w:w="992" w:type="dxa"/>
          </w:tcPr>
          <w:p w:rsidR="00DB1B84" w:rsidRPr="00187C93" w:rsidRDefault="00DB1B84">
            <w:pPr>
              <w:pStyle w:val="Tabelltext"/>
              <w:jc w:val="center"/>
              <w:rPr>
                <w:b/>
              </w:rPr>
            </w:pPr>
            <w:r w:rsidRPr="00187C93">
              <w:rPr>
                <w:b/>
              </w:rPr>
              <w:t>2000</w:t>
            </w:r>
          </w:p>
        </w:tc>
        <w:tc>
          <w:tcPr>
            <w:tcW w:w="851" w:type="dxa"/>
          </w:tcPr>
          <w:p w:rsidR="00DB1B84" w:rsidRPr="00187C93" w:rsidRDefault="00DB1B84">
            <w:pPr>
              <w:pStyle w:val="Tabelltext"/>
              <w:jc w:val="center"/>
              <w:rPr>
                <w:b/>
              </w:rPr>
            </w:pPr>
            <w:r w:rsidRPr="00187C93">
              <w:rPr>
                <w:b/>
              </w:rPr>
              <w:t>2001</w:t>
            </w:r>
          </w:p>
        </w:tc>
        <w:tc>
          <w:tcPr>
            <w:tcW w:w="850" w:type="dxa"/>
          </w:tcPr>
          <w:p w:rsidR="00DB1B84" w:rsidRPr="00187C93" w:rsidRDefault="00DB1B84">
            <w:pPr>
              <w:pStyle w:val="Tabelltext"/>
              <w:jc w:val="center"/>
              <w:rPr>
                <w:b/>
              </w:rPr>
            </w:pPr>
            <w:r w:rsidRPr="00187C93">
              <w:rPr>
                <w:b/>
              </w:rPr>
              <w:t>2002</w:t>
            </w:r>
          </w:p>
        </w:tc>
        <w:tc>
          <w:tcPr>
            <w:tcW w:w="709" w:type="dxa"/>
          </w:tcPr>
          <w:p w:rsidR="00DB1B84" w:rsidRPr="00187C93" w:rsidRDefault="00DB1B84">
            <w:pPr>
              <w:pStyle w:val="Tabelltext"/>
              <w:jc w:val="center"/>
              <w:rPr>
                <w:b/>
              </w:rPr>
            </w:pPr>
            <w:r w:rsidRPr="00187C93">
              <w:rPr>
                <w:b/>
              </w:rPr>
              <w:t>2003</w:t>
            </w:r>
          </w:p>
        </w:tc>
        <w:tc>
          <w:tcPr>
            <w:tcW w:w="709" w:type="dxa"/>
          </w:tcPr>
          <w:p w:rsidR="00DB1B84" w:rsidRPr="00187C93" w:rsidRDefault="00DB1B84">
            <w:pPr>
              <w:pStyle w:val="Tabelltext"/>
              <w:jc w:val="center"/>
              <w:rPr>
                <w:b/>
              </w:rPr>
            </w:pPr>
            <w:r w:rsidRPr="00187C93">
              <w:rPr>
                <w:b/>
              </w:rPr>
              <w:t>2004</w:t>
            </w:r>
          </w:p>
        </w:tc>
      </w:tr>
      <w:tr w:rsidR="00000000" w:rsidRPr="00187C93">
        <w:tblPrEx>
          <w:tblCellMar>
            <w:top w:w="0" w:type="dxa"/>
            <w:bottom w:w="0" w:type="dxa"/>
          </w:tblCellMar>
        </w:tblPrEx>
        <w:tc>
          <w:tcPr>
            <w:tcW w:w="2055" w:type="dxa"/>
          </w:tcPr>
          <w:p w:rsidR="00DB1B84" w:rsidRPr="00187C93" w:rsidRDefault="00DB1B84">
            <w:pPr>
              <w:pStyle w:val="Tabelltext"/>
              <w:rPr>
                <w:rStyle w:val="Fotnotsreferens"/>
                <w:b/>
              </w:rPr>
            </w:pPr>
            <w:r w:rsidRPr="00187C93">
              <w:rPr>
                <w:b/>
              </w:rPr>
              <w:t>Sysselsät</w:t>
            </w:r>
            <w:r w:rsidRPr="00187C93">
              <w:rPr>
                <w:b/>
              </w:rPr>
              <w:t>t</w:t>
            </w:r>
            <w:r w:rsidRPr="00187C93">
              <w:rPr>
                <w:b/>
              </w:rPr>
              <w:t>ningsgrad</w:t>
            </w:r>
            <w:r w:rsidRPr="00187C93">
              <w:rPr>
                <w:rStyle w:val="Fotnotsreferens"/>
                <w:b/>
              </w:rPr>
              <w:t>1</w:t>
            </w:r>
          </w:p>
        </w:tc>
        <w:tc>
          <w:tcPr>
            <w:tcW w:w="992" w:type="dxa"/>
          </w:tcPr>
          <w:p w:rsidR="00DB1B84" w:rsidRPr="00187C93" w:rsidRDefault="00DB1B84">
            <w:pPr>
              <w:pStyle w:val="Tabelltext"/>
              <w:jc w:val="center"/>
            </w:pPr>
            <w:r w:rsidRPr="00187C93">
              <w:t>77,2</w:t>
            </w:r>
          </w:p>
          <w:p w:rsidR="00DB1B84" w:rsidRPr="00187C93" w:rsidRDefault="00DB1B84">
            <w:pPr>
              <w:pStyle w:val="Tabelltext"/>
              <w:jc w:val="center"/>
            </w:pPr>
            <w:r w:rsidRPr="00187C93">
              <w:t>(77,0)</w:t>
            </w:r>
          </w:p>
        </w:tc>
        <w:tc>
          <w:tcPr>
            <w:tcW w:w="851" w:type="dxa"/>
          </w:tcPr>
          <w:p w:rsidR="00DB1B84" w:rsidRPr="00187C93" w:rsidRDefault="00DB1B84">
            <w:pPr>
              <w:pStyle w:val="Tabelltext"/>
              <w:jc w:val="center"/>
            </w:pPr>
            <w:r w:rsidRPr="00187C93">
              <w:t>78,1</w:t>
            </w:r>
          </w:p>
          <w:p w:rsidR="00DB1B84" w:rsidRPr="00187C93" w:rsidRDefault="00DB1B84">
            <w:pPr>
              <w:pStyle w:val="Tabelltext"/>
              <w:jc w:val="center"/>
            </w:pPr>
            <w:r w:rsidRPr="00187C93">
              <w:t>(77,7)</w:t>
            </w:r>
          </w:p>
        </w:tc>
        <w:tc>
          <w:tcPr>
            <w:tcW w:w="850" w:type="dxa"/>
          </w:tcPr>
          <w:p w:rsidR="00DB1B84" w:rsidRPr="00187C93" w:rsidRDefault="00DB1B84">
            <w:pPr>
              <w:pStyle w:val="Tabelltext"/>
              <w:jc w:val="center"/>
            </w:pPr>
            <w:r w:rsidRPr="00187C93">
              <w:t>78,4</w:t>
            </w:r>
          </w:p>
          <w:p w:rsidR="00DB1B84" w:rsidRPr="00187C93" w:rsidRDefault="00DB1B84">
            <w:pPr>
              <w:pStyle w:val="Tabelltext"/>
              <w:jc w:val="center"/>
            </w:pPr>
            <w:r w:rsidRPr="00187C93">
              <w:t>(77,8)</w:t>
            </w:r>
          </w:p>
        </w:tc>
        <w:tc>
          <w:tcPr>
            <w:tcW w:w="709" w:type="dxa"/>
          </w:tcPr>
          <w:p w:rsidR="00DB1B84" w:rsidRPr="00187C93" w:rsidRDefault="00DB1B84">
            <w:pPr>
              <w:pStyle w:val="Tabelltext"/>
              <w:jc w:val="center"/>
            </w:pPr>
            <w:r w:rsidRPr="00187C93">
              <w:t>78,5</w:t>
            </w:r>
          </w:p>
          <w:p w:rsidR="00DB1B84" w:rsidRPr="00187C93" w:rsidRDefault="00DB1B84">
            <w:pPr>
              <w:pStyle w:val="Tabelltext"/>
              <w:jc w:val="center"/>
            </w:pPr>
            <w:r w:rsidRPr="00187C93">
              <w:t>(78,0)</w:t>
            </w:r>
          </w:p>
        </w:tc>
        <w:tc>
          <w:tcPr>
            <w:tcW w:w="709" w:type="dxa"/>
          </w:tcPr>
          <w:p w:rsidR="00DB1B84" w:rsidRPr="00187C93" w:rsidRDefault="00DB1B84">
            <w:pPr>
              <w:pStyle w:val="Tabelltext"/>
              <w:jc w:val="center"/>
            </w:pPr>
            <w:r w:rsidRPr="00187C93">
              <w:t>78,5</w:t>
            </w:r>
          </w:p>
        </w:tc>
      </w:tr>
      <w:tr w:rsidR="00000000" w:rsidRPr="00187C93">
        <w:tblPrEx>
          <w:tblCellMar>
            <w:top w:w="0" w:type="dxa"/>
            <w:bottom w:w="0" w:type="dxa"/>
          </w:tblCellMar>
        </w:tblPrEx>
        <w:tc>
          <w:tcPr>
            <w:tcW w:w="2055" w:type="dxa"/>
          </w:tcPr>
          <w:p w:rsidR="00DB1B84" w:rsidRPr="00187C93" w:rsidRDefault="00DB1B84">
            <w:pPr>
              <w:pStyle w:val="Tabelltext"/>
              <w:rPr>
                <w:rStyle w:val="Fotnotsreferens"/>
                <w:b/>
              </w:rPr>
            </w:pPr>
            <w:r w:rsidRPr="00187C93">
              <w:rPr>
                <w:b/>
              </w:rPr>
              <w:t>Öppen arbetslö</w:t>
            </w:r>
            <w:r w:rsidRPr="00187C93">
              <w:rPr>
                <w:b/>
              </w:rPr>
              <w:t>s</w:t>
            </w:r>
            <w:r w:rsidRPr="00187C93">
              <w:rPr>
                <w:b/>
              </w:rPr>
              <w:t>het</w:t>
            </w:r>
            <w:r w:rsidRPr="00187C93">
              <w:rPr>
                <w:rStyle w:val="Fotnotsreferens"/>
                <w:b/>
              </w:rPr>
              <w:t>2</w:t>
            </w:r>
          </w:p>
        </w:tc>
        <w:tc>
          <w:tcPr>
            <w:tcW w:w="992" w:type="dxa"/>
          </w:tcPr>
          <w:p w:rsidR="00DB1B84" w:rsidRPr="00187C93" w:rsidRDefault="00DB1B84">
            <w:pPr>
              <w:pStyle w:val="Tabelltext"/>
              <w:jc w:val="center"/>
            </w:pPr>
            <w:r w:rsidRPr="00187C93">
              <w:t>4,7</w:t>
            </w:r>
          </w:p>
          <w:p w:rsidR="00DB1B84" w:rsidRPr="00187C93" w:rsidRDefault="00DB1B84">
            <w:pPr>
              <w:pStyle w:val="Tabelltext"/>
              <w:jc w:val="center"/>
            </w:pPr>
            <w:r w:rsidRPr="00187C93">
              <w:t>(4,6)</w:t>
            </w:r>
          </w:p>
        </w:tc>
        <w:tc>
          <w:tcPr>
            <w:tcW w:w="851" w:type="dxa"/>
          </w:tcPr>
          <w:p w:rsidR="00DB1B84" w:rsidRPr="00187C93" w:rsidRDefault="00DB1B84">
            <w:pPr>
              <w:pStyle w:val="Tabelltext"/>
              <w:jc w:val="center"/>
            </w:pPr>
            <w:r w:rsidRPr="00187C93">
              <w:t>3,9</w:t>
            </w:r>
          </w:p>
          <w:p w:rsidR="00DB1B84" w:rsidRPr="00187C93" w:rsidRDefault="00DB1B84">
            <w:pPr>
              <w:pStyle w:val="Tabelltext"/>
              <w:jc w:val="center"/>
            </w:pPr>
            <w:r w:rsidRPr="00187C93">
              <w:t>(3,8)</w:t>
            </w:r>
          </w:p>
        </w:tc>
        <w:tc>
          <w:tcPr>
            <w:tcW w:w="850" w:type="dxa"/>
          </w:tcPr>
          <w:p w:rsidR="00DB1B84" w:rsidRPr="00187C93" w:rsidRDefault="00DB1B84">
            <w:pPr>
              <w:pStyle w:val="Tabelltext"/>
              <w:jc w:val="center"/>
            </w:pPr>
            <w:r w:rsidRPr="00187C93">
              <w:t>3,7</w:t>
            </w:r>
          </w:p>
          <w:p w:rsidR="00DB1B84" w:rsidRPr="00187C93" w:rsidRDefault="00DB1B84">
            <w:pPr>
              <w:pStyle w:val="Tabelltext"/>
              <w:jc w:val="center"/>
            </w:pPr>
            <w:r w:rsidRPr="00187C93">
              <w:t>(3,9)</w:t>
            </w:r>
          </w:p>
        </w:tc>
        <w:tc>
          <w:tcPr>
            <w:tcW w:w="709" w:type="dxa"/>
          </w:tcPr>
          <w:p w:rsidR="00DB1B84" w:rsidRPr="00187C93" w:rsidRDefault="00DB1B84">
            <w:pPr>
              <w:pStyle w:val="Tabelltext"/>
              <w:jc w:val="center"/>
            </w:pPr>
            <w:r w:rsidRPr="00187C93">
              <w:t>3,9</w:t>
            </w:r>
          </w:p>
          <w:p w:rsidR="00DB1B84" w:rsidRPr="00187C93" w:rsidRDefault="00DB1B84">
            <w:pPr>
              <w:pStyle w:val="Tabelltext"/>
              <w:jc w:val="center"/>
            </w:pPr>
            <w:r w:rsidRPr="00187C93">
              <w:t>(4,0)</w:t>
            </w:r>
          </w:p>
        </w:tc>
        <w:tc>
          <w:tcPr>
            <w:tcW w:w="709" w:type="dxa"/>
          </w:tcPr>
          <w:p w:rsidR="00DB1B84" w:rsidRPr="00187C93" w:rsidRDefault="00DB1B84">
            <w:pPr>
              <w:pStyle w:val="Tabelltext"/>
              <w:jc w:val="center"/>
            </w:pPr>
            <w:r w:rsidRPr="00187C93">
              <w:t>4,0</w:t>
            </w:r>
          </w:p>
        </w:tc>
      </w:tr>
      <w:tr w:rsidR="00000000" w:rsidRPr="00187C93">
        <w:tblPrEx>
          <w:tblCellMar>
            <w:top w:w="0" w:type="dxa"/>
            <w:bottom w:w="0" w:type="dxa"/>
          </w:tblCellMar>
        </w:tblPrEx>
        <w:tc>
          <w:tcPr>
            <w:tcW w:w="2055" w:type="dxa"/>
          </w:tcPr>
          <w:p w:rsidR="00DB1B84" w:rsidRPr="00187C93" w:rsidRDefault="00DB1B84">
            <w:pPr>
              <w:pStyle w:val="Tabelltext"/>
              <w:rPr>
                <w:b/>
              </w:rPr>
            </w:pPr>
            <w:r w:rsidRPr="00187C93">
              <w:rPr>
                <w:b/>
              </w:rPr>
              <w:t>Arbetsmarknadspoliti</w:t>
            </w:r>
            <w:r w:rsidRPr="00187C93">
              <w:rPr>
                <w:b/>
              </w:rPr>
              <w:t>s</w:t>
            </w:r>
            <w:r w:rsidRPr="00187C93">
              <w:rPr>
                <w:b/>
              </w:rPr>
              <w:t>ka</w:t>
            </w:r>
          </w:p>
          <w:p w:rsidR="00DB1B84" w:rsidRPr="00187C93" w:rsidRDefault="00DB1B84">
            <w:pPr>
              <w:pStyle w:val="Tabelltext"/>
              <w:rPr>
                <w:rStyle w:val="Fotnotsreferens"/>
                <w:b/>
              </w:rPr>
            </w:pPr>
            <w:r w:rsidRPr="00187C93">
              <w:rPr>
                <w:b/>
              </w:rPr>
              <w:t>program</w:t>
            </w:r>
            <w:r w:rsidRPr="00187C93">
              <w:rPr>
                <w:rStyle w:val="Fotnotsreferens"/>
                <w:b/>
              </w:rPr>
              <w:t>3</w:t>
            </w:r>
          </w:p>
        </w:tc>
        <w:tc>
          <w:tcPr>
            <w:tcW w:w="992" w:type="dxa"/>
          </w:tcPr>
          <w:p w:rsidR="00DB1B84" w:rsidRPr="00187C93" w:rsidRDefault="00DB1B84">
            <w:pPr>
              <w:pStyle w:val="Tabelltext"/>
              <w:jc w:val="center"/>
            </w:pPr>
            <w:r w:rsidRPr="00187C93">
              <w:t>2,6</w:t>
            </w:r>
          </w:p>
          <w:p w:rsidR="00DB1B84" w:rsidRPr="00187C93" w:rsidRDefault="00DB1B84">
            <w:pPr>
              <w:pStyle w:val="Tabelltext"/>
              <w:jc w:val="center"/>
            </w:pPr>
            <w:r w:rsidRPr="00187C93">
              <w:t>(2,6)</w:t>
            </w:r>
          </w:p>
        </w:tc>
        <w:tc>
          <w:tcPr>
            <w:tcW w:w="851" w:type="dxa"/>
          </w:tcPr>
          <w:p w:rsidR="00DB1B84" w:rsidRPr="00187C93" w:rsidRDefault="00DB1B84">
            <w:pPr>
              <w:pStyle w:val="Tabelltext"/>
              <w:jc w:val="center"/>
            </w:pPr>
            <w:r w:rsidRPr="00187C93">
              <w:t>2,4</w:t>
            </w:r>
          </w:p>
          <w:p w:rsidR="00DB1B84" w:rsidRPr="00187C93" w:rsidRDefault="00DB1B84">
            <w:pPr>
              <w:pStyle w:val="Tabelltext"/>
              <w:jc w:val="center"/>
            </w:pPr>
            <w:r w:rsidRPr="00187C93">
              <w:t>(2,6)</w:t>
            </w:r>
          </w:p>
        </w:tc>
        <w:tc>
          <w:tcPr>
            <w:tcW w:w="850" w:type="dxa"/>
          </w:tcPr>
          <w:p w:rsidR="00DB1B84" w:rsidRPr="00187C93" w:rsidRDefault="00DB1B84">
            <w:pPr>
              <w:pStyle w:val="Tabelltext"/>
              <w:jc w:val="center"/>
            </w:pPr>
            <w:r w:rsidRPr="00187C93">
              <w:t>2,2</w:t>
            </w:r>
          </w:p>
          <w:p w:rsidR="00DB1B84" w:rsidRPr="00187C93" w:rsidRDefault="00DB1B84">
            <w:pPr>
              <w:pStyle w:val="Tabelltext"/>
              <w:jc w:val="center"/>
            </w:pPr>
            <w:r w:rsidRPr="00187C93">
              <w:t>(2,3)</w:t>
            </w:r>
          </w:p>
        </w:tc>
        <w:tc>
          <w:tcPr>
            <w:tcW w:w="709" w:type="dxa"/>
          </w:tcPr>
          <w:p w:rsidR="00DB1B84" w:rsidRPr="00187C93" w:rsidRDefault="00DB1B84">
            <w:pPr>
              <w:pStyle w:val="Tabelltext"/>
              <w:jc w:val="center"/>
            </w:pPr>
            <w:r w:rsidRPr="00187C93">
              <w:t>2,0</w:t>
            </w:r>
          </w:p>
          <w:p w:rsidR="00DB1B84" w:rsidRPr="00187C93" w:rsidRDefault="00DB1B84">
            <w:pPr>
              <w:pStyle w:val="Tabelltext"/>
              <w:jc w:val="center"/>
            </w:pPr>
            <w:r w:rsidRPr="00187C93">
              <w:t>(2,0)</w:t>
            </w:r>
          </w:p>
        </w:tc>
        <w:tc>
          <w:tcPr>
            <w:tcW w:w="709" w:type="dxa"/>
          </w:tcPr>
          <w:p w:rsidR="00DB1B84" w:rsidRPr="00187C93" w:rsidRDefault="00DB1B84">
            <w:pPr>
              <w:pStyle w:val="Tabelltext"/>
              <w:jc w:val="center"/>
            </w:pPr>
            <w:r w:rsidRPr="00187C93">
              <w:t>1,7</w:t>
            </w:r>
          </w:p>
        </w:tc>
      </w:tr>
    </w:tbl>
    <w:p w:rsidR="00DB1B84" w:rsidRPr="00187C93" w:rsidRDefault="00DB1B84">
      <w:pPr>
        <w:pStyle w:val="Tabelltext"/>
        <w:spacing w:before="120"/>
      </w:pPr>
      <w:r w:rsidRPr="00187C93">
        <w:rPr>
          <w:vertAlign w:val="superscript"/>
        </w:rPr>
        <w:t>1</w:t>
      </w:r>
      <w:r w:rsidRPr="00187C93">
        <w:t>. Andel av befolkningen mellan 20 och 64 år i reguljär sysselsättning</w:t>
      </w:r>
    </w:p>
    <w:p w:rsidR="00DB1B84" w:rsidRPr="00187C93" w:rsidRDefault="00DB1B84">
      <w:pPr>
        <w:pStyle w:val="Tabelltext"/>
      </w:pPr>
      <w:r w:rsidRPr="00187C93">
        <w:rPr>
          <w:vertAlign w:val="superscript"/>
        </w:rPr>
        <w:t>2</w:t>
      </w:r>
      <w:r w:rsidRPr="00187C93">
        <w:t>. Andel av arbetskraften</w:t>
      </w:r>
    </w:p>
    <w:p w:rsidR="00DB1B84" w:rsidRPr="00187C93" w:rsidRDefault="00DB1B84">
      <w:pPr>
        <w:pStyle w:val="Tabelltext"/>
      </w:pPr>
      <w:r w:rsidRPr="00187C93">
        <w:rPr>
          <w:vertAlign w:val="superscript"/>
        </w:rPr>
        <w:t>3</w:t>
      </w:r>
      <w:r w:rsidRPr="00187C93">
        <w:t>. Andel av arbetskraften. En definitionsförändring fr.o.m. 2001 gör att denna och komma</w:t>
      </w:r>
      <w:r w:rsidRPr="00187C93">
        <w:t>n</w:t>
      </w:r>
      <w:r w:rsidRPr="00187C93">
        <w:t>de beräkningar även omfattar arbetslivsinriktad rehabilitering, vilket höjer andelen i arbet</w:t>
      </w:r>
      <w:r w:rsidRPr="00187C93">
        <w:t>s</w:t>
      </w:r>
      <w:r w:rsidRPr="00187C93">
        <w:t xml:space="preserve">marknadspolitiska program med 0,2 procentenheter eller 7 000 platser/år. </w:t>
      </w:r>
    </w:p>
    <w:p w:rsidR="00DB1B84" w:rsidRPr="00187C93" w:rsidRDefault="00DB1B84">
      <w:pPr>
        <w:pStyle w:val="Rubrik2b"/>
      </w:pPr>
      <w:bookmarkStart w:id="11" w:name="_Toc515765276"/>
      <w:r w:rsidRPr="00187C93">
        <w:t>3.2 Utgiftsområde 13 Arbetsmarknad</w:t>
      </w:r>
      <w:bookmarkEnd w:id="11"/>
    </w:p>
    <w:p w:rsidR="00DB1B84" w:rsidRPr="00187C93" w:rsidRDefault="00DB1B84">
      <w:r w:rsidRPr="00187C93">
        <w:t>Utgiftsområdet omfattar politikområdet Arbetsmarknadspolitik.</w:t>
      </w:r>
    </w:p>
    <w:p w:rsidR="00DB1B84" w:rsidRPr="00187C93" w:rsidRDefault="00DB1B84">
      <w:pPr>
        <w:pStyle w:val="Normaltindrag"/>
      </w:pPr>
      <w:r w:rsidRPr="00187C93">
        <w:t>Regeringens, Moderaternas, Kristdemokraternas, Centerpartiets och Fol</w:t>
      </w:r>
      <w:r w:rsidRPr="00187C93">
        <w:t>k</w:t>
      </w:r>
      <w:r w:rsidRPr="00187C93">
        <w:t>partiets respektive förslag till ramar för utgiftsområdet framgår av nedanst</w:t>
      </w:r>
      <w:r w:rsidRPr="00187C93">
        <w:t>å</w:t>
      </w:r>
    </w:p>
    <w:p w:rsidR="00DB1B84" w:rsidRPr="00187C93" w:rsidRDefault="00DB1B84">
      <w:r w:rsidRPr="00187C93">
        <w:br w:type="page"/>
        <w:t>ende tabell. Oppositionspartiernas förslag är angivna i relation till regering</w:t>
      </w:r>
      <w:r w:rsidRPr="00187C93">
        <w:t>s</w:t>
      </w:r>
      <w:r w:rsidRPr="00187C93">
        <w:t xml:space="preserve">förslaget. </w:t>
      </w:r>
    </w:p>
    <w:p w:rsidR="00DB1B84" w:rsidRPr="00187C93" w:rsidRDefault="00DB1B84">
      <w:pPr>
        <w:pStyle w:val="TabellNot"/>
        <w:spacing w:before="120"/>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637"/>
        <w:gridCol w:w="1134"/>
        <w:gridCol w:w="851"/>
        <w:gridCol w:w="850"/>
        <w:gridCol w:w="851"/>
        <w:gridCol w:w="850"/>
      </w:tblGrid>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År</w:t>
            </w:r>
          </w:p>
        </w:tc>
        <w:tc>
          <w:tcPr>
            <w:tcW w:w="1134" w:type="dxa"/>
          </w:tcPr>
          <w:p w:rsidR="00DB1B84" w:rsidRPr="00187C93" w:rsidRDefault="00DB1B84">
            <w:pPr>
              <w:pStyle w:val="Tabelltext"/>
              <w:spacing w:before="60"/>
              <w:rPr>
                <w:b/>
              </w:rPr>
            </w:pPr>
            <w:r w:rsidRPr="00187C93">
              <w:rPr>
                <w:b/>
              </w:rPr>
              <w:t>Regeringens</w:t>
            </w:r>
          </w:p>
          <w:p w:rsidR="00DB1B84" w:rsidRPr="00187C93" w:rsidRDefault="00DB1B84">
            <w:pPr>
              <w:pStyle w:val="Tabelltext"/>
              <w:spacing w:after="60"/>
              <w:rPr>
                <w:b/>
              </w:rPr>
            </w:pPr>
            <w:r w:rsidRPr="00187C93">
              <w:rPr>
                <w:b/>
              </w:rPr>
              <w:t>förslag</w:t>
            </w:r>
          </w:p>
        </w:tc>
        <w:tc>
          <w:tcPr>
            <w:tcW w:w="851" w:type="dxa"/>
          </w:tcPr>
          <w:p w:rsidR="00DB1B84" w:rsidRPr="00187C93" w:rsidRDefault="00DB1B84">
            <w:pPr>
              <w:pStyle w:val="Tabelltext"/>
              <w:spacing w:before="60" w:after="60"/>
              <w:jc w:val="center"/>
              <w:rPr>
                <w:b/>
              </w:rPr>
            </w:pPr>
            <w:r w:rsidRPr="00187C93">
              <w:rPr>
                <w:b/>
              </w:rPr>
              <w:t>m</w:t>
            </w:r>
          </w:p>
        </w:tc>
        <w:tc>
          <w:tcPr>
            <w:tcW w:w="850" w:type="dxa"/>
          </w:tcPr>
          <w:p w:rsidR="00DB1B84" w:rsidRPr="00187C93" w:rsidRDefault="00DB1B84">
            <w:pPr>
              <w:pStyle w:val="Tabelltext"/>
              <w:spacing w:before="60" w:after="60"/>
              <w:jc w:val="center"/>
              <w:rPr>
                <w:b/>
              </w:rPr>
            </w:pPr>
            <w:r w:rsidRPr="00187C93">
              <w:rPr>
                <w:b/>
              </w:rPr>
              <w:t>kd</w:t>
            </w:r>
          </w:p>
        </w:tc>
        <w:tc>
          <w:tcPr>
            <w:tcW w:w="851" w:type="dxa"/>
          </w:tcPr>
          <w:p w:rsidR="00DB1B84" w:rsidRPr="00187C93" w:rsidRDefault="00DB1B84">
            <w:pPr>
              <w:pStyle w:val="Tabelltext"/>
              <w:spacing w:before="60" w:after="60"/>
              <w:jc w:val="center"/>
              <w:rPr>
                <w:b/>
              </w:rPr>
            </w:pPr>
            <w:r w:rsidRPr="00187C93">
              <w:rPr>
                <w:b/>
              </w:rPr>
              <w:t>c</w:t>
            </w:r>
          </w:p>
        </w:tc>
        <w:tc>
          <w:tcPr>
            <w:tcW w:w="850" w:type="dxa"/>
          </w:tcPr>
          <w:p w:rsidR="00DB1B84" w:rsidRPr="00187C93" w:rsidRDefault="00DB1B84">
            <w:pPr>
              <w:pStyle w:val="Tabelltext"/>
              <w:spacing w:before="60" w:after="60"/>
              <w:jc w:val="center"/>
              <w:rPr>
                <w:b/>
              </w:rPr>
            </w:pPr>
            <w:r w:rsidRPr="00187C93">
              <w:rPr>
                <w:b/>
              </w:rPr>
              <w:t>fp</w:t>
            </w:r>
          </w:p>
        </w:tc>
      </w:tr>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2002</w:t>
            </w:r>
          </w:p>
        </w:tc>
        <w:tc>
          <w:tcPr>
            <w:tcW w:w="1134" w:type="dxa"/>
          </w:tcPr>
          <w:p w:rsidR="00DB1B84" w:rsidRPr="00187C93" w:rsidRDefault="00DB1B84">
            <w:pPr>
              <w:pStyle w:val="Tabelltext"/>
              <w:spacing w:before="60" w:after="60"/>
            </w:pPr>
            <w:r w:rsidRPr="00187C93">
              <w:t>59 199</w:t>
            </w:r>
          </w:p>
        </w:tc>
        <w:tc>
          <w:tcPr>
            <w:tcW w:w="851" w:type="dxa"/>
          </w:tcPr>
          <w:p w:rsidR="00DB1B84" w:rsidRPr="00187C93" w:rsidRDefault="00DB1B84">
            <w:pPr>
              <w:pStyle w:val="Tabelltext"/>
              <w:spacing w:before="60" w:after="60"/>
            </w:pPr>
            <w:r w:rsidRPr="00187C93">
              <w:t>- 5 197</w:t>
            </w:r>
          </w:p>
        </w:tc>
        <w:tc>
          <w:tcPr>
            <w:tcW w:w="850" w:type="dxa"/>
          </w:tcPr>
          <w:p w:rsidR="00DB1B84" w:rsidRPr="00187C93" w:rsidRDefault="00DB1B84">
            <w:pPr>
              <w:pStyle w:val="Tabelltext"/>
              <w:spacing w:before="60" w:after="60"/>
            </w:pPr>
            <w:r w:rsidRPr="00187C93">
              <w:t>- 8 810</w:t>
            </w:r>
          </w:p>
        </w:tc>
        <w:tc>
          <w:tcPr>
            <w:tcW w:w="851" w:type="dxa"/>
          </w:tcPr>
          <w:p w:rsidR="00DB1B84" w:rsidRPr="00187C93" w:rsidRDefault="00DB1B84">
            <w:pPr>
              <w:pStyle w:val="Tabelltext"/>
              <w:spacing w:before="60" w:after="60"/>
            </w:pPr>
            <w:r w:rsidRPr="00187C93">
              <w:t>- 29 689</w:t>
            </w:r>
          </w:p>
        </w:tc>
        <w:tc>
          <w:tcPr>
            <w:tcW w:w="850" w:type="dxa"/>
          </w:tcPr>
          <w:p w:rsidR="00DB1B84" w:rsidRPr="00187C93" w:rsidRDefault="00DB1B84">
            <w:pPr>
              <w:pStyle w:val="Tabelltext"/>
              <w:spacing w:before="60" w:after="60"/>
            </w:pPr>
            <w:r w:rsidRPr="00187C93">
              <w:t>- 14 435</w:t>
            </w:r>
          </w:p>
        </w:tc>
      </w:tr>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2003</w:t>
            </w:r>
          </w:p>
        </w:tc>
        <w:tc>
          <w:tcPr>
            <w:tcW w:w="1134" w:type="dxa"/>
          </w:tcPr>
          <w:p w:rsidR="00DB1B84" w:rsidRPr="00187C93" w:rsidRDefault="00DB1B84">
            <w:pPr>
              <w:pStyle w:val="Tabelltext"/>
              <w:spacing w:before="60" w:after="60"/>
            </w:pPr>
            <w:r w:rsidRPr="00187C93">
              <w:t>59 959</w:t>
            </w:r>
          </w:p>
        </w:tc>
        <w:tc>
          <w:tcPr>
            <w:tcW w:w="851" w:type="dxa"/>
          </w:tcPr>
          <w:p w:rsidR="00DB1B84" w:rsidRPr="00187C93" w:rsidRDefault="00DB1B84">
            <w:pPr>
              <w:pStyle w:val="Tabelltext"/>
              <w:spacing w:before="60" w:after="60"/>
            </w:pPr>
            <w:r w:rsidRPr="00187C93">
              <w:t>- 17 293</w:t>
            </w:r>
          </w:p>
        </w:tc>
        <w:tc>
          <w:tcPr>
            <w:tcW w:w="850" w:type="dxa"/>
          </w:tcPr>
          <w:p w:rsidR="00DB1B84" w:rsidRPr="00187C93" w:rsidRDefault="00DB1B84">
            <w:pPr>
              <w:pStyle w:val="Tabelltext"/>
              <w:spacing w:before="60" w:after="60"/>
              <w:rPr>
                <w:sz w:val="18"/>
              </w:rPr>
            </w:pPr>
            <w:r w:rsidRPr="00187C93">
              <w:t>- 10 730</w:t>
            </w:r>
          </w:p>
        </w:tc>
        <w:tc>
          <w:tcPr>
            <w:tcW w:w="851" w:type="dxa"/>
          </w:tcPr>
          <w:p w:rsidR="00DB1B84" w:rsidRPr="00187C93" w:rsidRDefault="00DB1B84">
            <w:pPr>
              <w:pStyle w:val="Tabelltext"/>
              <w:spacing w:before="60" w:after="60"/>
            </w:pPr>
            <w:r w:rsidRPr="00187C93">
              <w:t>- 33 384</w:t>
            </w:r>
          </w:p>
        </w:tc>
        <w:tc>
          <w:tcPr>
            <w:tcW w:w="850" w:type="dxa"/>
          </w:tcPr>
          <w:p w:rsidR="00DB1B84" w:rsidRPr="00187C93" w:rsidRDefault="00DB1B84">
            <w:pPr>
              <w:pStyle w:val="Tabelltext"/>
              <w:spacing w:before="60" w:after="60"/>
            </w:pPr>
            <w:r w:rsidRPr="00187C93">
              <w:t>- 15 005</w:t>
            </w:r>
          </w:p>
        </w:tc>
      </w:tr>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2004</w:t>
            </w:r>
          </w:p>
        </w:tc>
        <w:tc>
          <w:tcPr>
            <w:tcW w:w="1134" w:type="dxa"/>
          </w:tcPr>
          <w:p w:rsidR="00DB1B84" w:rsidRPr="00187C93" w:rsidRDefault="00DB1B84">
            <w:pPr>
              <w:pStyle w:val="Tabelltext"/>
              <w:spacing w:before="60" w:after="60"/>
            </w:pPr>
            <w:r w:rsidRPr="00187C93">
              <w:t>59 593</w:t>
            </w:r>
          </w:p>
        </w:tc>
        <w:tc>
          <w:tcPr>
            <w:tcW w:w="851" w:type="dxa"/>
          </w:tcPr>
          <w:p w:rsidR="00DB1B84" w:rsidRPr="00187C93" w:rsidRDefault="00DB1B84">
            <w:pPr>
              <w:pStyle w:val="Tabelltext"/>
              <w:spacing w:before="60" w:after="60"/>
            </w:pPr>
            <w:r w:rsidRPr="00187C93">
              <w:t>- 26 585</w:t>
            </w:r>
          </w:p>
        </w:tc>
        <w:tc>
          <w:tcPr>
            <w:tcW w:w="850" w:type="dxa"/>
          </w:tcPr>
          <w:p w:rsidR="00DB1B84" w:rsidRPr="00187C93" w:rsidRDefault="00DB1B84">
            <w:pPr>
              <w:pStyle w:val="Tabelltext"/>
              <w:spacing w:before="60" w:after="60"/>
            </w:pPr>
            <w:r w:rsidRPr="00187C93">
              <w:t>- 10 530</w:t>
            </w:r>
          </w:p>
        </w:tc>
        <w:tc>
          <w:tcPr>
            <w:tcW w:w="851" w:type="dxa"/>
          </w:tcPr>
          <w:p w:rsidR="00DB1B84" w:rsidRPr="00187C93" w:rsidRDefault="00DB1B84">
            <w:pPr>
              <w:pStyle w:val="Tabelltext"/>
              <w:spacing w:before="60" w:after="60"/>
            </w:pPr>
            <w:r w:rsidRPr="00187C93">
              <w:t>- 33 518</w:t>
            </w:r>
          </w:p>
        </w:tc>
        <w:tc>
          <w:tcPr>
            <w:tcW w:w="850" w:type="dxa"/>
          </w:tcPr>
          <w:p w:rsidR="00DB1B84" w:rsidRPr="00187C93" w:rsidRDefault="00DB1B84">
            <w:pPr>
              <w:pStyle w:val="Tabelltext"/>
              <w:spacing w:before="60" w:after="60"/>
            </w:pPr>
            <w:r w:rsidRPr="00187C93">
              <w:t>- 14 455</w:t>
            </w:r>
          </w:p>
        </w:tc>
      </w:tr>
    </w:tbl>
    <w:p w:rsidR="00DB1B84" w:rsidRPr="00187C93" w:rsidRDefault="00DB1B84">
      <w:pPr>
        <w:pStyle w:val="Rubrik3"/>
        <w:rPr>
          <w:noProof w:val="0"/>
        </w:rPr>
      </w:pPr>
      <w:bookmarkStart w:id="12" w:name="_Toc515765277"/>
      <w:r w:rsidRPr="00187C93">
        <w:rPr>
          <w:noProof w:val="0"/>
        </w:rPr>
        <w:t>Propositionen</w:t>
      </w:r>
      <w:bookmarkEnd w:id="12"/>
    </w:p>
    <w:p w:rsidR="00DB1B84" w:rsidRPr="00187C93" w:rsidRDefault="00DB1B84">
      <w:r w:rsidRPr="00187C93">
        <w:t>Regeringen föreslår som framgår av redogörelsen ovan att ramen för utgift</w:t>
      </w:r>
      <w:r w:rsidRPr="00187C93">
        <w:t>s</w:t>
      </w:r>
      <w:r w:rsidRPr="00187C93">
        <w:t>området minskas med 2 230 miljoner kronor för budgetåret 2002 och med 1 508 miljoner kronor för budgetåret 2003. Förändringarna i förhållande till budgetpropositionen för 2001 förklaras enligt regeringen främst av lägre volymer i arbetsmarknadspolitiska program.</w:t>
      </w:r>
    </w:p>
    <w:p w:rsidR="00DB1B84" w:rsidRPr="00187C93" w:rsidRDefault="00DB1B84">
      <w:pPr>
        <w:pStyle w:val="Normaltindrag"/>
      </w:pPr>
      <w:r w:rsidRPr="00187C93">
        <w:t>För att de lediga platserna snabbt skall kunna tillsättas och för att säke</w:t>
      </w:r>
      <w:r w:rsidRPr="00187C93">
        <w:t>r</w:t>
      </w:r>
      <w:r w:rsidRPr="00187C93">
        <w:t>ställa kvaliteten i insatserna inom aktivitetsgarantin gör regeringen den b</w:t>
      </w:r>
      <w:r w:rsidRPr="00187C93">
        <w:t>e</w:t>
      </w:r>
      <w:r w:rsidRPr="00187C93">
        <w:t>dömningen att behovet av personalresurser vid arbetsförmedlingarna kommer att vara oförändrat de närmaste åren. Enligt regeringen handlar det om att förstärka det företagsinriktade arbetssättet och utveckla arbetet med de ind</w:t>
      </w:r>
      <w:r w:rsidRPr="00187C93">
        <w:t>i</w:t>
      </w:r>
      <w:r w:rsidRPr="00187C93">
        <w:t>viduella handlingsplanerna. Det ger också ökade möjligheter för arbetsfö</w:t>
      </w:r>
      <w:r w:rsidRPr="00187C93">
        <w:t>r</w:t>
      </w:r>
      <w:r w:rsidRPr="00187C93">
        <w:t xml:space="preserve">medlingarna att i större utsträckning arbeta med aktivitetsgarantin. </w:t>
      </w:r>
    </w:p>
    <w:p w:rsidR="00DB1B84" w:rsidRPr="00187C93" w:rsidRDefault="00DB1B84">
      <w:pPr>
        <w:pStyle w:val="Normaltindrag"/>
      </w:pPr>
      <w:r w:rsidRPr="00187C93">
        <w:t>Regeringen aviserar att den återkommer i budgetpropositionen för å</w:t>
      </w:r>
      <w:r w:rsidRPr="00187C93">
        <w:t>r 2002 med förslag som innebär att de 700 miljoner kronor som AMV fått för tillfä</w:t>
      </w:r>
      <w:r w:rsidRPr="00187C93">
        <w:t>l</w:t>
      </w:r>
      <w:r w:rsidRPr="00187C93">
        <w:t>liga personalförstärkningar överförs permanent. Av detta belopp skall 165 miljoner kronor användas särskilt för att stärka ställningen på arbetsmarkn</w:t>
      </w:r>
      <w:r w:rsidRPr="00187C93">
        <w:t>a</w:t>
      </w:r>
      <w:r w:rsidRPr="00187C93">
        <w:t xml:space="preserve">den för personer med utländsk bakgrund. </w:t>
      </w:r>
    </w:p>
    <w:p w:rsidR="00DB1B84" w:rsidRPr="00187C93" w:rsidRDefault="00DB1B84">
      <w:pPr>
        <w:pStyle w:val="Normaltindrag"/>
      </w:pPr>
      <w:r w:rsidRPr="00187C93">
        <w:t>Regeringen kommer i budgetpropositionen för år 2002 att föreslå att fö</w:t>
      </w:r>
      <w:r w:rsidRPr="00187C93">
        <w:t>r</w:t>
      </w:r>
      <w:r w:rsidRPr="00187C93">
        <w:t>söksverksamheten Kulturarvs-IT förlängs till utgången av 2002. Regeringen kommer också att ändra sysselsättningskravet för Samhall AB, dvs. antalet arbetade timmar som bolaget skall uppnå, från 31,9 miljoner till 31 mi</w:t>
      </w:r>
      <w:r w:rsidRPr="00187C93">
        <w:t>l</w:t>
      </w:r>
      <w:r w:rsidRPr="00187C93">
        <w:t>joner.</w:t>
      </w:r>
    </w:p>
    <w:p w:rsidR="00DB1B84" w:rsidRPr="00187C93" w:rsidRDefault="00DB1B84">
      <w:pPr>
        <w:pStyle w:val="Normaltindrag"/>
      </w:pPr>
      <w:r w:rsidRPr="00187C93">
        <w:t>100 miljoner kronor kommer att användas för insatser för att minska de</w:t>
      </w:r>
      <w:r w:rsidRPr="00187C93">
        <w:t>l</w:t>
      </w:r>
      <w:r w:rsidRPr="00187C93">
        <w:t>tidsarbetslösheten under åren 2002–2004. Ett förslag kommer att presenteras i budge</w:t>
      </w:r>
      <w:r w:rsidRPr="00187C93">
        <w:t>t</w:t>
      </w:r>
      <w:r w:rsidRPr="00187C93">
        <w:t>propositionen för år 2002.</w:t>
      </w:r>
    </w:p>
    <w:p w:rsidR="00DB1B84" w:rsidRPr="00187C93" w:rsidRDefault="00DB1B84">
      <w:pPr>
        <w:pStyle w:val="Normaltindrag"/>
      </w:pPr>
      <w:r w:rsidRPr="00187C93">
        <w:t>Regeringen aviserar att den avser att höja de lägsta och högsta nivåerna i arbetslöshetsförsäkringen fr. o. m. den 1 juli 2001. Den högsta dagpenningen höjs från 580 kr per dag till 680 kr per dag under de första 100 dagarna i en ersättningsperiod. Samtidigt skall grundbeloppet höjas från 240 kr per dag till 270 kr per dag. Detta skall gälla under hela ersättningsperioden. Motsvarande höjningar ko</w:t>
      </w:r>
      <w:r w:rsidRPr="00187C93">
        <w:t>mmer även att genomföras vad gäller nivåerna på aktivitetsst</w:t>
      </w:r>
      <w:r w:rsidRPr="00187C93">
        <w:t>ö</w:t>
      </w:r>
      <w:r w:rsidRPr="00187C93">
        <w:t>den. Förändringarna finansieras i huvudsak genom de regelförändringar som genomfördes den 5 februari 2001. För att delvis finansiera höjningarna ko</w:t>
      </w:r>
      <w:r w:rsidRPr="00187C93">
        <w:t>m</w:t>
      </w:r>
      <w:r w:rsidRPr="00187C93">
        <w:t>mer från år 2002 utgiftsområdet att tillföras 500 miljoner kronor. Nästa år skall ytterligare höjningar av ersättningsnivåerna genomföras under förutsät</w:t>
      </w:r>
      <w:r w:rsidRPr="00187C93">
        <w:t>t</w:t>
      </w:r>
      <w:r w:rsidRPr="00187C93">
        <w:t>ning att det statsfinansiella läget tillåter det.</w:t>
      </w:r>
    </w:p>
    <w:p w:rsidR="00DB1B84" w:rsidRPr="00187C93" w:rsidRDefault="00DB1B84">
      <w:pPr>
        <w:pStyle w:val="Rubrik3"/>
        <w:rPr>
          <w:noProof w:val="0"/>
        </w:rPr>
      </w:pPr>
      <w:bookmarkStart w:id="13" w:name="_Toc515765278"/>
      <w:r w:rsidRPr="00187C93">
        <w:rPr>
          <w:noProof w:val="0"/>
        </w:rPr>
        <w:t>Motioner</w:t>
      </w:r>
      <w:bookmarkEnd w:id="13"/>
    </w:p>
    <w:p w:rsidR="00DB1B84" w:rsidRPr="00187C93" w:rsidRDefault="00DB1B84">
      <w:r w:rsidRPr="00187C93">
        <w:t xml:space="preserve">I partimotion Fi17 (yrk. 5 delvis) framhåller </w:t>
      </w:r>
      <w:r w:rsidRPr="00187C93">
        <w:rPr>
          <w:i/>
        </w:rPr>
        <w:t>Moderaterna</w:t>
      </w:r>
      <w:r w:rsidRPr="00187C93">
        <w:t xml:space="preserve"> att arbetsmar</w:t>
      </w:r>
      <w:r w:rsidRPr="00187C93">
        <w:t>k</w:t>
      </w:r>
      <w:r w:rsidRPr="00187C93">
        <w:t>nadspolitiken måste koncentreras och effektiviseras. De åtgärder som geno</w:t>
      </w:r>
      <w:r w:rsidRPr="00187C93">
        <w:t>m</w:t>
      </w:r>
      <w:r w:rsidRPr="00187C93">
        <w:t xml:space="preserve">förs skall leda till konkreta resultat, dvs. att fler individer erhåller ett ordinarie arbete. Målet skall vara att alla individer som vill ha ett arbete också skall ges reella möjligheter att få det. </w:t>
      </w:r>
    </w:p>
    <w:p w:rsidR="00DB1B84" w:rsidRPr="00187C93" w:rsidRDefault="00DB1B84">
      <w:pPr>
        <w:pStyle w:val="Normaltindrag"/>
      </w:pPr>
      <w:r w:rsidRPr="00187C93">
        <w:t>Arbetslöshetsersättningen får enligt Moderaterna inte utgöra en livslång inkomstgaranti. Försäkringen skall fungera som en omställningsförsäkring under tiden som den enskilde befinner sig mellan två arbeten. Fö</w:t>
      </w:r>
      <w:r w:rsidRPr="00187C93">
        <w:t>r att uppnå detta föreslås att försäkringen reformeras. Arbetslöshetsförsäkringen skall vara allmän och obligatorisk. Den skall administreras av staten och inte av de fackliga organisationerna. Försäkringen skall utformas så att den ger tydliga signaler till den enskilde att söka och acceptera erbjudande om nytt arbete. Den enskildes ansvar för finansieringen skall öka. Enligt Moderaterna är en rimlig ersättningsnivå 75 % av den arbetslöses tidigare inkomst. Moderaterna aviserar att man återkommer i höstens</w:t>
      </w:r>
      <w:r w:rsidRPr="00187C93">
        <w:t xml:space="preserve"> budgetmotion med ett samlat förslag om arbetslöshetsförsäkringen. I detta förslag avser Moderaterna att ta stäl</w:t>
      </w:r>
      <w:r w:rsidRPr="00187C93">
        <w:t>l</w:t>
      </w:r>
      <w:r w:rsidRPr="00187C93">
        <w:t>ning till eventuella förändringar av ersättningsnivåerna. Moderaterna motsä</w:t>
      </w:r>
      <w:r w:rsidRPr="00187C93">
        <w:t>t</w:t>
      </w:r>
      <w:r w:rsidRPr="00187C93">
        <w:t>ter sig därför de av regeringen aviserade höjningarna av ersättningsnivåerna i arbetslöshetsfö</w:t>
      </w:r>
      <w:r w:rsidRPr="00187C93">
        <w:t>r</w:t>
      </w:r>
      <w:r w:rsidRPr="00187C93">
        <w:t>säkringen.</w:t>
      </w:r>
    </w:p>
    <w:p w:rsidR="00DB1B84" w:rsidRPr="00187C93" w:rsidRDefault="00DB1B84">
      <w:pPr>
        <w:spacing w:before="187"/>
      </w:pPr>
      <w:r w:rsidRPr="00187C93">
        <w:rPr>
          <w:i/>
        </w:rPr>
        <w:t>Kristdemokraterna</w:t>
      </w:r>
      <w:r w:rsidRPr="00187C93">
        <w:t xml:space="preserve"> hävdar i partimotion Fi18 (yrk. 7 delvis) att en viktig strukturreform för bl.a. bättre lönebildning är ökad självfinansieringsgrad i en allmän och obligatorisk arbetslöshetsförsäkring. Genom en högre självfina</w:t>
      </w:r>
      <w:r w:rsidRPr="00187C93">
        <w:t>n</w:t>
      </w:r>
      <w:r w:rsidRPr="00187C93">
        <w:t>siering synliggörs arbetslöshetens kostnader. Enligt Kristdemokraterna bör självfinansieringen öka till 33 %.  En effekt blir att anslaget inom detta u</w:t>
      </w:r>
      <w:r w:rsidRPr="00187C93">
        <w:t>t</w:t>
      </w:r>
      <w:r w:rsidRPr="00187C93">
        <w:t xml:space="preserve">giftsområde kan minskas kraftigt. Den enskilde kompenseras genom sänkt inkomstskatt. </w:t>
      </w:r>
    </w:p>
    <w:p w:rsidR="00DB1B84" w:rsidRPr="00187C93" w:rsidRDefault="00DB1B84">
      <w:pPr>
        <w:pStyle w:val="Normaltindrag"/>
      </w:pPr>
      <w:r w:rsidRPr="00187C93">
        <w:t>Kristdemokraterna anser att det är nödvändigt att förändra nuv</w:t>
      </w:r>
      <w:r w:rsidRPr="00187C93">
        <w:t>arande r</w:t>
      </w:r>
      <w:r w:rsidRPr="00187C93">
        <w:t>e</w:t>
      </w:r>
      <w:r w:rsidRPr="00187C93">
        <w:t>gelverk för arbetslöshetsförsäkringen för att undanröja sådant som hindrar människor från att ta de arbeten som finns och erbjuds. Den arbetslöse förl</w:t>
      </w:r>
      <w:r w:rsidRPr="00187C93">
        <w:t>o</w:t>
      </w:r>
      <w:r w:rsidRPr="00187C93">
        <w:t xml:space="preserve">rar i vissa situationer ekonomiskt, eller vinner mycket lite, på att ta ett arbete jämfört med att uppbära arbetslöshetsersättning i kombination med övriga bidrag. </w:t>
      </w:r>
    </w:p>
    <w:p w:rsidR="00DB1B84" w:rsidRPr="00187C93" w:rsidRDefault="00DB1B84">
      <w:pPr>
        <w:pStyle w:val="Normaltindrag"/>
      </w:pPr>
      <w:r w:rsidRPr="00187C93">
        <w:t>Enligt Kristdemokraterna leder deras förslag om ökade resurser till fler tjänster inom vård, omsorg och skola samt, tillsammans med partiets förslag om företags- och tillväxtfrämjande åtg</w:t>
      </w:r>
      <w:r w:rsidRPr="00187C93">
        <w:t xml:space="preserve">ärder, till att arbetslösheten minskas. </w:t>
      </w:r>
    </w:p>
    <w:p w:rsidR="00DB1B84" w:rsidRPr="00187C93" w:rsidRDefault="00DB1B84">
      <w:pPr>
        <w:pStyle w:val="Normaltindrag"/>
      </w:pPr>
      <w:r w:rsidRPr="00187C93">
        <w:t>Partiet anser också att det nuvarande regelsystemet för de arbetsmarknad</w:t>
      </w:r>
      <w:r w:rsidRPr="00187C93">
        <w:t>s</w:t>
      </w:r>
      <w:r w:rsidRPr="00187C93">
        <w:t xml:space="preserve">politiska programmen bör förenklas och att antalet insatser bör minskas. Flyttningsbidraget bör avskaffas. </w:t>
      </w:r>
    </w:p>
    <w:p w:rsidR="00DB1B84" w:rsidRPr="00187C93" w:rsidRDefault="00DB1B84">
      <w:pPr>
        <w:spacing w:before="187"/>
      </w:pPr>
      <w:r w:rsidRPr="00187C93">
        <w:rPr>
          <w:i/>
        </w:rPr>
        <w:t>Centerpartiet</w:t>
      </w:r>
      <w:r w:rsidRPr="00187C93">
        <w:t xml:space="preserve"> anser i partimotion Fi19 (yrk. 4 delvis) att de kostnader som är kopplade till försörjningsstödet skall samlas under utgiftsområde 13 medan de övriga kostnaderna som inte hänförs dit skall samlas under utgiftsområde 14. En sådan förändring ger enligt Centerpartiet en klarare och överskådligare bild över arbetslöshetens kostnader samtidigt som ökade samordningsvinster kan göras och en större rättvisa uppnås.</w:t>
      </w:r>
    </w:p>
    <w:p w:rsidR="00DB1B84" w:rsidRPr="00187C93" w:rsidRDefault="00DB1B84">
      <w:pPr>
        <w:pStyle w:val="Normaltindrag"/>
      </w:pPr>
      <w:r w:rsidRPr="00187C93">
        <w:t>Med hänsyn till att arbetslöshetsförsäkringen är en omställningsförsäkring anser Centerpartiet att d</w:t>
      </w:r>
      <w:r w:rsidRPr="00187C93">
        <w:t>et är viktigt att åtgärder sätts in redan från första dagen. Det första och grundläggande bör vara att se till att den arbetslöse erhåller en gymnasiekompetens. Därefter kan andra åtgärder sättas in. Det bör vara högkvalitativa yrkesutbildningar som ökar den enskildes möjligheter att få arbete. Arbetslöshetsförsäkringens karaktär av omställningsförsäkring bör göras tydligare genom en successiv neddragning av ersättningsnivåerna. Ersättningen bör vara 80 % av den tidigare inkomsten under de första 200 dagarn</w:t>
      </w:r>
      <w:r w:rsidRPr="00187C93">
        <w:t>a för att sedan minska. Den maximala ersättningsperioden bör vara 600 dagar. Därefter bör en lägre ersättning utges. Ersättning skall vara permanent och bör till skillnad från socialbidrag inte reduceras på grund av den arbetsl</w:t>
      </w:r>
      <w:r w:rsidRPr="00187C93">
        <w:t>ö</w:t>
      </w:r>
      <w:r w:rsidRPr="00187C93">
        <w:t>ses besparingar eller fastighetsinnehav.</w:t>
      </w:r>
    </w:p>
    <w:p w:rsidR="00DB1B84" w:rsidRPr="00187C93" w:rsidRDefault="00DB1B84">
      <w:pPr>
        <w:pStyle w:val="Normaltindrag"/>
      </w:pPr>
      <w:r w:rsidRPr="00187C93">
        <w:t>Centerpartiet anser i likhet med regeringen att den lägsta ersättningsnivån i arbetslöshetsförsäkringen bör höjas. Däremot motsätter sig partiet att den högsta ersättningsnivån höjs. Enligt partiet kan dessa resurser i stället anvä</w:t>
      </w:r>
      <w:r w:rsidRPr="00187C93">
        <w:t>n</w:t>
      </w:r>
      <w:r w:rsidRPr="00187C93">
        <w:t>das för att öka den enskildes möjligheter att ta ett arbete.</w:t>
      </w:r>
    </w:p>
    <w:p w:rsidR="00DB1B84" w:rsidRPr="00187C93" w:rsidRDefault="00DB1B84">
      <w:pPr>
        <w:spacing w:before="187"/>
      </w:pPr>
      <w:r w:rsidRPr="00187C93">
        <w:rPr>
          <w:i/>
        </w:rPr>
        <w:t>Folkpartiet</w:t>
      </w:r>
      <w:r w:rsidRPr="00187C93">
        <w:t xml:space="preserve"> anser i partimotion Fi20 (yrk. 4 delvis) att arbetsmarknadspolit</w:t>
      </w:r>
      <w:r w:rsidRPr="00187C93">
        <w:t>i</w:t>
      </w:r>
      <w:r w:rsidRPr="00187C93">
        <w:t>ken måste reformeras. Därigenom kan resurserna till AMS minskas samtidigt som effektiviteten ökar. I den rådande högkonjunkturen anser Folkpartiet att omfattningen av de arbetsmarknadspolitiska programmen bör minska. A</w:t>
      </w:r>
      <w:r w:rsidRPr="00187C93">
        <w:t>r</w:t>
      </w:r>
      <w:r w:rsidRPr="00187C93">
        <w:t xml:space="preserve">betslöshetsförsäkringen måste reformeras genom att egenavgiften blir högre. Därigenom minskar de offentliga utgifterna. Den enskilde skall kompenseras för den högre avgiften genom sänkt skatt. </w:t>
      </w:r>
    </w:p>
    <w:p w:rsidR="00DB1B84" w:rsidRPr="00187C93" w:rsidRDefault="00DB1B84">
      <w:pPr>
        <w:pStyle w:val="Rubrik3"/>
        <w:rPr>
          <w:noProof w:val="0"/>
        </w:rPr>
      </w:pPr>
      <w:bookmarkStart w:id="14" w:name="_Toc515765279"/>
      <w:r w:rsidRPr="00187C93">
        <w:rPr>
          <w:noProof w:val="0"/>
        </w:rPr>
        <w:t>Utskottets ställningstagande</w:t>
      </w:r>
      <w:bookmarkEnd w:id="14"/>
      <w:r w:rsidRPr="00187C93">
        <w:rPr>
          <w:noProof w:val="0"/>
        </w:rPr>
        <w:t xml:space="preserve"> </w:t>
      </w:r>
    </w:p>
    <w:p w:rsidR="00DB1B84" w:rsidRPr="00187C93" w:rsidRDefault="00DB1B84">
      <w:r w:rsidRPr="00187C93">
        <w:t>Utgifterna på utgiftsområdet är starkt beroende av arbetslöshetsnivå och o</w:t>
      </w:r>
      <w:r w:rsidRPr="00187C93">
        <w:t>m</w:t>
      </w:r>
      <w:r w:rsidRPr="00187C93">
        <w:t>fattningen av de arbetsmarknadspolitiska programmen och insatserna. Avg</w:t>
      </w:r>
      <w:r w:rsidRPr="00187C93">
        <w:t>ö</w:t>
      </w:r>
      <w:r w:rsidRPr="00187C93">
        <w:t>ra</w:t>
      </w:r>
      <w:r w:rsidRPr="00187C93">
        <w:t>n</w:t>
      </w:r>
      <w:r w:rsidRPr="00187C93">
        <w:t xml:space="preserve">de för utgifterna är hur arbetslösheten kan komma att utvecklas. </w:t>
      </w:r>
    </w:p>
    <w:p w:rsidR="00DB1B84" w:rsidRPr="00187C93" w:rsidRDefault="00DB1B84">
      <w:pPr>
        <w:pStyle w:val="Normaltindrag"/>
      </w:pPr>
      <w:r w:rsidRPr="00187C93">
        <w:t>Utskottet har som framgår av avsnitt 2 ovan ställt sig bakom regeringens förslag till inriktning av den ekonomiska politiken såvitt avser utskottets beredningsområde och föreslagit ett avstyrkande av oppositionspartiernas förslag om riktlinjer. Som framgår av utskottets ställningstagande i denna del noterar utskottet att den svenska arbetsmarknaden både på kort och lå</w:t>
      </w:r>
      <w:r w:rsidRPr="00187C93">
        <w:t xml:space="preserve">ng sikt är beroende </w:t>
      </w:r>
      <w:r w:rsidRPr="00187C93">
        <w:rPr>
          <w:snapToGrid w:val="0"/>
          <w:color w:val="000000"/>
          <w:lang w:eastAsia="sv-SE"/>
        </w:rPr>
        <w:t>av den internationella konjunkturen och att det nu råder en bet</w:t>
      </w:r>
      <w:r w:rsidRPr="00187C93">
        <w:rPr>
          <w:snapToGrid w:val="0"/>
          <w:color w:val="000000"/>
          <w:lang w:eastAsia="sv-SE"/>
        </w:rPr>
        <w:t>y</w:t>
      </w:r>
      <w:r w:rsidRPr="00187C93">
        <w:rPr>
          <w:snapToGrid w:val="0"/>
          <w:color w:val="000000"/>
          <w:lang w:eastAsia="sv-SE"/>
        </w:rPr>
        <w:t>dande osäkerhet om effekterna av avmattningen i ekonomin. Utskottet pekar också på vissa specifika riskfaktorer på den svenska arbetsmarknaden – främst de ökande varslen inom delar av tillverkningsindustrin.</w:t>
      </w:r>
      <w:r w:rsidRPr="00187C93">
        <w:t xml:space="preserve"> </w:t>
      </w:r>
    </w:p>
    <w:p w:rsidR="00DB1B84" w:rsidRPr="00187C93" w:rsidRDefault="00DB1B84">
      <w:pPr>
        <w:pStyle w:val="Normaltindrag"/>
        <w:rPr>
          <w:snapToGrid w:val="0"/>
          <w:color w:val="000000"/>
          <w:lang w:eastAsia="sv-SE"/>
        </w:rPr>
      </w:pPr>
      <w:r w:rsidRPr="00187C93">
        <w:t>Utskottet anser dock att de antaganden som regeringen gör avseende nivån på arbetslösheten och omfattningen av de arbetsmarknadspolitiska progra</w:t>
      </w:r>
      <w:r w:rsidRPr="00187C93">
        <w:t>m</w:t>
      </w:r>
      <w:r w:rsidRPr="00187C93">
        <w:t>men</w:t>
      </w:r>
      <w:r w:rsidRPr="00187C93">
        <w:rPr>
          <w:snapToGrid w:val="0"/>
          <w:color w:val="000000"/>
          <w:lang w:eastAsia="sv-SE"/>
        </w:rPr>
        <w:t xml:space="preserve"> nu kan godtas. Utskottet vill dock understryka vikten av att regeringen följer utvecklingen noggrant och har beredskap att sätta in förstärkta resurser om det krävs för att hävda arbetsli</w:t>
      </w:r>
      <w:r w:rsidRPr="00187C93">
        <w:rPr>
          <w:snapToGrid w:val="0"/>
          <w:color w:val="000000"/>
          <w:lang w:eastAsia="sv-SE"/>
        </w:rPr>
        <w:t>n</w:t>
      </w:r>
      <w:r w:rsidRPr="00187C93">
        <w:rPr>
          <w:snapToGrid w:val="0"/>
          <w:color w:val="000000"/>
          <w:lang w:eastAsia="sv-SE"/>
        </w:rPr>
        <w:t>jen och uppfylla sysselsättningsmålet.</w:t>
      </w:r>
    </w:p>
    <w:p w:rsidR="00DB1B84" w:rsidRPr="00187C93" w:rsidRDefault="00DB1B84">
      <w:pPr>
        <w:pStyle w:val="Normaltindrag"/>
      </w:pPr>
      <w:r w:rsidRPr="00187C93">
        <w:t xml:space="preserve">Som framgår av tabellen över oppositionspartiernas förslag föreslår dessa kraftiga minskningar av utgifterna på utgiftsområdet jämfört med regeringens förslag. Förslagen är inte enhetliga utan uppvisar stora skillnader. En stor del av minskningarna följer enligt motionerna av de </w:t>
      </w:r>
      <w:r w:rsidRPr="00187C93">
        <w:t>föreslagna förändringarna av arbetsmarknadspolitiken och av förändringarna av reglerna i arbetslöshetsfö</w:t>
      </w:r>
      <w:r w:rsidRPr="00187C93">
        <w:t>r</w:t>
      </w:r>
      <w:r w:rsidRPr="00187C93">
        <w:t>säkringen och dess finansiering. Centerpartiet skiljer sig från de övriga parti</w:t>
      </w:r>
      <w:r w:rsidRPr="00187C93">
        <w:softHyphen/>
        <w:t xml:space="preserve">erna med sitt förslag att under utgiftsområdet samla de kostnader som är kopplade till försörjningsstödet medan övriga kostnader skall flyttas över till utgiftsområde 14. </w:t>
      </w:r>
      <w:r w:rsidRPr="00187C93">
        <w:rPr>
          <w:snapToGrid w:val="0"/>
          <w:color w:val="000000"/>
          <w:lang w:eastAsia="sv-SE"/>
        </w:rPr>
        <w:t>Utskottet har svårt att se några fördelar med förslaget och delar regeringens</w:t>
      </w:r>
      <w:r w:rsidRPr="00187C93">
        <w:t xml:space="preserve"> uppfattning om fördelning av anslagen på utgiftsområden. Utskottet är därför i</w:t>
      </w:r>
      <w:r w:rsidRPr="00187C93">
        <w:t>nte berett att ställa sig bakom detta fö</w:t>
      </w:r>
      <w:r w:rsidRPr="00187C93">
        <w:t>r</w:t>
      </w:r>
      <w:r w:rsidRPr="00187C93">
        <w:t xml:space="preserve">slag. </w:t>
      </w:r>
    </w:p>
    <w:p w:rsidR="00DB1B84" w:rsidRPr="00187C93" w:rsidRDefault="00DB1B84">
      <w:pPr>
        <w:pStyle w:val="Normaltindrag"/>
      </w:pPr>
      <w:r w:rsidRPr="00187C93">
        <w:t>När det sedan gäller förändringarna i arbetslöshetsförsäkringen vill u</w:t>
      </w:r>
      <w:r w:rsidRPr="00187C93">
        <w:t>t</w:t>
      </w:r>
      <w:r w:rsidRPr="00187C93">
        <w:t>skottet hänvisa till att reglerna nyligen ändrats bl.a. i syfte att stärka arbet</w:t>
      </w:r>
      <w:r w:rsidRPr="00187C93">
        <w:t>s</w:t>
      </w:r>
      <w:r w:rsidRPr="00187C93">
        <w:t xml:space="preserve">löshetsförsäkringens effektivitet och rättstryggheten för dem som är beroende av den. Syftet med förändringarna var också att förbättra sökprocessen, vilket i förlängningen medverkar till att arbetslösheten sjunker. Enligt utskottets mening är den nuvarande finansieringsmodellen en bra avvägning mellan den enskildes och statens insats. </w:t>
      </w:r>
      <w:r w:rsidRPr="00187C93">
        <w:rPr>
          <w:snapToGrid w:val="0"/>
          <w:color w:val="000000"/>
          <w:lang w:eastAsia="sv-SE"/>
        </w:rPr>
        <w:t>Oppositionspartiernas förslag medför i olika grad en relativ försämring av de arbetslösas st</w:t>
      </w:r>
      <w:r w:rsidRPr="00187C93">
        <w:rPr>
          <w:snapToGrid w:val="0"/>
          <w:color w:val="000000"/>
          <w:lang w:eastAsia="sv-SE"/>
        </w:rPr>
        <w:t>ällning.</w:t>
      </w:r>
      <w:r w:rsidRPr="00187C93">
        <w:t xml:space="preserve"> Utskottet anser därför inte att det bör genomföras några förändringar av arbetslöshetsförsäkringen i dessa delar. </w:t>
      </w:r>
    </w:p>
    <w:p w:rsidR="00DB1B84" w:rsidRPr="00187C93" w:rsidRDefault="00DB1B84">
      <w:pPr>
        <w:pStyle w:val="Normaltindrag"/>
      </w:pPr>
      <w:r w:rsidRPr="00187C93">
        <w:rPr>
          <w:snapToGrid w:val="0"/>
          <w:lang w:eastAsia="sv-SE"/>
        </w:rPr>
        <w:t>Utskottet noterar att oppositionspartiernas förslag – om än i olika grad – innebär en betydande neddragning av nivån för de arbetsmarknadspolitiska programmen i förhållande till propositionen. Med tanke på att redan regerin</w:t>
      </w:r>
      <w:r w:rsidRPr="00187C93">
        <w:rPr>
          <w:snapToGrid w:val="0"/>
          <w:lang w:eastAsia="sv-SE"/>
        </w:rPr>
        <w:t>g</w:t>
      </w:r>
      <w:r w:rsidRPr="00187C93">
        <w:rPr>
          <w:snapToGrid w:val="0"/>
          <w:lang w:eastAsia="sv-SE"/>
        </w:rPr>
        <w:t>ens förslag innebär en volymreduktion är det uppenbart att förslagen skulle medföra en rejäl och oacceptabel ambitionssänkning i arbetsmarknadspolit</w:t>
      </w:r>
      <w:r w:rsidRPr="00187C93">
        <w:rPr>
          <w:snapToGrid w:val="0"/>
          <w:lang w:eastAsia="sv-SE"/>
        </w:rPr>
        <w:t>i</w:t>
      </w:r>
      <w:r w:rsidRPr="00187C93">
        <w:rPr>
          <w:snapToGrid w:val="0"/>
          <w:lang w:eastAsia="sv-SE"/>
        </w:rPr>
        <w:t>ken.</w:t>
      </w:r>
    </w:p>
    <w:p w:rsidR="00DB1B84" w:rsidRPr="00187C93" w:rsidRDefault="00DB1B84">
      <w:pPr>
        <w:pStyle w:val="Normaltindrag"/>
      </w:pPr>
      <w:r w:rsidRPr="00187C93">
        <w:t>Med hänsyn till att oppositionspartiernas motioner utgår från en politik som utskottet inte kan ställa sig bakom kan utskottet inte heller ansluta sig till de förslag oppositionspartierna lagt fram när det gäller utgiftsram. Utskottet anser därför att den av regeringen i propositionen föreslagna fördelningen på utgiftsområdena bör godtas som riktlinje för</w:t>
      </w:r>
      <w:r w:rsidRPr="00187C93">
        <w:t xml:space="preserve"> regeringens budgetarbete. M</w:t>
      </w:r>
      <w:r w:rsidRPr="00187C93">
        <w:t>o</w:t>
      </w:r>
      <w:r w:rsidRPr="00187C93">
        <w:t>tionerna Fi17 yrkande 5 delvis (m), Fi18 yrkande 7 delvis (kd), Fi19 yrkande 4 delvis (c) och Fi20 yrkande 4 delvis (fp) bör a</w:t>
      </w:r>
      <w:r w:rsidRPr="00187C93">
        <w:t>v</w:t>
      </w:r>
      <w:r w:rsidRPr="00187C93">
        <w:t>styrkas.</w:t>
      </w:r>
    </w:p>
    <w:p w:rsidR="00DB1B84" w:rsidRPr="00187C93" w:rsidRDefault="00DB1B84">
      <w:pPr>
        <w:pStyle w:val="Rubrik2b"/>
      </w:pPr>
      <w:bookmarkStart w:id="15" w:name="_Toc515765280"/>
      <w:r w:rsidRPr="00187C93">
        <w:t>3.3 Utgiftsområde 14 Arbetsliv</w:t>
      </w:r>
      <w:bookmarkEnd w:id="15"/>
    </w:p>
    <w:p w:rsidR="00DB1B84" w:rsidRPr="00187C93" w:rsidRDefault="00DB1B84">
      <w:r w:rsidRPr="00187C93">
        <w:t>Utgiftsområdet omfattar politikområdena arbetsliv, jämställdhet och effektiv statsförvaltning.</w:t>
      </w:r>
    </w:p>
    <w:p w:rsidR="00DB1B84" w:rsidRPr="00187C93" w:rsidRDefault="00DB1B84">
      <w:pPr>
        <w:pStyle w:val="Normaltindrag"/>
      </w:pPr>
      <w:r w:rsidRPr="00187C93">
        <w:t>Regeringens, Moderaternas, Kristdemokraternas, Centerpartiets och Fol</w:t>
      </w:r>
      <w:r w:rsidRPr="00187C93">
        <w:t>k</w:t>
      </w:r>
      <w:r w:rsidRPr="00187C93">
        <w:t>partiets respektive förslag till ramar för utgiftsområdet framgår av nedanst</w:t>
      </w:r>
      <w:r w:rsidRPr="00187C93">
        <w:t>å</w:t>
      </w:r>
      <w:r w:rsidRPr="00187C93">
        <w:t>ende tabell. Oppositionspartiernas förslag är angivna i relation till regering</w:t>
      </w:r>
      <w:r w:rsidRPr="00187C93">
        <w:t>s</w:t>
      </w:r>
      <w:r w:rsidRPr="00187C93">
        <w:t xml:space="preserve">förslaget. </w:t>
      </w:r>
    </w:p>
    <w:p w:rsidR="00DB1B84" w:rsidRPr="00187C93" w:rsidRDefault="00DB1B84">
      <w:pPr>
        <w:pStyle w:val="TabellNot"/>
        <w:spacing w:before="120"/>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637"/>
        <w:gridCol w:w="1276"/>
        <w:gridCol w:w="709"/>
        <w:gridCol w:w="709"/>
        <w:gridCol w:w="850"/>
        <w:gridCol w:w="709"/>
      </w:tblGrid>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År</w:t>
            </w:r>
          </w:p>
        </w:tc>
        <w:tc>
          <w:tcPr>
            <w:tcW w:w="1276" w:type="dxa"/>
          </w:tcPr>
          <w:p w:rsidR="00DB1B84" w:rsidRPr="00187C93" w:rsidRDefault="00DB1B84">
            <w:pPr>
              <w:pStyle w:val="Tabelltext"/>
              <w:spacing w:before="60"/>
              <w:rPr>
                <w:b/>
              </w:rPr>
            </w:pPr>
            <w:r w:rsidRPr="00187C93">
              <w:rPr>
                <w:b/>
              </w:rPr>
              <w:t>Regerin</w:t>
            </w:r>
            <w:r w:rsidRPr="00187C93">
              <w:rPr>
                <w:b/>
              </w:rPr>
              <w:t>g</w:t>
            </w:r>
            <w:r w:rsidRPr="00187C93">
              <w:rPr>
                <w:b/>
              </w:rPr>
              <w:t xml:space="preserve">ens </w:t>
            </w:r>
          </w:p>
          <w:p w:rsidR="00DB1B84" w:rsidRPr="00187C93" w:rsidRDefault="00DB1B84">
            <w:pPr>
              <w:pStyle w:val="Tabelltext"/>
              <w:spacing w:after="60"/>
              <w:rPr>
                <w:b/>
              </w:rPr>
            </w:pPr>
            <w:r w:rsidRPr="00187C93">
              <w:rPr>
                <w:b/>
              </w:rPr>
              <w:t>fö</w:t>
            </w:r>
            <w:r w:rsidRPr="00187C93">
              <w:rPr>
                <w:b/>
              </w:rPr>
              <w:t>r</w:t>
            </w:r>
            <w:r w:rsidRPr="00187C93">
              <w:rPr>
                <w:b/>
              </w:rPr>
              <w:t>slag</w:t>
            </w:r>
          </w:p>
        </w:tc>
        <w:tc>
          <w:tcPr>
            <w:tcW w:w="709" w:type="dxa"/>
          </w:tcPr>
          <w:p w:rsidR="00DB1B84" w:rsidRPr="00187C93" w:rsidRDefault="00DB1B84">
            <w:pPr>
              <w:pStyle w:val="Tabelltext"/>
              <w:spacing w:before="60" w:after="60"/>
              <w:jc w:val="center"/>
              <w:rPr>
                <w:b/>
              </w:rPr>
            </w:pPr>
            <w:r w:rsidRPr="00187C93">
              <w:rPr>
                <w:b/>
              </w:rPr>
              <w:t>m</w:t>
            </w:r>
          </w:p>
        </w:tc>
        <w:tc>
          <w:tcPr>
            <w:tcW w:w="709" w:type="dxa"/>
          </w:tcPr>
          <w:p w:rsidR="00DB1B84" w:rsidRPr="00187C93" w:rsidRDefault="00DB1B84">
            <w:pPr>
              <w:pStyle w:val="Tabelltext"/>
              <w:spacing w:before="60" w:after="60"/>
              <w:jc w:val="center"/>
              <w:rPr>
                <w:b/>
              </w:rPr>
            </w:pPr>
            <w:r w:rsidRPr="00187C93">
              <w:rPr>
                <w:b/>
              </w:rPr>
              <w:t>kd</w:t>
            </w:r>
          </w:p>
        </w:tc>
        <w:tc>
          <w:tcPr>
            <w:tcW w:w="850" w:type="dxa"/>
          </w:tcPr>
          <w:p w:rsidR="00DB1B84" w:rsidRPr="00187C93" w:rsidRDefault="00DB1B84">
            <w:pPr>
              <w:pStyle w:val="Tabelltext"/>
              <w:spacing w:before="60" w:after="60"/>
              <w:jc w:val="center"/>
              <w:rPr>
                <w:b/>
              </w:rPr>
            </w:pPr>
            <w:r w:rsidRPr="00187C93">
              <w:rPr>
                <w:b/>
              </w:rPr>
              <w:t>c</w:t>
            </w:r>
          </w:p>
        </w:tc>
        <w:tc>
          <w:tcPr>
            <w:tcW w:w="709" w:type="dxa"/>
          </w:tcPr>
          <w:p w:rsidR="00DB1B84" w:rsidRPr="00187C93" w:rsidRDefault="00DB1B84">
            <w:pPr>
              <w:pStyle w:val="Tabelltext"/>
              <w:spacing w:before="60" w:after="60"/>
              <w:jc w:val="center"/>
              <w:rPr>
                <w:b/>
              </w:rPr>
            </w:pPr>
            <w:r w:rsidRPr="00187C93">
              <w:rPr>
                <w:b/>
              </w:rPr>
              <w:t>fp</w:t>
            </w:r>
          </w:p>
        </w:tc>
      </w:tr>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2002</w:t>
            </w:r>
          </w:p>
        </w:tc>
        <w:tc>
          <w:tcPr>
            <w:tcW w:w="1276" w:type="dxa"/>
          </w:tcPr>
          <w:p w:rsidR="00DB1B84" w:rsidRPr="00187C93" w:rsidRDefault="00DB1B84">
            <w:pPr>
              <w:pStyle w:val="Tabelltext"/>
              <w:spacing w:before="60" w:after="60"/>
            </w:pPr>
            <w:r w:rsidRPr="00187C93">
              <w:t>8 456</w:t>
            </w:r>
          </w:p>
        </w:tc>
        <w:tc>
          <w:tcPr>
            <w:tcW w:w="709" w:type="dxa"/>
          </w:tcPr>
          <w:p w:rsidR="00DB1B84" w:rsidRPr="00187C93" w:rsidRDefault="00DB1B84">
            <w:pPr>
              <w:pStyle w:val="Tabelltext"/>
              <w:spacing w:before="60" w:after="60"/>
            </w:pPr>
            <w:r w:rsidRPr="00187C93">
              <w:t>- 146</w:t>
            </w:r>
          </w:p>
        </w:tc>
        <w:tc>
          <w:tcPr>
            <w:tcW w:w="709" w:type="dxa"/>
          </w:tcPr>
          <w:p w:rsidR="00DB1B84" w:rsidRPr="00187C93" w:rsidRDefault="00DB1B84">
            <w:pPr>
              <w:pStyle w:val="Tabelltext"/>
              <w:spacing w:before="60" w:after="60"/>
            </w:pPr>
            <w:r w:rsidRPr="00187C93">
              <w:t>- 136</w:t>
            </w:r>
          </w:p>
        </w:tc>
        <w:tc>
          <w:tcPr>
            <w:tcW w:w="850" w:type="dxa"/>
          </w:tcPr>
          <w:p w:rsidR="00DB1B84" w:rsidRPr="00187C93" w:rsidRDefault="00DB1B84">
            <w:pPr>
              <w:pStyle w:val="Tabelltext"/>
              <w:spacing w:before="60" w:after="60"/>
            </w:pPr>
            <w:r w:rsidRPr="00187C93">
              <w:t>+ 21 424</w:t>
            </w:r>
          </w:p>
        </w:tc>
        <w:tc>
          <w:tcPr>
            <w:tcW w:w="709" w:type="dxa"/>
          </w:tcPr>
          <w:p w:rsidR="00DB1B84" w:rsidRPr="00187C93" w:rsidRDefault="00DB1B84">
            <w:pPr>
              <w:pStyle w:val="Tabelltext"/>
              <w:spacing w:before="60" w:after="60"/>
            </w:pPr>
            <w:r w:rsidRPr="00187C93">
              <w:t>- 25</w:t>
            </w:r>
          </w:p>
        </w:tc>
      </w:tr>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2003</w:t>
            </w:r>
          </w:p>
        </w:tc>
        <w:tc>
          <w:tcPr>
            <w:tcW w:w="1276" w:type="dxa"/>
          </w:tcPr>
          <w:p w:rsidR="00DB1B84" w:rsidRPr="00187C93" w:rsidRDefault="00DB1B84">
            <w:pPr>
              <w:pStyle w:val="Tabelltext"/>
              <w:spacing w:before="60" w:after="60"/>
            </w:pPr>
            <w:r w:rsidRPr="00187C93">
              <w:t>8 425</w:t>
            </w:r>
          </w:p>
        </w:tc>
        <w:tc>
          <w:tcPr>
            <w:tcW w:w="709" w:type="dxa"/>
          </w:tcPr>
          <w:p w:rsidR="00DB1B84" w:rsidRPr="00187C93" w:rsidRDefault="00DB1B84">
            <w:pPr>
              <w:pStyle w:val="Tabelltext"/>
              <w:spacing w:before="60" w:after="60"/>
            </w:pPr>
            <w:r w:rsidRPr="00187C93">
              <w:t>- 230</w:t>
            </w:r>
          </w:p>
        </w:tc>
        <w:tc>
          <w:tcPr>
            <w:tcW w:w="709" w:type="dxa"/>
          </w:tcPr>
          <w:p w:rsidR="00DB1B84" w:rsidRPr="00187C93" w:rsidRDefault="00DB1B84">
            <w:pPr>
              <w:pStyle w:val="Tabelltext"/>
              <w:spacing w:before="60" w:after="60"/>
            </w:pPr>
            <w:r w:rsidRPr="00187C93">
              <w:t>- 146</w:t>
            </w:r>
          </w:p>
        </w:tc>
        <w:tc>
          <w:tcPr>
            <w:tcW w:w="850" w:type="dxa"/>
          </w:tcPr>
          <w:p w:rsidR="00DB1B84" w:rsidRPr="00187C93" w:rsidRDefault="00DB1B84">
            <w:pPr>
              <w:pStyle w:val="Tabelltext"/>
              <w:spacing w:before="60" w:after="60"/>
            </w:pPr>
            <w:r w:rsidRPr="00187C93">
              <w:t>+ 22 197</w:t>
            </w:r>
          </w:p>
        </w:tc>
        <w:tc>
          <w:tcPr>
            <w:tcW w:w="709" w:type="dxa"/>
          </w:tcPr>
          <w:p w:rsidR="00DB1B84" w:rsidRPr="00187C93" w:rsidRDefault="00DB1B84">
            <w:pPr>
              <w:pStyle w:val="Tabelltext"/>
              <w:spacing w:before="60" w:after="60"/>
            </w:pPr>
            <w:r w:rsidRPr="00187C93">
              <w:t>- 25</w:t>
            </w:r>
          </w:p>
        </w:tc>
      </w:tr>
      <w:tr w:rsidR="00000000" w:rsidRPr="00187C93">
        <w:tblPrEx>
          <w:tblCellMar>
            <w:top w:w="0" w:type="dxa"/>
            <w:bottom w:w="0" w:type="dxa"/>
          </w:tblCellMar>
        </w:tblPrEx>
        <w:tc>
          <w:tcPr>
            <w:tcW w:w="637" w:type="dxa"/>
          </w:tcPr>
          <w:p w:rsidR="00DB1B84" w:rsidRPr="00187C93" w:rsidRDefault="00DB1B84">
            <w:pPr>
              <w:pStyle w:val="Tabelltext"/>
              <w:spacing w:before="60" w:after="60"/>
              <w:rPr>
                <w:b/>
              </w:rPr>
            </w:pPr>
            <w:r w:rsidRPr="00187C93">
              <w:rPr>
                <w:b/>
              </w:rPr>
              <w:t>2004</w:t>
            </w:r>
          </w:p>
        </w:tc>
        <w:tc>
          <w:tcPr>
            <w:tcW w:w="1276" w:type="dxa"/>
          </w:tcPr>
          <w:p w:rsidR="00DB1B84" w:rsidRPr="00187C93" w:rsidRDefault="00DB1B84">
            <w:pPr>
              <w:pStyle w:val="Tabelltext"/>
              <w:spacing w:before="60" w:after="60"/>
            </w:pPr>
            <w:r w:rsidRPr="00187C93">
              <w:t>8 445</w:t>
            </w:r>
          </w:p>
        </w:tc>
        <w:tc>
          <w:tcPr>
            <w:tcW w:w="709" w:type="dxa"/>
          </w:tcPr>
          <w:p w:rsidR="00DB1B84" w:rsidRPr="00187C93" w:rsidRDefault="00DB1B84">
            <w:pPr>
              <w:pStyle w:val="Tabelltext"/>
              <w:spacing w:before="60" w:after="60"/>
            </w:pPr>
            <w:r w:rsidRPr="00187C93">
              <w:t>- 335</w:t>
            </w:r>
          </w:p>
        </w:tc>
        <w:tc>
          <w:tcPr>
            <w:tcW w:w="709" w:type="dxa"/>
          </w:tcPr>
          <w:p w:rsidR="00DB1B84" w:rsidRPr="00187C93" w:rsidRDefault="00DB1B84">
            <w:pPr>
              <w:pStyle w:val="Tabelltext"/>
              <w:spacing w:before="60" w:after="60"/>
            </w:pPr>
            <w:r w:rsidRPr="00187C93">
              <w:t>- 146</w:t>
            </w:r>
          </w:p>
        </w:tc>
        <w:tc>
          <w:tcPr>
            <w:tcW w:w="850" w:type="dxa"/>
          </w:tcPr>
          <w:p w:rsidR="00DB1B84" w:rsidRPr="00187C93" w:rsidRDefault="00DB1B84">
            <w:pPr>
              <w:pStyle w:val="Tabelltext"/>
              <w:spacing w:before="60" w:after="60"/>
            </w:pPr>
            <w:r w:rsidRPr="00187C93">
              <w:t>+ 22 155</w:t>
            </w:r>
          </w:p>
        </w:tc>
        <w:tc>
          <w:tcPr>
            <w:tcW w:w="709" w:type="dxa"/>
          </w:tcPr>
          <w:p w:rsidR="00DB1B84" w:rsidRPr="00187C93" w:rsidRDefault="00DB1B84">
            <w:pPr>
              <w:pStyle w:val="Tabelltext"/>
              <w:spacing w:before="60" w:after="60"/>
            </w:pPr>
            <w:r w:rsidRPr="00187C93">
              <w:t>- 25</w:t>
            </w:r>
          </w:p>
        </w:tc>
      </w:tr>
    </w:tbl>
    <w:p w:rsidR="00DB1B84" w:rsidRPr="00187C93" w:rsidRDefault="00DB1B84">
      <w:pPr>
        <w:pStyle w:val="Rubrik3"/>
        <w:rPr>
          <w:noProof w:val="0"/>
        </w:rPr>
      </w:pPr>
      <w:bookmarkStart w:id="16" w:name="_Toc515765281"/>
      <w:r w:rsidRPr="00187C93">
        <w:rPr>
          <w:noProof w:val="0"/>
        </w:rPr>
        <w:t>Propositionen</w:t>
      </w:r>
      <w:bookmarkEnd w:id="16"/>
    </w:p>
    <w:p w:rsidR="00DB1B84" w:rsidRPr="00187C93" w:rsidRDefault="00DB1B84">
      <w:r w:rsidRPr="00187C93">
        <w:t>Från år 2002 minskas beräknade resurser för utgiftsområdet med 10 miljoner kronor i jämförelse med den beräknade ramen i budgetpropositionen för 2001 (prop. yrk. 4 delvis).</w:t>
      </w:r>
    </w:p>
    <w:p w:rsidR="00DB1B84" w:rsidRPr="00187C93" w:rsidRDefault="00DB1B84">
      <w:pPr>
        <w:pStyle w:val="Normaltindrag"/>
      </w:pPr>
      <w:r w:rsidRPr="00187C93">
        <w:t xml:space="preserve">I anslutning till utgiftsområdet har regeringen föreslagit att anslagen </w:t>
      </w:r>
      <w:r w:rsidRPr="00187C93">
        <w:rPr>
          <w:i/>
        </w:rPr>
        <w:t>1:1 Stabsuppgifter för Arbetsgivarverket och 1:2 Statliga tjänstepensioner m.m</w:t>
      </w:r>
      <w:r w:rsidRPr="00187C93">
        <w:t>. flyttas till utgiftsområde 2 Samhällsekonomi och finansförvaltning. Syftet med förändringen är att politikområdet effektiv statsförvaltning skall kunna utgöra en helhet (prop. yrk. 7). Förslaget föranleder en förändring i tilläggsb</w:t>
      </w:r>
      <w:r w:rsidRPr="00187C93">
        <w:t>e</w:t>
      </w:r>
      <w:r w:rsidRPr="00187C93">
        <w:t>stämmelserna i riksdagsordningen 4.6.2 och 4.6.15 (prop. yrk. 10 delvis).</w:t>
      </w:r>
    </w:p>
    <w:p w:rsidR="00DB1B84" w:rsidRPr="00187C93" w:rsidRDefault="00DB1B84">
      <w:pPr>
        <w:pStyle w:val="Normaltindrag"/>
      </w:pPr>
      <w:r w:rsidRPr="00187C93">
        <w:t>Om riksdagen godkänner förslaget att flytta anslagen 1:1 och 1:2 till u</w:t>
      </w:r>
      <w:r w:rsidRPr="00187C93">
        <w:t>t</w:t>
      </w:r>
      <w:r w:rsidRPr="00187C93">
        <w:t>giftsområde 2 minskar den beräknade ramen för utgiftsområde 14 med 7 383 miljoner kronor för år 2002.</w:t>
      </w:r>
    </w:p>
    <w:p w:rsidR="00DB1B84" w:rsidRPr="00187C93" w:rsidRDefault="00DB1B84">
      <w:pPr>
        <w:pStyle w:val="Rubrik3"/>
        <w:rPr>
          <w:noProof w:val="0"/>
        </w:rPr>
      </w:pPr>
      <w:bookmarkStart w:id="17" w:name="_Toc515765282"/>
      <w:r w:rsidRPr="00187C93">
        <w:rPr>
          <w:noProof w:val="0"/>
        </w:rPr>
        <w:t>Motioner</w:t>
      </w:r>
      <w:bookmarkEnd w:id="17"/>
    </w:p>
    <w:p w:rsidR="00DB1B84" w:rsidRPr="00187C93" w:rsidRDefault="00DB1B84">
      <w:pPr>
        <w:spacing w:before="187"/>
      </w:pPr>
      <w:r w:rsidRPr="00187C93">
        <w:rPr>
          <w:i/>
        </w:rPr>
        <w:t>Moderaterna</w:t>
      </w:r>
      <w:r w:rsidRPr="00187C93">
        <w:t xml:space="preserve"> anser i partimotion Fi17 (yrk. 5 delvis) att kostnaderna för a</w:t>
      </w:r>
      <w:r w:rsidRPr="00187C93">
        <w:t>d</w:t>
      </w:r>
      <w:r w:rsidRPr="00187C93">
        <w:t>ministrationen av den statliga arbetsmarknadspolitiken m.m. kan minskas. Alla ombudsmän mot diskriminering bör enligt Moderaterna samlas i en myndighet under detta utgiftsområde. Medlingsinstitutets uppgifter bör b</w:t>
      </w:r>
      <w:r w:rsidRPr="00187C93">
        <w:t>e</w:t>
      </w:r>
      <w:r w:rsidRPr="00187C93">
        <w:t>gränsas.</w:t>
      </w:r>
    </w:p>
    <w:p w:rsidR="00DB1B84" w:rsidRPr="00187C93" w:rsidRDefault="00DB1B84">
      <w:pPr>
        <w:spacing w:before="187"/>
      </w:pPr>
      <w:r w:rsidRPr="00187C93">
        <w:t xml:space="preserve">I partimotion Fi18 (yrk. 7 delvis) förklarar </w:t>
      </w:r>
      <w:r w:rsidRPr="00187C93">
        <w:rPr>
          <w:i/>
        </w:rPr>
        <w:t>Kristdemokraterna</w:t>
      </w:r>
      <w:r w:rsidRPr="00187C93">
        <w:t xml:space="preserve"> att utgiftsr</w:t>
      </w:r>
      <w:r w:rsidRPr="00187C93">
        <w:t>a</w:t>
      </w:r>
      <w:r w:rsidRPr="00187C93">
        <w:t>men kan minskas med hänsyn till partiets förslag om besparingar på Arbet</w:t>
      </w:r>
      <w:r w:rsidRPr="00187C93">
        <w:t>s</w:t>
      </w:r>
      <w:r w:rsidRPr="00187C93">
        <w:t xml:space="preserve">miljöverket, Arbetslivsinstitutet och Medlingsinstitutet. </w:t>
      </w:r>
    </w:p>
    <w:p w:rsidR="00DB1B84" w:rsidRPr="00187C93" w:rsidRDefault="00DB1B84">
      <w:pPr>
        <w:spacing w:before="187"/>
      </w:pPr>
      <w:r w:rsidRPr="00187C93">
        <w:rPr>
          <w:i/>
        </w:rPr>
        <w:t>Centerpartiet</w:t>
      </w:r>
      <w:r w:rsidRPr="00187C93">
        <w:t xml:space="preserve"> föreslår i partimotion Fi19 (yrk. 4 delvis) att utgiftsområdet förutom kostnader som berör arbetsliv även bör omfatta kostnader för köp av arbetsmarknadsutbildning m.m., administration och förvaltning. Genom en sådan förändring blir det tydligare vilka administrativa kostnader arbetslö</w:t>
      </w:r>
      <w:r w:rsidRPr="00187C93">
        <w:t>s</w:t>
      </w:r>
      <w:r w:rsidRPr="00187C93">
        <w:t>heten medför. Centerpartiet anser att de aviserade personalförstärkningarna inom AMV inte bör genomföras.</w:t>
      </w:r>
    </w:p>
    <w:p w:rsidR="00DB1B84" w:rsidRPr="00187C93" w:rsidRDefault="00DB1B84">
      <w:pPr>
        <w:spacing w:before="187"/>
      </w:pPr>
      <w:r w:rsidRPr="00187C93">
        <w:rPr>
          <w:i/>
        </w:rPr>
        <w:t xml:space="preserve">Folkpartiet </w:t>
      </w:r>
      <w:r w:rsidRPr="00187C93">
        <w:t xml:space="preserve">föreslår i partimotion Fi20 (yrk. 4 delvis) att anslagen till vissa icke angivna organisationer minskas. </w:t>
      </w:r>
    </w:p>
    <w:p w:rsidR="00DB1B84" w:rsidRPr="00187C93" w:rsidRDefault="00DB1B84">
      <w:pPr>
        <w:pStyle w:val="Rubrik3"/>
        <w:rPr>
          <w:noProof w:val="0"/>
        </w:rPr>
      </w:pPr>
      <w:bookmarkStart w:id="18" w:name="_Toc515765283"/>
      <w:r w:rsidRPr="00187C93">
        <w:rPr>
          <w:noProof w:val="0"/>
        </w:rPr>
        <w:t>Utskottets ställningstagande</w:t>
      </w:r>
      <w:bookmarkEnd w:id="18"/>
      <w:r w:rsidRPr="00187C93">
        <w:rPr>
          <w:noProof w:val="0"/>
        </w:rPr>
        <w:t xml:space="preserve"> </w:t>
      </w:r>
    </w:p>
    <w:p w:rsidR="00DB1B84" w:rsidRPr="00187C93" w:rsidRDefault="00DB1B84">
      <w:r w:rsidRPr="00187C93">
        <w:t>Frågan om överflyttande av de två anslagen 1.1 och 1.2 till utgiftsområde 2 innebär bl.a. ett förslag om förändringar av riksdagsordningen. Sistnämnda förslag bereds av konstitutionsutskottet som den 19 april 2001 har berett arbetsmarknadsutskottet tillfälle att yttra sig. Arbetsmarknadsutskottet, som ställer sig bakom förslaget, hänvisar i denna del till sitt yttrande 2001/02:AU3y. Av detta framgår bl.a. att utskottet delar regeringens uppfat</w:t>
      </w:r>
      <w:r w:rsidRPr="00187C93">
        <w:t>t</w:t>
      </w:r>
      <w:r w:rsidRPr="00187C93">
        <w:t>ning att anslagen bör flyttas över från utgiftsområde 14 till utgiftsområde 2. Däremot anser utskottet att frågor som behandlar den arbetsrättsliga lagstif</w:t>
      </w:r>
      <w:r w:rsidRPr="00187C93">
        <w:t>t</w:t>
      </w:r>
      <w:r w:rsidRPr="00187C93">
        <w:t>ningen som rör den statliga sektorn även i fortsättningen bör beredas av a</w:t>
      </w:r>
      <w:r w:rsidRPr="00187C93">
        <w:t>r</w:t>
      </w:r>
      <w:r w:rsidRPr="00187C93">
        <w:t xml:space="preserve">betsmarknadsutskottet. </w:t>
      </w:r>
    </w:p>
    <w:p w:rsidR="00DB1B84" w:rsidRPr="00187C93" w:rsidRDefault="00DB1B84">
      <w:pPr>
        <w:pStyle w:val="Normaltindrag"/>
      </w:pPr>
      <w:r w:rsidRPr="00187C93">
        <w:rPr>
          <w:snapToGrid w:val="0"/>
          <w:color w:val="000000"/>
          <w:lang w:eastAsia="sv-SE"/>
        </w:rPr>
        <w:t>Oppositionspartiernas besparingsförslag är inte underbyggda och skulle enligt utskottets mening inverka menligt på möjligheterna att upprätthålla rimliga ambitioner inom arbetslivsområdet. Detta är inte acceptabelt med tanke på de stora utmaningar och prob</w:t>
      </w:r>
      <w:r w:rsidRPr="00187C93">
        <w:rPr>
          <w:snapToGrid w:val="0"/>
          <w:color w:val="000000"/>
          <w:lang w:eastAsia="sv-SE"/>
        </w:rPr>
        <w:t>lem som den snabba och radikala o</w:t>
      </w:r>
      <w:r w:rsidRPr="00187C93">
        <w:rPr>
          <w:snapToGrid w:val="0"/>
          <w:color w:val="000000"/>
          <w:lang w:eastAsia="sv-SE"/>
        </w:rPr>
        <w:t>m</w:t>
      </w:r>
      <w:r w:rsidRPr="00187C93">
        <w:rPr>
          <w:snapToGrid w:val="0"/>
          <w:color w:val="000000"/>
          <w:lang w:eastAsia="sv-SE"/>
        </w:rPr>
        <w:t>ställningen inom arbetslivet just nu medför.</w:t>
      </w:r>
    </w:p>
    <w:p w:rsidR="00DB1B84" w:rsidRPr="00187C93" w:rsidRDefault="00DB1B84">
      <w:pPr>
        <w:pStyle w:val="Normaltindrag"/>
      </w:pPr>
      <w:r w:rsidRPr="00187C93">
        <w:t xml:space="preserve">När det sedan gäller frågan om preliminär fördelning av utgifterna ansluter sig utskottet till regeringens förslag i denna del. Förslaget kan enligt utskottets uppfattning godtas som riktlinje för regeringens budgetarbete. </w:t>
      </w:r>
    </w:p>
    <w:p w:rsidR="00DB1B84" w:rsidRPr="00187C93" w:rsidRDefault="00DB1B84">
      <w:pPr>
        <w:pStyle w:val="Normaltindrag"/>
      </w:pPr>
      <w:r w:rsidRPr="00187C93">
        <w:t>Sammanfattningsvis anser utskottet att propositionens förslag bör tillsty</w:t>
      </w:r>
      <w:r w:rsidRPr="00187C93">
        <w:t>r</w:t>
      </w:r>
      <w:r w:rsidRPr="00187C93">
        <w:t>kas i motsvarande delar. Motionerna Fi17 yrkande 5 delvis (m), Fi18 yrkande 7 delvis (kd), Fi19 yrkande 4 delvis (c) och Fi20 yrkande 4 delvis (fp) bör avsty</w:t>
      </w:r>
      <w:r w:rsidRPr="00187C93">
        <w:t>r</w:t>
      </w:r>
      <w:r w:rsidRPr="00187C93">
        <w:t>kas.</w:t>
      </w:r>
    </w:p>
    <w:p w:rsidR="00DB1B84" w:rsidRPr="00187C93" w:rsidRDefault="00DB1B84">
      <w:pPr>
        <w:pStyle w:val="Rubrik2"/>
      </w:pPr>
      <w:bookmarkStart w:id="19" w:name="_Toc515765284"/>
      <w:r w:rsidRPr="00187C93">
        <w:t>4 Årsredovisningen för staten 2000</w:t>
      </w:r>
      <w:bookmarkEnd w:id="19"/>
    </w:p>
    <w:p w:rsidR="00DB1B84" w:rsidRPr="00187C93" w:rsidRDefault="00DB1B84">
      <w:r w:rsidRPr="00187C93">
        <w:t>I skrivelse 2000/01:101 Årsredovisning för staten lämnar regeringen en red</w:t>
      </w:r>
      <w:r w:rsidRPr="00187C93">
        <w:t>o</w:t>
      </w:r>
      <w:r w:rsidRPr="00187C93">
        <w:t>görelse för det ekonomiska utfallet i staten budgetåret 2000. Skrivelsen o</w:t>
      </w:r>
      <w:r w:rsidRPr="00187C93">
        <w:t>m</w:t>
      </w:r>
      <w:r w:rsidRPr="00187C93">
        <w:t>fattar bl.a. uppföljning av de budgetpolitiska målen, resultaträkning, balan</w:t>
      </w:r>
      <w:r w:rsidRPr="00187C93">
        <w:t>s</w:t>
      </w:r>
      <w:r w:rsidRPr="00187C93">
        <w:t>räkning och finansieringsanalys samt det slutliga utfallet på statsbudgetens inkomsttitlar och a</w:t>
      </w:r>
      <w:r w:rsidRPr="00187C93">
        <w:t>n</w:t>
      </w:r>
      <w:r w:rsidRPr="00187C93">
        <w:t xml:space="preserve">slag under året. </w:t>
      </w:r>
    </w:p>
    <w:p w:rsidR="00DB1B84" w:rsidRPr="00187C93" w:rsidRDefault="00DB1B84">
      <w:pPr>
        <w:pStyle w:val="Rubrik3"/>
        <w:rPr>
          <w:noProof w:val="0"/>
        </w:rPr>
      </w:pPr>
      <w:bookmarkStart w:id="20" w:name="_Toc515765285"/>
      <w:r w:rsidRPr="00187C93">
        <w:rPr>
          <w:noProof w:val="0"/>
        </w:rPr>
        <w:t>Motion</w:t>
      </w:r>
      <w:bookmarkEnd w:id="20"/>
    </w:p>
    <w:p w:rsidR="00DB1B84" w:rsidRPr="00187C93" w:rsidRDefault="00DB1B84">
      <w:r w:rsidRPr="00187C93">
        <w:t xml:space="preserve">Med anledning av skrivelsen har </w:t>
      </w:r>
      <w:r w:rsidRPr="00187C93">
        <w:rPr>
          <w:i/>
        </w:rPr>
        <w:t>Vänsterpartiet</w:t>
      </w:r>
      <w:r w:rsidRPr="00187C93">
        <w:t xml:space="preserve"> i kommittémotion Fi34 lä</w:t>
      </w:r>
      <w:r w:rsidRPr="00187C93">
        <w:t>m</w:t>
      </w:r>
      <w:r w:rsidRPr="00187C93">
        <w:t>nat synpunkter på årsredovisningen. Vänsterpartiet anser att målformulerin</w:t>
      </w:r>
      <w:r w:rsidRPr="00187C93">
        <w:t>g</w:t>
      </w:r>
      <w:r w:rsidRPr="00187C93">
        <w:t>arna i regleringsbreven vad gäller myndigheternas jämställdhetsarbete måste förtydligas och ges en sådan utformning att de går att mäta. Myndigheternas resultat skall sedan redovisas utifrån fastställda återrapporteringskrav och integreras i årsredovi</w:t>
      </w:r>
      <w:r w:rsidRPr="00187C93">
        <w:t>s</w:t>
      </w:r>
      <w:r w:rsidRPr="00187C93">
        <w:t>ningen (yrk. 2).</w:t>
      </w:r>
    </w:p>
    <w:p w:rsidR="00DB1B84" w:rsidRPr="00187C93" w:rsidRDefault="00DB1B84">
      <w:pPr>
        <w:pStyle w:val="Rubrik3"/>
        <w:rPr>
          <w:noProof w:val="0"/>
        </w:rPr>
      </w:pPr>
      <w:bookmarkStart w:id="21" w:name="_Toc515765286"/>
      <w:r w:rsidRPr="00187C93">
        <w:rPr>
          <w:noProof w:val="0"/>
        </w:rPr>
        <w:t>Utskottets ställningstagande</w:t>
      </w:r>
      <w:bookmarkEnd w:id="21"/>
    </w:p>
    <w:p w:rsidR="00DB1B84" w:rsidRPr="00187C93" w:rsidRDefault="00DB1B84">
      <w:r w:rsidRPr="00187C93">
        <w:t>Riksrevisionsverket (RRV) har på regeringens uppdrag granskat hur jä</w:t>
      </w:r>
      <w:r w:rsidRPr="00187C93">
        <w:t>m</w:t>
      </w:r>
      <w:r w:rsidRPr="00187C93">
        <w:t>ställdhetsaspekten mellan kvinnor och män har kommit till uttryck i regerin</w:t>
      </w:r>
      <w:r w:rsidRPr="00187C93">
        <w:t>g</w:t>
      </w:r>
      <w:r w:rsidRPr="00187C93">
        <w:t>ens regleringsbrev till myndigheterna budgetåret 1999 och på vilket sätt my</w:t>
      </w:r>
      <w:r w:rsidRPr="00187C93">
        <w:t>n</w:t>
      </w:r>
      <w:r w:rsidRPr="00187C93">
        <w:t>digheterna i sina årsredovisningar har återrapporterat det externa jämställ</w:t>
      </w:r>
      <w:r w:rsidRPr="00187C93">
        <w:t>d</w:t>
      </w:r>
      <w:r w:rsidRPr="00187C93">
        <w:t>hetsarbetet i enlighet med regeringens direktiv, dvs. det arbete i vilket my</w:t>
      </w:r>
      <w:r w:rsidRPr="00187C93">
        <w:t>n</w:t>
      </w:r>
      <w:r w:rsidRPr="00187C93">
        <w:t>digheten skall verka för jämställdhet inom sin respektive samhällssektor. Myndigheternas interna jämställdhetsarbete omfattades inte av RRV:s up</w:t>
      </w:r>
      <w:r w:rsidRPr="00187C93">
        <w:t>p</w:t>
      </w:r>
      <w:r w:rsidRPr="00187C93">
        <w:t>drag, dvs. arbetet med jämställdhetsplaner och andra åtgärder</w:t>
      </w:r>
      <w:r w:rsidRPr="00187C93">
        <w:t xml:space="preserve"> enligt jä</w:t>
      </w:r>
      <w:r w:rsidRPr="00187C93">
        <w:t>m</w:t>
      </w:r>
      <w:r w:rsidRPr="00187C93">
        <w:t>ställdhetslagen. RRV skulle vidare analysera utvecklingen som skett mellan åren 1997 och 1999 och lägga fram förslag till möjliga förän</w:t>
      </w:r>
      <w:r w:rsidRPr="00187C93">
        <w:t>d</w:t>
      </w:r>
      <w:r w:rsidRPr="00187C93">
        <w:t xml:space="preserve">ringar. </w:t>
      </w:r>
    </w:p>
    <w:p w:rsidR="00DB1B84" w:rsidRPr="00187C93" w:rsidRDefault="00DB1B84">
      <w:pPr>
        <w:pStyle w:val="Normaltindrag"/>
      </w:pPr>
      <w:r w:rsidRPr="00187C93">
        <w:t xml:space="preserve">Resultatet av granskningen har redovisats i rapporten </w:t>
      </w:r>
      <w:r w:rsidRPr="00187C93">
        <w:rPr>
          <w:i/>
        </w:rPr>
        <w:t xml:space="preserve">Jämställdhet – hur styr regeringen? </w:t>
      </w:r>
      <w:r w:rsidRPr="00187C93">
        <w:t>RRV 2000:17.</w:t>
      </w:r>
    </w:p>
    <w:p w:rsidR="00DB1B84" w:rsidRPr="00187C93" w:rsidRDefault="00DB1B84">
      <w:pPr>
        <w:pStyle w:val="Normaltindrag"/>
      </w:pPr>
      <w:r w:rsidRPr="00187C93">
        <w:t>I rapporten slås fast att hälften av alla myndigheter saknar någon form av återrapporteringskrav när det gäller det externa jämställdhetsarbetet i regl</w:t>
      </w:r>
      <w:r w:rsidRPr="00187C93">
        <w:t>e</w:t>
      </w:r>
      <w:r w:rsidRPr="00187C93">
        <w:t>ringsbreven för år 1999. Bland dem som har återrapporteringskrav finns flera myndigheter som anser att jämställdhetsperspektivet inte är relevant med hänsyn till verksamhetens art. Kopplingen mellan de övergripande jämställ</w:t>
      </w:r>
      <w:r w:rsidRPr="00187C93">
        <w:t>d</w:t>
      </w:r>
      <w:r w:rsidRPr="00187C93">
        <w:t>hetspolitiska målen och målformuleringarna i regleringsbreven är otydlig. Både målformuleringar och återrapporteringskrav är mycket allmänt hållna. RRV anser att regeringens jämställdhetsstrategi behöver förtydligas för att fungera effektivt som bas för styrningen av myndigheterna. Rege</w:t>
      </w:r>
      <w:r w:rsidRPr="00187C93">
        <w:t>ringen bör enligt RRV exempelvis föra in och klargöra det mainstreaming</w:t>
      </w:r>
      <w:r w:rsidRPr="00187C93">
        <w:rPr>
          <w:i/>
        </w:rPr>
        <w:t>-</w:t>
      </w:r>
      <w:r w:rsidRPr="00187C93">
        <w:t>perspektiv</w:t>
      </w:r>
      <w:r w:rsidRPr="00187C93">
        <w:rPr>
          <w:i/>
        </w:rPr>
        <w:t xml:space="preserve"> </w:t>
      </w:r>
      <w:r w:rsidRPr="00187C93">
        <w:t>som man bl.a. har enats om inom EU. RRV föreslår också att regeringen utnyttjar möjligheten att mer långsiktigt styra myndigheterna mot ett sådant arbetssätt genom ett tillägg i verksfö</w:t>
      </w:r>
      <w:r w:rsidRPr="00187C93">
        <w:t>r</w:t>
      </w:r>
      <w:r w:rsidRPr="00187C93">
        <w:t>ordningen.</w:t>
      </w:r>
    </w:p>
    <w:p w:rsidR="00DB1B84" w:rsidRPr="00187C93" w:rsidRDefault="00DB1B84">
      <w:pPr>
        <w:pStyle w:val="Normaltindrag"/>
      </w:pPr>
      <w:r w:rsidRPr="00187C93">
        <w:t>Enligt vad utskottet har erfarit används rapporten som underlag för det u</w:t>
      </w:r>
      <w:r w:rsidRPr="00187C93">
        <w:t>t</w:t>
      </w:r>
      <w:r w:rsidRPr="00187C93">
        <w:t>vecklingsarbete som en särskild arbetsgrupp för metodutveckling i jämställ</w:t>
      </w:r>
      <w:r w:rsidRPr="00187C93">
        <w:t>d</w:t>
      </w:r>
      <w:r w:rsidRPr="00187C93">
        <w:t xml:space="preserve">hetsarbetet inom Regeringskansliet bedriver. Gruppen kommer att redovisa sina slutsatser någon gång efter sommaren 2001. </w:t>
      </w:r>
    </w:p>
    <w:p w:rsidR="00DB1B84" w:rsidRPr="00187C93" w:rsidRDefault="00DB1B84">
      <w:pPr>
        <w:pStyle w:val="Normaltindrag"/>
      </w:pPr>
      <w:r w:rsidRPr="00187C93">
        <w:t>Enligt utskottets mening är RRV:s synpunkter mycket värdefulla och visar på nödvändigheten att precisera kraven på jämställdhetsarbete i myndighete</w:t>
      </w:r>
      <w:r w:rsidRPr="00187C93">
        <w:t>r</w:t>
      </w:r>
      <w:r w:rsidRPr="00187C93">
        <w:t>nas regleringsbrev och att införa krav på återrapportering. En förändring i den riktning RRV pekar på skulle väsentligt bidra till att jämställdhetsarbetet förbättras. Utskottet anser därför att det är viktigt att arbetsgruppen i sitt for</w:t>
      </w:r>
      <w:r w:rsidRPr="00187C93">
        <w:t>t</w:t>
      </w:r>
      <w:r w:rsidRPr="00187C93">
        <w:t xml:space="preserve">satta arbete beaktar RRV:s synpunkter och lämnar förslag till förändringar </w:t>
      </w:r>
    </w:p>
    <w:p w:rsidR="00DB1B84" w:rsidRPr="00187C93" w:rsidRDefault="00DB1B84">
      <w:r w:rsidRPr="00187C93">
        <w:br w:type="page"/>
        <w:t xml:space="preserve">som ligger i linje med dessa tankar. </w:t>
      </w:r>
      <w:r w:rsidRPr="00187C93">
        <w:rPr>
          <w:snapToGrid w:val="0"/>
          <w:lang w:eastAsia="sv-SE"/>
        </w:rPr>
        <w:t>Utskottet förutsätter att regeringen kan utveckla arbetet i enlighet med detta.</w:t>
      </w:r>
    </w:p>
    <w:p w:rsidR="00DB1B84" w:rsidRPr="00187C93" w:rsidRDefault="00DB1B84">
      <w:pPr>
        <w:pStyle w:val="Normaltindrag"/>
      </w:pPr>
    </w:p>
    <w:p w:rsidR="00DB1B84" w:rsidRPr="00187C93" w:rsidRDefault="00DB1B84">
      <w:pPr>
        <w:pStyle w:val="Utskriftsdatum"/>
      </w:pPr>
      <w:r w:rsidRPr="00187C93">
        <w:t>Stockholm den 15 maj 2001</w:t>
      </w:r>
    </w:p>
    <w:p w:rsidR="00DB1B84" w:rsidRPr="00187C93" w:rsidRDefault="00DB1B84">
      <w:r w:rsidRPr="00187C93">
        <w:t>På arbetsmarknadsutskottets vägnar</w:t>
      </w:r>
    </w:p>
    <w:p w:rsidR="00DB1B84" w:rsidRPr="00187C93" w:rsidRDefault="00DB1B84">
      <w:pPr>
        <w:pStyle w:val="Ordfranden"/>
        <w:rPr>
          <w:noProof w:val="0"/>
        </w:rPr>
      </w:pPr>
      <w:r w:rsidRPr="00187C93">
        <w:rPr>
          <w:noProof w:val="0"/>
        </w:rPr>
        <w:t>Sven-Erik Österberg</w:t>
      </w:r>
    </w:p>
    <w:p w:rsidR="00DB1B84" w:rsidRPr="00187C93" w:rsidRDefault="00DB1B84">
      <w:pPr>
        <w:pStyle w:val="Deltagare"/>
        <w:rPr>
          <w:noProof w:val="0"/>
        </w:rPr>
      </w:pPr>
      <w:bookmarkStart w:id="22" w:name="Ordförande"/>
      <w:bookmarkStart w:id="23" w:name="Deltagare"/>
      <w:bookmarkEnd w:id="22"/>
      <w:bookmarkEnd w:id="23"/>
      <w:r w:rsidRPr="00187C93">
        <w:rPr>
          <w:noProof w:val="0"/>
        </w:rPr>
        <w:t xml:space="preserve">Följande ledamöter har deltagit i beslutet: Sven-Erik Österberg (s), Hans Andersson (v), Margareta Andersson (c), Mikael Odenberg (m), Björn Kaaling (s), Martin Nilsson (s), Stefan Attefall (kd), Laila Bjurling (s), Patrik Norinder (m), Kristina Zakrisson (s), Camilla Sköld Jansson (v), Maria Larsson (kd), Christel Anderberg (m), Elver Jonsson (fp), Anders Karlsson (s), Henrik Westman (m) och Birger Schlaug (mp). </w:t>
      </w:r>
    </w:p>
    <w:p w:rsidR="00DB1B84" w:rsidRPr="00187C93" w:rsidRDefault="00DB1B84">
      <w:pPr>
        <w:sectPr w:rsidR="00000000" w:rsidRPr="00187C9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B1B84" w:rsidRPr="00187C93" w:rsidRDefault="00DB1B84">
      <w:pPr>
        <w:pStyle w:val="Rubrik1"/>
        <w:rPr>
          <w:noProof w:val="0"/>
        </w:rPr>
      </w:pPr>
      <w:bookmarkStart w:id="24" w:name="_Toc515765287"/>
      <w:r w:rsidRPr="00187C93">
        <w:rPr>
          <w:noProof w:val="0"/>
        </w:rPr>
        <w:t>Avvikande meningar</w:t>
      </w:r>
      <w:bookmarkEnd w:id="24"/>
    </w:p>
    <w:p w:rsidR="00DB1B84" w:rsidRPr="00187C93" w:rsidRDefault="00DB1B84">
      <w:pPr>
        <w:pStyle w:val="Rubrik2"/>
        <w:spacing w:before="0"/>
      </w:pPr>
      <w:bookmarkStart w:id="25" w:name="_Toc515765288"/>
      <w:r w:rsidRPr="00187C93">
        <w:t>1. Allmänna frågor (Moderaterna, Kristdemokraterna, Centerpartiet och Folkpartiet)</w:t>
      </w:r>
      <w:bookmarkEnd w:id="25"/>
    </w:p>
    <w:p w:rsidR="00DB1B84" w:rsidRPr="00187C93" w:rsidRDefault="00DB1B84">
      <w:pPr>
        <w:pStyle w:val="Reservanter"/>
      </w:pPr>
      <w:r w:rsidRPr="00187C93">
        <w:t>av Margareta Andersson (c), Mikael Odenberg (m), Stefan Attefall (kd), Patrik Norinder (m), Maria Larsson (kd), Christel Anderberg (m), Elver Jonsson (fp) och Henrik Westman (m).</w:t>
      </w:r>
    </w:p>
    <w:p w:rsidR="00DB1B84" w:rsidRPr="00187C93" w:rsidRDefault="00DB1B84">
      <w:pPr>
        <w:pStyle w:val="R3"/>
      </w:pPr>
      <w:r w:rsidRPr="00187C93">
        <w:t>Ställningstagande</w:t>
      </w:r>
    </w:p>
    <w:p w:rsidR="00DB1B84" w:rsidRPr="00187C93" w:rsidRDefault="00DB1B84">
      <w:pPr>
        <w:pStyle w:val="R4"/>
      </w:pPr>
      <w:r w:rsidRPr="00187C93">
        <w:t xml:space="preserve">Arbetsmarknadsläget m.m. </w:t>
      </w:r>
    </w:p>
    <w:p w:rsidR="00DB1B84" w:rsidRPr="00187C93" w:rsidRDefault="00DB1B84">
      <w:pPr>
        <w:spacing w:before="187"/>
      </w:pPr>
      <w:r w:rsidRPr="00187C93">
        <w:t>Enligt Konjunkturinstitutets (KI) konjunkturbarometer för april har de inte</w:t>
      </w:r>
      <w:r w:rsidRPr="00187C93">
        <w:t>r</w:t>
      </w:r>
      <w:r w:rsidRPr="00187C93">
        <w:t>nationella konjunkturutsikterna förskjutits i negativ riktning sedan marsra</w:t>
      </w:r>
      <w:r w:rsidRPr="00187C93">
        <w:t>p</w:t>
      </w:r>
      <w:r w:rsidRPr="00187C93">
        <w:t>porten. KI bedömer att BNP-tillväxten kommer att uppgå till 2,5% i år vilket är en nedjustering av den senaste prognosen i mars då BNP-tillväxten bedö</w:t>
      </w:r>
      <w:r w:rsidRPr="00187C93">
        <w:t>m</w:t>
      </w:r>
      <w:r w:rsidRPr="00187C93">
        <w:t>des uppgå till 2,8 % i år. För nästkommande år är dock tillväxtutsikterna enligt KI:s bedömning i stora drag oförändrade jämfört med marsrapporten,  förutsatt att industriproduktionen tar fart redan efter sommaren.</w:t>
      </w:r>
    </w:p>
    <w:p w:rsidR="00DB1B84" w:rsidRPr="00187C93" w:rsidRDefault="00DB1B84">
      <w:pPr>
        <w:pStyle w:val="Normaltindrag"/>
      </w:pPr>
      <w:r w:rsidRPr="00187C93">
        <w:t>Vi noterar att det råder osäkerhet bland konjunkturbedömare om den in</w:t>
      </w:r>
      <w:r w:rsidRPr="00187C93">
        <w:t>te</w:t>
      </w:r>
      <w:r w:rsidRPr="00187C93">
        <w:t>r</w:t>
      </w:r>
      <w:r w:rsidRPr="00187C93">
        <w:t>nationella konjunkturens utveckling. För en liten och öppen ekonomi, starkt beroende av exportmarknaden som Sverige, medför ett försämrat internati</w:t>
      </w:r>
      <w:r w:rsidRPr="00187C93">
        <w:t>o</w:t>
      </w:r>
      <w:r w:rsidRPr="00187C93">
        <w:t>nellt konjunkturläge  stora påfrestningar. Även om den svenska ekonomin för tillfället får bedömas som relativt stark måste beredskap finnas för att utvec</w:t>
      </w:r>
      <w:r w:rsidRPr="00187C93">
        <w:t>k</w:t>
      </w:r>
      <w:r w:rsidRPr="00187C93">
        <w:t>lingen kan bli sämre än den regeringen har räknat med. Det är därför oroande att antalet varsel redan har stigit och är det högsta sedan oktober 1996. Lån</w:t>
      </w:r>
      <w:r w:rsidRPr="00187C93">
        <w:t>g</w:t>
      </w:r>
      <w:r w:rsidRPr="00187C93">
        <w:t>tidsarbetslösheten är fortfarande oroande hög. Vi n</w:t>
      </w:r>
      <w:r w:rsidRPr="00187C93">
        <w:t>oterar också att antalet personer i arbetsmarknadspolitiska program har ökat  med ca 10 000 jämfört med april i fjol till 123 000.</w:t>
      </w:r>
    </w:p>
    <w:p w:rsidR="00DB1B84" w:rsidRPr="00187C93" w:rsidRDefault="00DB1B84">
      <w:pPr>
        <w:pStyle w:val="Normaltindrag"/>
      </w:pPr>
      <w:r w:rsidRPr="00187C93">
        <w:t>Sett ur ett längre perspektiv har sysselsättningen minskat från närmare 4,5 miljoner personer i januari 1990 till strax under 4,2 miljoner i januari 2001. Sverige har i dag den högsta arbetslösheten någonsin i en högkonjunktur. Det s.k. obalanstalet (öppet arbetslösa och personer som finns i arbetsmarknad</w:t>
      </w:r>
      <w:r w:rsidRPr="00187C93">
        <w:t>s</w:t>
      </w:r>
      <w:r w:rsidRPr="00187C93">
        <w:t>politiska program) uppgår till närmare 7 % för landet som helhet. Enligt SCB:s AKU-undersökningar för mars månad 2001 är mer än 700 000 männ</w:t>
      </w:r>
      <w:r w:rsidRPr="00187C93">
        <w:t>i</w:t>
      </w:r>
      <w:r w:rsidRPr="00187C93">
        <w:t>skor fortfarande arbetslösa, om man förutom de öppet arbetslösa också räknar in personer som är i arbetsmarknadspolitiska åtgärder, latent arbetssökande, personer i Kunskapslyftet och undersysselsatta. Den öppna arbetslösheten har visserligen minskat det senaste året, men vi noterar också att  antalet personer i arbetsmarknadspolitiska program ökat. Det är inte rimlig</w:t>
      </w:r>
      <w:r w:rsidRPr="00187C93">
        <w:t>t att, som regerin</w:t>
      </w:r>
      <w:r w:rsidRPr="00187C93">
        <w:t>g</w:t>
      </w:r>
      <w:r w:rsidRPr="00187C93">
        <w:t>en, lägga ner all kraft på att uppnå statistiska mål. Enligt vår uppfattning borde det ha funnits förutsättningar för fler att söka sig ut på den reguljära arbetsmarknaden under den högkonjunktur som varit. Nu ökar antalet varsel. Det kan vara ett tecken på att företagen börja känna av avmattningen i ek</w:t>
      </w:r>
      <w:r w:rsidRPr="00187C93">
        <w:t>o</w:t>
      </w:r>
      <w:r w:rsidRPr="00187C93">
        <w:t>nomin. Som nämnts tidigare bedömer KI också, att det finns risk att sysse</w:t>
      </w:r>
      <w:r w:rsidRPr="00187C93">
        <w:t>l</w:t>
      </w:r>
      <w:r w:rsidRPr="00187C93">
        <w:t xml:space="preserve">sättningen planar ut eller till och med minskar. Vi är mycket oroade över denna utveckling.  </w:t>
      </w:r>
    </w:p>
    <w:p w:rsidR="00DB1B84" w:rsidRPr="00187C93" w:rsidRDefault="00DB1B84">
      <w:pPr>
        <w:pStyle w:val="Normaltindrag"/>
      </w:pPr>
      <w:r w:rsidRPr="00187C93">
        <w:t>Den svenska arbetsma</w:t>
      </w:r>
      <w:r w:rsidRPr="00187C93">
        <w:t>rknaden är tudelad med stora regionala skillnader.  I Stockholms län var det relativa obalanstalet lägst i riket med 3,1 % medan motsvarande  andel var högst i Norrbottens län med 13, 9 %.</w:t>
      </w:r>
    </w:p>
    <w:p w:rsidR="00DB1B84" w:rsidRPr="00187C93" w:rsidRDefault="00DB1B84">
      <w:pPr>
        <w:pStyle w:val="Normaltindrag"/>
      </w:pPr>
      <w:r w:rsidRPr="00187C93">
        <w:t>Vi är förvånade över att det i vårpropositionen saknas åtgärder som kan bidra till att stärka tillväxten och som skulle kunna motivera regeringens optimism. Regeringen blundar för att Sverige har de mest konjunkturkänsliga statsfinanserna i världen. Samtidigt ser vi nu en snabb ökning av statens u</w:t>
      </w:r>
      <w:r w:rsidRPr="00187C93">
        <w:t>t</w:t>
      </w:r>
      <w:r w:rsidRPr="00187C93">
        <w:t>gifter. Den höga arbetslösheten består liksom de långsiktigt strukturella pr</w:t>
      </w:r>
      <w:r w:rsidRPr="00187C93">
        <w:t>o</w:t>
      </w:r>
      <w:r w:rsidRPr="00187C93">
        <w:t xml:space="preserve">blemen i svensk ekonomi. </w:t>
      </w:r>
    </w:p>
    <w:p w:rsidR="00DB1B84" w:rsidRPr="00187C93" w:rsidRDefault="00DB1B84">
      <w:pPr>
        <w:pStyle w:val="Normaltindrag"/>
      </w:pPr>
      <w:r w:rsidRPr="00187C93">
        <w:t>Sysselsättningsmålet som innebär att 80 procent av befolkningen mellan 20 och 64 år skall vara reguljärt sysselsatta år 2004 kommer inte att nås med den av regeringen förda politiken. Det visar både KI:s rapport från mars m</w:t>
      </w:r>
      <w:r w:rsidRPr="00187C93">
        <w:t>å</w:t>
      </w:r>
      <w:r w:rsidRPr="00187C93">
        <w:t>nad i år och regeringens egen vårproposition. Som jämförelse kan noteras att den reguljära sysselsättningsgraden uppgick till 84,5 % 1987. År 2000, på toppen av en högkonjunktur, är bara 77,2 % av arbetskraften sysselsatt. Den stora skillnaden gentemot 1987 är att antalet förtidspensionerade stigit kra</w:t>
      </w:r>
      <w:r w:rsidRPr="00187C93">
        <w:t>f</w:t>
      </w:r>
      <w:r w:rsidRPr="00187C93">
        <w:t xml:space="preserve">tigt, liksom de som är arbetslösa och de som studerar. Konjunkturinstitutets prognoser visar att just det stora antalet förtidspensionerade kommer att vara det stora hindret för att nå sysselsättningsmålet. </w:t>
      </w:r>
      <w:r w:rsidRPr="00187C93">
        <w:t>Vårpropositionen innehåller dock inga förslag som på ett avgörande sätt skulle minska det stora antalet förtidspensionerade.</w:t>
      </w:r>
    </w:p>
    <w:p w:rsidR="00DB1B84" w:rsidRPr="00187C93" w:rsidRDefault="00DB1B84">
      <w:pPr>
        <w:pStyle w:val="Normaltindrag"/>
      </w:pPr>
      <w:r w:rsidRPr="00187C93">
        <w:t>Konjunkturinstitutet skriver vidare i sin rapport att ”den öppna arbetslö</w:t>
      </w:r>
      <w:r w:rsidRPr="00187C93">
        <w:t>s</w:t>
      </w:r>
      <w:r w:rsidRPr="00187C93">
        <w:t>heten vid ett slutet produktionsgap bedöms vara strax under fyra procent”. Detta indikerar att svensk ekonomi saknar den dynamik som är nödvändig för att arbetslösheten ska kunna pressas tillbaka i någon väsentlig utsträckning. Med tanke på att vi troligen är på väg nedåt från en flerårig högkonjunktur är regeringens ovilja att angripa de strukturella problemen i svensk ekonomi mycket oroande.</w:t>
      </w:r>
    </w:p>
    <w:p w:rsidR="00DB1B84" w:rsidRPr="00187C93" w:rsidRDefault="00DB1B84">
      <w:pPr>
        <w:pStyle w:val="Normaltindrag"/>
      </w:pPr>
      <w:r w:rsidRPr="00187C93">
        <w:t>Om det skall vara möjligt att bryta den pågående utflyttningen från gle</w:t>
      </w:r>
      <w:r w:rsidRPr="00187C93">
        <w:t>s</w:t>
      </w:r>
      <w:r w:rsidRPr="00187C93">
        <w:t>bygd till storstad, och från hela Sverige till utlandet, krävs ett bättre n</w:t>
      </w:r>
      <w:r w:rsidRPr="00187C93">
        <w:t>ä</w:t>
      </w:r>
      <w:r w:rsidRPr="00187C93">
        <w:t>ringsklimat på alla håll i landet. Det måste bli lättare att anställa och driva företag. Politiken måste ge tillgång till riskkapital och erbjuda en väl fung</w:t>
      </w:r>
      <w:r w:rsidRPr="00187C93">
        <w:t>e</w:t>
      </w:r>
      <w:r w:rsidRPr="00187C93">
        <w:t>rande infrastruktur i vid mening. Arbetsmarknadspolitiken måste anpassas till en modern arbetsmarknad och till förhållanden som varierar i olika delar av landet.</w:t>
      </w:r>
    </w:p>
    <w:p w:rsidR="00DB1B84" w:rsidRPr="00187C93" w:rsidRDefault="00DB1B84">
      <w:pPr>
        <w:pStyle w:val="Normaltindrag"/>
      </w:pPr>
      <w:r w:rsidRPr="00187C93">
        <w:t>Nya arbetstillfällen måste skapas i framför allt privat sektor. Ett gynnsamt klimat för små och stora företag är av</w:t>
      </w:r>
      <w:r w:rsidRPr="00187C93">
        <w:t xml:space="preserve"> största vikt i kampen mot den höga arbetslöshet som fortfarande består. Strukturella förändringar av skatterna och ett sänkt skattetryck, färre och enklare regler för företagen, modernare arbet</w:t>
      </w:r>
      <w:r w:rsidRPr="00187C93">
        <w:t>s</w:t>
      </w:r>
      <w:r w:rsidRPr="00187C93">
        <w:t>rätt och reformer i socialförsäkringssystemen ser vi som nödvändiga komp</w:t>
      </w:r>
      <w:r w:rsidRPr="00187C93">
        <w:t>o</w:t>
      </w:r>
      <w:r w:rsidRPr="00187C93">
        <w:t xml:space="preserve">nenter i det tillväxtfrämjande arbetet.  Vi återkommer till detta. </w:t>
      </w:r>
    </w:p>
    <w:p w:rsidR="00DB1B84" w:rsidRPr="00187C93" w:rsidRDefault="00DB1B84"/>
    <w:p w:rsidR="00DB1B84" w:rsidRPr="00187C93" w:rsidRDefault="00DB1B84">
      <w:pPr>
        <w:pStyle w:val="R4"/>
      </w:pPr>
      <w:r w:rsidRPr="00187C93">
        <w:t xml:space="preserve">Arbetsmarknadspolitikens inriktning </w:t>
      </w:r>
    </w:p>
    <w:p w:rsidR="00DB1B84" w:rsidRPr="00187C93" w:rsidRDefault="00DB1B84">
      <w:pPr>
        <w:spacing w:before="187"/>
      </w:pPr>
      <w:r w:rsidRPr="00187C93">
        <w:t>En alltför stor del av den arbetsföra befolkningen är fortfarande utanför a</w:t>
      </w:r>
      <w:r w:rsidRPr="00187C93">
        <w:t>r</w:t>
      </w:r>
      <w:r w:rsidRPr="00187C93">
        <w:t>betskraften.  Den demografiska utvecklingen måste mötas med en politik för tillväxt och ett ökat arbetskraftsutbud. Det måste bli en bättre balans mellan tillgång på utbildad arbetskraft och arbetsmarknadens behov. Arbetslösheten måste avvecklas som samhälleligt problem.</w:t>
      </w:r>
    </w:p>
    <w:p w:rsidR="00DB1B84" w:rsidRPr="00187C93" w:rsidRDefault="00DB1B84">
      <w:pPr>
        <w:pStyle w:val="Normaltindrag"/>
      </w:pPr>
      <w:r w:rsidRPr="00187C93">
        <w:t>För att få en bättre fungerande arbetsmarknad med minskad arbetslöshet och ökad sysselsättning måste incitamenten för att arbeta stärkas. Enligt vår uppfattning skapar skattesystemet tillsammans med bidrags- och avgiftssy</w:t>
      </w:r>
      <w:r w:rsidRPr="00187C93">
        <w:t>s</w:t>
      </w:r>
      <w:r w:rsidRPr="00187C93">
        <w:t>temen orimliga marginaleffekter för stora grupper. I framtiden måste skatte</w:t>
      </w:r>
      <w:r w:rsidRPr="00187C93">
        <w:t>r</w:t>
      </w:r>
      <w:r w:rsidRPr="00187C93">
        <w:t>na utformas så att de ger möjlighet att påverka den egna livssituationen, st</w:t>
      </w:r>
      <w:r w:rsidRPr="00187C93">
        <w:t>i</w:t>
      </w:r>
      <w:r w:rsidRPr="00187C93">
        <w:t xml:space="preserve">mulerar arbete, sparande och utbildning. </w:t>
      </w:r>
      <w:r w:rsidRPr="00187C93">
        <w:rPr>
          <w:i/>
        </w:rPr>
        <w:t xml:space="preserve">Minskad skattebörda och lägre marginaleffekter </w:t>
      </w:r>
      <w:r w:rsidRPr="00187C93">
        <w:t>bidrar till att fler får möjlighet att komma in på arbetsmar</w:t>
      </w:r>
      <w:r w:rsidRPr="00187C93">
        <w:t>k</w:t>
      </w:r>
      <w:r w:rsidRPr="00187C93">
        <w:t>naden och att det lönar sig att arbeta.</w:t>
      </w:r>
    </w:p>
    <w:p w:rsidR="00DB1B84" w:rsidRPr="00187C93" w:rsidRDefault="00DB1B84">
      <w:pPr>
        <w:pStyle w:val="Normaltindrag"/>
      </w:pPr>
      <w:r w:rsidRPr="00187C93">
        <w:t>Ett gynnsamt klimat för</w:t>
      </w:r>
      <w:r w:rsidRPr="00187C93">
        <w:rPr>
          <w:i/>
        </w:rPr>
        <w:t xml:space="preserve"> företagande</w:t>
      </w:r>
      <w:r w:rsidRPr="00187C93">
        <w:t xml:space="preserve"> är av största vikt i kampen mot den höga arbetslösheten. Politiken måste också skapa sådana förutsättningar att fler företag kan växa. Skatterna på företagande och arbete måste sänkas. Modernare och bättre anpassade regelverk krävs för att underlätta startande och drivande av företag. Tjänstesektorn för hushållstjänster kan genom nya regler bidra med nytt företagande.  </w:t>
      </w:r>
    </w:p>
    <w:p w:rsidR="00DB1B84" w:rsidRPr="00187C93" w:rsidRDefault="00DB1B84">
      <w:pPr>
        <w:pStyle w:val="Normaltindrag"/>
      </w:pPr>
      <w:r w:rsidRPr="00187C93">
        <w:t xml:space="preserve">Det måste bli lättare att kombinera ett </w:t>
      </w:r>
      <w:r w:rsidRPr="00187C93">
        <w:rPr>
          <w:i/>
        </w:rPr>
        <w:t>aktivt yrkesliv med föräldraansvar</w:t>
      </w:r>
      <w:r w:rsidRPr="00187C93">
        <w:t>. Det skall vara lätt att arbeta och samtidigt ha barn och det skall vara möjligt att arbeta mer under de delar av livet då det passar bäst. Vi föreslår reducerad skatt på hushållsnära tjänster.  Härigenom kan en  ny arbetsmarknad öppnas med möjligheter till nya arbeten. Överkomliga priser på sådana tjänster skulle medföra att det blir lättare för kvinnor och män att hinna med både arbete och ansvar för hemmet. Den svarta arbetsmarknaden skulle därmed minska.</w:t>
      </w:r>
    </w:p>
    <w:p w:rsidR="00DB1B84" w:rsidRPr="00187C93" w:rsidRDefault="00DB1B84">
      <w:pPr>
        <w:pStyle w:val="Normaltindrag"/>
      </w:pPr>
      <w:r w:rsidRPr="00187C93">
        <w:rPr>
          <w:i/>
        </w:rPr>
        <w:t>Lönebildningen</w:t>
      </w:r>
      <w:r w:rsidRPr="00187C93">
        <w:t xml:space="preserve"> behöver förändras så att den blir förenlig med en god sa</w:t>
      </w:r>
      <w:r w:rsidRPr="00187C93">
        <w:t>m</w:t>
      </w:r>
      <w:r w:rsidRPr="00187C93">
        <w:t xml:space="preserve">hällsekonomisk utveckling. </w:t>
      </w:r>
    </w:p>
    <w:p w:rsidR="00DB1B84" w:rsidRPr="00187C93" w:rsidRDefault="00DB1B84">
      <w:pPr>
        <w:pStyle w:val="Normaltindrag"/>
      </w:pPr>
      <w:r w:rsidRPr="00187C93">
        <w:t xml:space="preserve">Det är hög tid att undanröja </w:t>
      </w:r>
      <w:r w:rsidRPr="00187C93">
        <w:rPr>
          <w:i/>
        </w:rPr>
        <w:t>arbetsrättsliga regleringar</w:t>
      </w:r>
      <w:r w:rsidRPr="00187C93">
        <w:t xml:space="preserve"> som skapar pr</w:t>
      </w:r>
      <w:r w:rsidRPr="00187C93">
        <w:t>o</w:t>
      </w:r>
      <w:r w:rsidRPr="00187C93">
        <w:t>blem både för nytillträdande på arbetsmarknaden men också för bl.a. småf</w:t>
      </w:r>
      <w:r w:rsidRPr="00187C93">
        <w:t>ö</w:t>
      </w:r>
      <w:r w:rsidRPr="00187C93">
        <w:t>retagen. Arbetsrätten måste förändras så att den motsvarar de krav som fö</w:t>
      </w:r>
      <w:r w:rsidRPr="00187C93">
        <w:t>r</w:t>
      </w:r>
      <w:r w:rsidRPr="00187C93">
        <w:t>hållandena på dagens arbetsmarknad ställer. Framför allt måste reglerna bli mer flexibla så att det blir lättare att på lokal nivå träffa avtal som är bättre anpassade till det enskilda företagets eller den anställdes förutsättningar och behov. Bland annat måste det bli lättare både att visstidsanställa och anlita persona</w:t>
      </w:r>
      <w:r w:rsidRPr="00187C93">
        <w:t xml:space="preserve">l från bemanningsföretag. </w:t>
      </w:r>
    </w:p>
    <w:p w:rsidR="00DB1B84" w:rsidRPr="00187C93" w:rsidRDefault="00DB1B84">
      <w:pPr>
        <w:pStyle w:val="Normaltindrag"/>
      </w:pPr>
      <w:r w:rsidRPr="00187C93">
        <w:t>I avvaktan på en mer genomgripande översyn av arbetsrätten bör ett flertal mindre förändringar kunna göras. Som exempel kan nämnas konfliktreglerna som bör ses över och fackets tolkningsföreträde i olika lagar som bör ersättas av medel för konfliktlösning som regleras i kollektivavtal. Vidare bör det i lagstiftningen vad gäller rätten till stridsåtgärder införas ett proportionalitet</w:t>
      </w:r>
      <w:r w:rsidRPr="00187C93">
        <w:t>s</w:t>
      </w:r>
      <w:r w:rsidRPr="00187C93">
        <w:t xml:space="preserve">krav. </w:t>
      </w:r>
    </w:p>
    <w:p w:rsidR="00DB1B84" w:rsidRPr="00187C93" w:rsidRDefault="00DB1B84">
      <w:pPr>
        <w:pStyle w:val="Normaltindrag"/>
      </w:pPr>
      <w:r w:rsidRPr="00187C93">
        <w:t>Med en reform av arbetsrätten i enlighet med våra rekommendationer skulle Sverige få en mer flexibel arbetsmarknad som skulle ge bättre föru</w:t>
      </w:r>
      <w:r w:rsidRPr="00187C93">
        <w:t>t</w:t>
      </w:r>
      <w:r w:rsidRPr="00187C93">
        <w:t xml:space="preserve">sättningar för tillväxt. Härigenom skulle fler människor kunna få möjlighet till arbete och en god lönebildning underlättas. </w:t>
      </w:r>
    </w:p>
    <w:p w:rsidR="00DB1B84" w:rsidRPr="00187C93" w:rsidRDefault="00DB1B84">
      <w:pPr>
        <w:pStyle w:val="Normaltindrag"/>
      </w:pPr>
      <w:r w:rsidRPr="00187C93">
        <w:rPr>
          <w:i/>
        </w:rPr>
        <w:t xml:space="preserve">Arbetsmarknadslagstiftningen </w:t>
      </w:r>
      <w:r w:rsidRPr="00187C93">
        <w:t>måste medge flexibilitet för anställda och för arbetsgivare. Det kan exempelvis gälla frågor om arbetstidens längd och arbetets förläggning. Antalet arbetsmarknadspolitiska program måste bli mindre och regelverket kring dessa förenklas och göras tydligare. I stället för volyminriktade program som syftar till att pressa ner den öppna arbetslösh</w:t>
      </w:r>
      <w:r w:rsidRPr="00187C93">
        <w:t>e</w:t>
      </w:r>
      <w:r w:rsidRPr="00187C93">
        <w:t>ten är det angeläget att insatser riktas mot bristyrkesutbildning och mening</w:t>
      </w:r>
      <w:r w:rsidRPr="00187C93">
        <w:t>s</w:t>
      </w:r>
      <w:r w:rsidRPr="00187C93">
        <w:t xml:space="preserve">fulla yrkesinriktade utbildningar. </w:t>
      </w:r>
    </w:p>
    <w:p w:rsidR="00DB1B84" w:rsidRPr="00187C93" w:rsidRDefault="00DB1B84">
      <w:pPr>
        <w:pStyle w:val="Normaltindrag"/>
      </w:pPr>
      <w:r w:rsidRPr="00187C93">
        <w:rPr>
          <w:i/>
        </w:rPr>
        <w:t>Arbetsmarknadsverkets verksamhe</w:t>
      </w:r>
      <w:r w:rsidRPr="00187C93">
        <w:t>t måste bli mycket effektivare. Privata arbetsförmedlingar och bemanningsföretag underlättar för människor att finna ett passande arbete. Det har visat sig att  bemanningsföretag har varit fra</w:t>
      </w:r>
      <w:r w:rsidRPr="00187C93">
        <w:t>m</w:t>
      </w:r>
      <w:r w:rsidRPr="00187C93">
        <w:t>gångsrika i strävandena att få också grupper som bedömts som svårplacerade i arbete.</w:t>
      </w:r>
    </w:p>
    <w:p w:rsidR="00DB1B84" w:rsidRPr="00187C93" w:rsidRDefault="00DB1B84">
      <w:pPr>
        <w:pStyle w:val="Normaltindrag"/>
      </w:pPr>
      <w:r w:rsidRPr="00187C93">
        <w:rPr>
          <w:i/>
        </w:rPr>
        <w:t xml:space="preserve">Arbetslöshetsförsäkringen </w:t>
      </w:r>
      <w:r w:rsidRPr="00187C93">
        <w:t>skall vara en omställningsförsäkring. Den skall vara allmän och obligatorisk. Den skall vara utformad så att den ger incit</w:t>
      </w:r>
      <w:r w:rsidRPr="00187C93">
        <w:t>a</w:t>
      </w:r>
      <w:r w:rsidRPr="00187C93">
        <w:t>ment till arbete samtidigt som den ger en rimlig ekonomisk trygghet i oföru</w:t>
      </w:r>
      <w:r w:rsidRPr="00187C93">
        <w:t>t</w:t>
      </w:r>
      <w:r w:rsidRPr="00187C93">
        <w:t xml:space="preserve">sedda situationer. </w:t>
      </w:r>
    </w:p>
    <w:p w:rsidR="00DB1B84" w:rsidRPr="00187C93" w:rsidRDefault="00DB1B84">
      <w:pPr>
        <w:pStyle w:val="Normaltindrag"/>
      </w:pPr>
      <w:r w:rsidRPr="00187C93">
        <w:t xml:space="preserve">Det är av avgörande betydelse att </w:t>
      </w:r>
      <w:r w:rsidRPr="00187C93">
        <w:rPr>
          <w:i/>
        </w:rPr>
        <w:t>utbildning</w:t>
      </w:r>
      <w:r w:rsidRPr="00187C93">
        <w:t xml:space="preserve"> på alla nivåer från grundskola till högskola präglas av hög kvalitet för att den kompetens som är ett viktigt fundament för hög framtida tillväxt skall kunna vidmakthållas och utvecklas. Det måste också löna sig med utbildning.</w:t>
      </w:r>
    </w:p>
    <w:p w:rsidR="00DB1B84" w:rsidRPr="00187C93" w:rsidRDefault="00DB1B84">
      <w:pPr>
        <w:pStyle w:val="Normaltindrag"/>
      </w:pPr>
      <w:r w:rsidRPr="00187C93">
        <w:t xml:space="preserve">Genom ett system med </w:t>
      </w:r>
      <w:r w:rsidRPr="00187C93">
        <w:rPr>
          <w:i/>
        </w:rPr>
        <w:t>personliga utbildningskonton</w:t>
      </w:r>
      <w:r w:rsidRPr="00187C93">
        <w:t xml:space="preserve"> kan bättre ekonomi</w:t>
      </w:r>
      <w:r w:rsidRPr="00187C93">
        <w:t>s</w:t>
      </w:r>
      <w:r w:rsidRPr="00187C93">
        <w:t xml:space="preserve">ka förutsättningar skapas för alla vuxna att påbörja fort- och vidareutbildning. Det kan ske genom att den enskilde medges skatteavdrag för de medel som avsätts på samma sätt som nu sker för avsättning till pensionsförsäkringar. Även arbetsgivaren kan ges rätt att avsätta lika mycket som den enskilde. </w:t>
      </w:r>
    </w:p>
    <w:p w:rsidR="00DB1B84" w:rsidRPr="00187C93" w:rsidRDefault="00DB1B84">
      <w:pPr>
        <w:pStyle w:val="Normaltindrag"/>
      </w:pPr>
      <w:r w:rsidRPr="00187C93">
        <w:t xml:space="preserve">Ett </w:t>
      </w:r>
      <w:r w:rsidRPr="00187C93">
        <w:rPr>
          <w:i/>
        </w:rPr>
        <w:t>lärlingssystem</w:t>
      </w:r>
      <w:r w:rsidRPr="00187C93">
        <w:t xml:space="preserve"> bör ingå som en naturlig del i såväl gymnasieutbil</w:t>
      </w:r>
      <w:r w:rsidRPr="00187C93">
        <w:t>d</w:t>
      </w:r>
      <w:r w:rsidRPr="00187C93">
        <w:t>ningen som arbetsmarknadsutbildningen. Genom att yrkesinriktad utbildning integreras mer målmedvetet i företagen förbättras effektiviteten. Lärlingsu</w:t>
      </w:r>
      <w:r w:rsidRPr="00187C93">
        <w:t>t</w:t>
      </w:r>
      <w:r w:rsidRPr="00187C93">
        <w:t>bildningen bör expandera och ersättningarna fastställas till en nivå som gör lärling</w:t>
      </w:r>
      <w:r w:rsidRPr="00187C93">
        <w:t>s</w:t>
      </w:r>
      <w:r w:rsidRPr="00187C93">
        <w:t>programmen attraktiva också för företagen.</w:t>
      </w:r>
    </w:p>
    <w:p w:rsidR="00DB1B84" w:rsidRPr="00187C93" w:rsidRDefault="00DB1B84">
      <w:pPr>
        <w:pStyle w:val="Normaltindrag"/>
      </w:pPr>
      <w:r w:rsidRPr="00187C93">
        <w:t>Såväl den ekonomiska politiken som arbetsmarknadspolitiken måste utgå från att både kvinnor och män skall ha goda möjligheter att forma sina egna liv fria från könsroll</w:t>
      </w:r>
      <w:r w:rsidRPr="00187C93">
        <w:t xml:space="preserve">er och fördomar. En rad reformer är nödvändiga om vi skall kunna nå närmare målet om ett </w:t>
      </w:r>
      <w:r w:rsidRPr="00187C93">
        <w:rPr>
          <w:i/>
        </w:rPr>
        <w:t>jämställt samhälle</w:t>
      </w:r>
      <w:r w:rsidRPr="00187C93">
        <w:t>, där individens ön</w:t>
      </w:r>
      <w:r w:rsidRPr="00187C93">
        <w:t>s</w:t>
      </w:r>
      <w:r w:rsidRPr="00187C93">
        <w:t>kemål, inte könstillhörigheten, är styrande. Bland annat behöver arbetsmar</w:t>
      </w:r>
      <w:r w:rsidRPr="00187C93">
        <w:t>k</w:t>
      </w:r>
      <w:r w:rsidRPr="00187C93">
        <w:t>nadslagstiftningen och utformningen av offentlig verksamhet reform</w:t>
      </w:r>
      <w:r w:rsidRPr="00187C93">
        <w:t>e</w:t>
      </w:r>
      <w:r w:rsidRPr="00187C93">
        <w:t>ras.</w:t>
      </w:r>
    </w:p>
    <w:p w:rsidR="00DB1B84" w:rsidRPr="00187C93" w:rsidRDefault="00DB1B84">
      <w:pPr>
        <w:pStyle w:val="Normaltindrag"/>
      </w:pPr>
      <w:r w:rsidRPr="00187C93">
        <w:t>Den könsuppdelade arbetsmarknaden, de låga lönerna samt det bristande inflytandet i kvinnodominerade sektorer måste motverkas och snarast unda</w:t>
      </w:r>
      <w:r w:rsidRPr="00187C93">
        <w:t>n</w:t>
      </w:r>
      <w:r w:rsidRPr="00187C93">
        <w:t>röjas. En viktig del i insatserna för att öka tillväxten är att med kraft unde</w:t>
      </w:r>
      <w:r w:rsidRPr="00187C93">
        <w:t>r</w:t>
      </w:r>
      <w:r w:rsidRPr="00187C93">
        <w:t>lätta kvinnligt företagande. Såväl kvinnors som mäns förmåga måste bättre tas till vara, bl.a. genom att den offentliga tjänstesektorn öppnas för nya a</w:t>
      </w:r>
      <w:r w:rsidRPr="00187C93">
        <w:t>r</w:t>
      </w:r>
      <w:r w:rsidRPr="00187C93">
        <w:t>betsformer, regelförenklingar genomförs och skattetrycket på arbete sänks.</w:t>
      </w:r>
    </w:p>
    <w:p w:rsidR="00DB1B84" w:rsidRPr="00187C93" w:rsidRDefault="00DB1B84">
      <w:pPr>
        <w:pStyle w:val="Normaltindrag"/>
      </w:pPr>
      <w:r w:rsidRPr="00187C93">
        <w:t>Vi menar att en öppnare arbetsmarknad för kvinnor måste eftersträvas. En mångfald av arbetsgivare och konkurrens om personalen är det bästa sättet att åstadkomma bättre löner för de många kvinnor i yrken m</w:t>
      </w:r>
      <w:r w:rsidRPr="00187C93">
        <w:t>ed lång utbildning som i dag är underbetalda. De offentliga monopolen måste brytas så att kvi</w:t>
      </w:r>
      <w:r w:rsidRPr="00187C93">
        <w:t>n</w:t>
      </w:r>
      <w:r w:rsidRPr="00187C93">
        <w:t>nor i lika hög grad som män kan finna alternativa arbetsgivare.</w:t>
      </w:r>
    </w:p>
    <w:p w:rsidR="00DB1B84" w:rsidRPr="00187C93" w:rsidRDefault="00DB1B84">
      <w:pPr>
        <w:pStyle w:val="R4"/>
      </w:pPr>
      <w:r w:rsidRPr="00187C93">
        <w:t>Arbetsliv</w:t>
      </w:r>
    </w:p>
    <w:p w:rsidR="00DB1B84" w:rsidRPr="00187C93" w:rsidRDefault="00DB1B84">
      <w:pPr>
        <w:spacing w:before="187"/>
      </w:pPr>
      <w:r w:rsidRPr="00187C93">
        <w:t>Antalet sjukskrivningar och antalet anmälda arbetsskador har ökat kraftigt under slutet av 1990-talet. Som majoriteten i utskottet också har påtalat är det främst de långtidssjuka som ökat i antal. Arbetssjukdomar orsakade av org</w:t>
      </w:r>
      <w:r w:rsidRPr="00187C93">
        <w:t>a</w:t>
      </w:r>
      <w:r w:rsidRPr="00187C93">
        <w:t xml:space="preserve">nisatoriska och sociala faktorer har ökat mest av samtliga sjukdomar. Flertalet är relaterade till stress och hög arbetsbelastning. </w:t>
      </w:r>
    </w:p>
    <w:p w:rsidR="00DB1B84" w:rsidRPr="00187C93" w:rsidRDefault="00DB1B84">
      <w:pPr>
        <w:pStyle w:val="Normaltindrag"/>
      </w:pPr>
      <w:r w:rsidRPr="00187C93">
        <w:t xml:space="preserve">Vi ser med stor oro på denna utveckling. Det förebyggande arbetet mot </w:t>
      </w:r>
      <w:r w:rsidRPr="00187C93">
        <w:rPr>
          <w:i/>
        </w:rPr>
        <w:t xml:space="preserve">ohälsa </w:t>
      </w:r>
      <w:r w:rsidRPr="00187C93">
        <w:t>måste bli mer inriktat på den enskilde individen. Villkoren i arbetslivet måste göras mer flexibla så att människor får större inflytande över arbetst</w:t>
      </w:r>
      <w:r w:rsidRPr="00187C93">
        <w:t>i</w:t>
      </w:r>
      <w:r w:rsidRPr="00187C93">
        <w:t>der, den egna kompetensen och den egna arbetsmiljön. Företagen bör ges bättre incitament att arbeta för en förbättrad arbetsmiljö på de arbetsplatser och i de yrkesgrupper där ohälsa är vanligt förekommande. Det är dock inte bara villkoren i arbetslivet som har betydelse för människors hälsa utan också människors hela livssituation. Vi återkommer därfö</w:t>
      </w:r>
      <w:r w:rsidRPr="00187C93">
        <w:t>r även i detta sammanhang till vårt tidigare nämnda förslag om hushållsnära tjänster som skulle kunna underlätta för familjer att klara av förutsättningarna i arbetslivet.</w:t>
      </w:r>
    </w:p>
    <w:p w:rsidR="00DB1B84" w:rsidRPr="00187C93" w:rsidRDefault="00DB1B84">
      <w:pPr>
        <w:pStyle w:val="Normaltindrag"/>
      </w:pPr>
      <w:r w:rsidRPr="00187C93">
        <w:t xml:space="preserve">Ansträngningar bör också göras för att få </w:t>
      </w:r>
      <w:r w:rsidRPr="00187C93">
        <w:rPr>
          <w:i/>
        </w:rPr>
        <w:t xml:space="preserve">förtidspensionerade </w:t>
      </w:r>
      <w:r w:rsidRPr="00187C93">
        <w:t xml:space="preserve">att återgå till arbetslivet. </w:t>
      </w:r>
    </w:p>
    <w:p w:rsidR="00DB1B84" w:rsidRPr="00187C93" w:rsidRDefault="00DB1B84">
      <w:pPr>
        <w:pStyle w:val="R4"/>
      </w:pPr>
      <w:r w:rsidRPr="00187C93">
        <w:t>Slutsats</w:t>
      </w:r>
    </w:p>
    <w:p w:rsidR="00DB1B84" w:rsidRPr="00187C93" w:rsidRDefault="00DB1B84">
      <w:pPr>
        <w:spacing w:before="187"/>
      </w:pPr>
      <w:r w:rsidRPr="00187C93">
        <w:t>Det anförda innebär att utskottet avvisar propositionen yrkande 1. Vi förordar istället att finansutskottet tillstyrker motionerna Fi17 yrkandena 1, 7, 10 och 15, alla delvis, Fi18 yrkandena 1 och 2, båda delvis, Fi19 yrkandena 1,7, 9, 10, alla delvis samt Fi20 yrkandena 1, 8, 9, 11, 13, 19, och 21, alla delvis .</w:t>
      </w:r>
    </w:p>
    <w:p w:rsidR="00DB1B84" w:rsidRPr="00187C93" w:rsidRDefault="00DB1B84">
      <w:pPr>
        <w:pStyle w:val="Rubrik2"/>
      </w:pPr>
      <w:bookmarkStart w:id="26" w:name="_Toc515765289"/>
      <w:r w:rsidRPr="00187C93">
        <w:t>2. Arbetsmarknadsverket m.m. (Centerpartiet och Folkpartiet)</w:t>
      </w:r>
      <w:bookmarkEnd w:id="26"/>
    </w:p>
    <w:p w:rsidR="00DB1B84" w:rsidRPr="00187C93" w:rsidRDefault="00DB1B84">
      <w:pPr>
        <w:pStyle w:val="Reservanter"/>
      </w:pPr>
      <w:r w:rsidRPr="00187C93">
        <w:t>av Margareta Andersson (c) och  Elver Jonsson (fp)</w:t>
      </w:r>
    </w:p>
    <w:p w:rsidR="00DB1B84" w:rsidRPr="00187C93" w:rsidRDefault="00DB1B84">
      <w:pPr>
        <w:pStyle w:val="R3"/>
      </w:pPr>
      <w:r w:rsidRPr="00187C93">
        <w:t>Ställningstagande</w:t>
      </w:r>
    </w:p>
    <w:p w:rsidR="00DB1B84" w:rsidRPr="00187C93" w:rsidRDefault="00DB1B84">
      <w:r w:rsidRPr="00187C93">
        <w:t>Vi har tillsammans med Moderaterna och Folkpartiet i avvikande mening 1 utvecklat vår syn på allmänna inriktningen av politiken. Vi vill dessutom anföra följande.</w:t>
      </w:r>
    </w:p>
    <w:p w:rsidR="00DB1B84" w:rsidRPr="00187C93" w:rsidRDefault="00DB1B84">
      <w:r w:rsidRPr="00187C93">
        <w:t>Den viktigaste uppgiften för arbetsförmedlingen är den s.k. matchningen, d.v.s. att förmedla arbeten till arbetssökande och arbetskraft till arbetsgivarna på ett snabbt och rationellt sätt. Något är fel när det förekommer brist på arbetskraft vid sidan om en hög arbetslöshet. Enligt vår uppfattning är AMV i sin nuvarande form ineffektivt. Kritik har riktats mot verket såväl från föret</w:t>
      </w:r>
      <w:r w:rsidRPr="00187C93">
        <w:t>a</w:t>
      </w:r>
      <w:r w:rsidRPr="00187C93">
        <w:t xml:space="preserve">gare som arbetssökande. </w:t>
      </w:r>
    </w:p>
    <w:p w:rsidR="00DB1B84" w:rsidRPr="00187C93" w:rsidRDefault="00DB1B84">
      <w:pPr>
        <w:pStyle w:val="Normaltindrag"/>
      </w:pPr>
      <w:r w:rsidRPr="00187C93">
        <w:t>Verksamheten inom arbetsmarknadspolitiken bör delegeras så att den kan utformas på ett mer flexibelt sätt  och anpassas till  regionala och lokala b</w:t>
      </w:r>
      <w:r w:rsidRPr="00187C93">
        <w:t>e</w:t>
      </w:r>
      <w:r w:rsidRPr="00187C93">
        <w:t xml:space="preserve">hov och förutsättningar.  </w:t>
      </w:r>
    </w:p>
    <w:p w:rsidR="00DB1B84" w:rsidRPr="00187C93" w:rsidRDefault="00DB1B84">
      <w:pPr>
        <w:pStyle w:val="Normaltindrag"/>
      </w:pPr>
      <w:r w:rsidRPr="00187C93">
        <w:t>Vi menar att det är nödvändigt att en reformering av AMV nu inleds. Därigenom kan resurserna till AMV minska. Till skillnad från majoritet avv</w:t>
      </w:r>
      <w:r w:rsidRPr="00187C93">
        <w:t>i</w:t>
      </w:r>
      <w:r w:rsidRPr="00187C93">
        <w:t xml:space="preserve">sar vi därför regeringens förslag om att AMV  permanent skall ges extra resurser för personalförstärkningar. </w:t>
      </w:r>
    </w:p>
    <w:p w:rsidR="00DB1B84" w:rsidRPr="00187C93" w:rsidRDefault="00DB1B84">
      <w:pPr>
        <w:pStyle w:val="Normaltindrag"/>
      </w:pPr>
      <w:r w:rsidRPr="00187C93">
        <w:t>Sedan mitten av 1990-talet har antalet företag som hyr ut personal ökat kraftigt. Företagen är koncentrerade till storstäderna men de senaste två åren har branschen expanderat snabbare i övriga delar av landet. Vi anser att dessa privata alternativ bör  utnyttjas i regioner där det är möjligt. Det skulle kunna avlasta den statliga arbetsförmedlingen samtidigt som ökad konkurrens kan medföra kvalite</w:t>
      </w:r>
      <w:r w:rsidRPr="00187C93">
        <w:t>tsförbättringar och en högre effektivitet. Privata förmedlingar bör kunna konkurrera med offentliga förmedlingar på likartade villkor.</w:t>
      </w:r>
    </w:p>
    <w:p w:rsidR="00DB1B84" w:rsidRPr="00187C93" w:rsidRDefault="00DB1B84">
      <w:pPr>
        <w:pStyle w:val="Normaltindrag"/>
      </w:pPr>
      <w:r w:rsidRPr="00187C93">
        <w:t>Vi menar därmed att motionerna Fi19 yrkande yrkande 4 delvis och Fi20 yrkandena 1 och 19 båda delvis bör tillstyrkas i tillämpliga delar</w:t>
      </w:r>
    </w:p>
    <w:p w:rsidR="00DB1B84" w:rsidRPr="00187C93" w:rsidRDefault="00DB1B84">
      <w:pPr>
        <w:pStyle w:val="Rubrik2"/>
      </w:pPr>
      <w:bookmarkStart w:id="27" w:name="_Toc515765290"/>
      <w:r w:rsidRPr="00187C93">
        <w:t>3. Preliminära ramar för utgiftsområdena 13 och 14 åren 2002–2004 (Moderaterna)</w:t>
      </w:r>
      <w:bookmarkEnd w:id="27"/>
    </w:p>
    <w:p w:rsidR="00DB1B84" w:rsidRPr="00187C93" w:rsidRDefault="00DB1B84">
      <w:pPr>
        <w:pStyle w:val="Reservanter"/>
      </w:pPr>
      <w:r w:rsidRPr="00187C93">
        <w:t>av Mikael Odenberg, Patrik Norinder, Christel Anderberg och Henrik Westman (alla m).</w:t>
      </w:r>
    </w:p>
    <w:p w:rsidR="00DB1B84" w:rsidRPr="00187C93" w:rsidRDefault="00DB1B84">
      <w:pPr>
        <w:pStyle w:val="R3"/>
      </w:pPr>
      <w:r w:rsidRPr="00187C93">
        <w:t>Ställningstagande</w:t>
      </w:r>
    </w:p>
    <w:p w:rsidR="00DB1B84" w:rsidRPr="00187C93" w:rsidRDefault="00DB1B84">
      <w:pPr>
        <w:spacing w:after="240"/>
      </w:pPr>
      <w:r w:rsidRPr="00187C93">
        <w:t>Vi har i den avvikande meningen nr 1 gemensamt med Kristdemokraterna, Centerpartiet och Folkpartiet lämnat en övergripande beskrivning av hur vi anser att den allmänna inriktningen av politiken bör utformas. När det gäller regeringens förslag till preliminär fördelning av utgifterna på utgiftsområden vill vi anföra följande.</w:t>
      </w:r>
    </w:p>
    <w:p w:rsidR="00DB1B84" w:rsidRPr="00187C93" w:rsidRDefault="00DB1B84">
      <w:pPr>
        <w:pStyle w:val="R4"/>
        <w:spacing w:before="125"/>
      </w:pPr>
      <w:r w:rsidRPr="00187C93">
        <w:t>Utgiftsområde 13</w:t>
      </w:r>
    </w:p>
    <w:p w:rsidR="00DB1B84" w:rsidRPr="00187C93" w:rsidRDefault="00DB1B84">
      <w:pPr>
        <w:spacing w:before="187" w:after="240"/>
      </w:pPr>
      <w:r w:rsidRPr="00187C93">
        <w:t>Enligt vår uppfattning måste arbetsmarknadspolitiken koncentreras och e</w:t>
      </w:r>
      <w:r w:rsidRPr="00187C93">
        <w:t>f</w:t>
      </w:r>
      <w:r w:rsidRPr="00187C93">
        <w:t>fektiviseras. De åtgärder som genomförs skall leda till konkreta resultat, dvs. att fler individer erhåller ett ordinarie arbete. Målet skall vara att alla indiv</w:t>
      </w:r>
      <w:r w:rsidRPr="00187C93">
        <w:t>i</w:t>
      </w:r>
      <w:r w:rsidRPr="00187C93">
        <w:t xml:space="preserve">der som vill ha ett arbete också skall ges reella möjligheter att få det. </w:t>
      </w:r>
    </w:p>
    <w:p w:rsidR="00DB1B84" w:rsidRPr="00187C93" w:rsidRDefault="00DB1B84">
      <w:pPr>
        <w:spacing w:after="240"/>
      </w:pPr>
      <w:r w:rsidRPr="00187C93">
        <w:t>Som tidigare framhållits måste arbetslöshetsersättningen reformeras. Arbet</w:t>
      </w:r>
      <w:r w:rsidRPr="00187C93">
        <w:t>s</w:t>
      </w:r>
      <w:r w:rsidRPr="00187C93">
        <w:t>löshetsförsäkringen skall vara allmän och obligatorisk. Den skall administr</w:t>
      </w:r>
      <w:r w:rsidRPr="00187C93">
        <w:t>e</w:t>
      </w:r>
      <w:r w:rsidRPr="00187C93">
        <w:t>ras av staten och inte av de fackliga organisationerna. Försäkringen skall utformas så att den ger tydliga signaler till den enskilde att söka och acceptera erbjudande om nytt arbete. Den enskildes ansvar för finansieringen skall öka. Ersättningen skall begränsas i tiden och ersättningsnivån bestämmas till 75 % av den tidigare inkomsten. Vi återkommer i samband med behandlingen av budgetpropositionen hösten 2001 med ett samlat förs</w:t>
      </w:r>
      <w:r w:rsidRPr="00187C93">
        <w:t>lag om utformningen av arbetslöshetsförsäkringen. I detta förslag kommer vi att ta ställning till eve</w:t>
      </w:r>
      <w:r w:rsidRPr="00187C93">
        <w:t>n</w:t>
      </w:r>
      <w:r w:rsidRPr="00187C93">
        <w:t>tuella förändringar av ersättningsnivåerna. Vi motsätter oss därför nu de av reg</w:t>
      </w:r>
      <w:r w:rsidRPr="00187C93">
        <w:t>e</w:t>
      </w:r>
      <w:r w:rsidRPr="00187C93">
        <w:t>ringen aviserade höjningarna av ersättningsnivåerna.</w:t>
      </w:r>
    </w:p>
    <w:p w:rsidR="00DB1B84" w:rsidRPr="00187C93" w:rsidRDefault="00DB1B84">
      <w:pPr>
        <w:pStyle w:val="R4"/>
        <w:spacing w:before="125"/>
      </w:pPr>
      <w:r w:rsidRPr="00187C93">
        <w:t>Utgiftsområde 14</w:t>
      </w:r>
    </w:p>
    <w:p w:rsidR="00DB1B84" w:rsidRPr="00187C93" w:rsidRDefault="00DB1B84">
      <w:pPr>
        <w:spacing w:before="187" w:after="240"/>
      </w:pPr>
      <w:r w:rsidRPr="00187C93">
        <w:t>Vi anser att kostnaderna för administrationen av den statliga arbetsmarknad</w:t>
      </w:r>
      <w:r w:rsidRPr="00187C93">
        <w:t>s</w:t>
      </w:r>
      <w:r w:rsidRPr="00187C93">
        <w:t>politiken m.m. skall minskas. Alla ombudsmän mot diskriminering bör sa</w:t>
      </w:r>
      <w:r w:rsidRPr="00187C93">
        <w:t>m</w:t>
      </w:r>
      <w:r w:rsidRPr="00187C93">
        <w:t>las i en myndighet under detta utgiftsområde. Medlingsinstitutets uppgifter bör begränsas.</w:t>
      </w:r>
    </w:p>
    <w:p w:rsidR="00DB1B84" w:rsidRPr="00187C93" w:rsidRDefault="00DB1B84">
      <w:pPr>
        <w:spacing w:after="240"/>
      </w:pPr>
      <w:r w:rsidRPr="00187C93">
        <w:t>Med hänsyn till det anförda anser vi sammanfattningsvis att den i motion Fi17 yrkande 5 delvis (m) föreslagna preliminära fördelningen på utgiftsområden bör godkännas som riktlinje för regeringens budgetarbete. Detta innebär att propositionen i motsvarande delar (prop. yrk. 4 delvis) samt motionerna Fi18 yrkande 7 delvis (kd), Fi19 yrkande 4 delvi</w:t>
      </w:r>
      <w:r w:rsidRPr="00187C93">
        <w:t>s (c) och Fi20 yrkande 4 delvis (fp) bör avslås. Vårt förslag till riksdagsbeslut framgår av nedanstående t</w:t>
      </w:r>
      <w:r w:rsidRPr="00187C93">
        <w:t>a</w:t>
      </w:r>
      <w:r w:rsidRPr="00187C93">
        <w:t>beller.</w:t>
      </w:r>
    </w:p>
    <w:p w:rsidR="00DB1B84" w:rsidRPr="00187C93" w:rsidRDefault="00DB1B84">
      <w:pPr>
        <w:pStyle w:val="Tabellrubrik"/>
        <w:spacing w:before="375"/>
      </w:pPr>
      <w:r w:rsidRPr="00187C93">
        <w:t xml:space="preserve">Utgiftsområde 13 </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346"/>
        <w:gridCol w:w="992"/>
        <w:gridCol w:w="993"/>
        <w:gridCol w:w="850"/>
      </w:tblGrid>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p>
        </w:tc>
        <w:tc>
          <w:tcPr>
            <w:tcW w:w="992" w:type="dxa"/>
          </w:tcPr>
          <w:p w:rsidR="00DB1B84" w:rsidRPr="00187C93" w:rsidRDefault="00DB1B84">
            <w:pPr>
              <w:pStyle w:val="Tabelltext"/>
              <w:spacing w:before="60" w:after="60"/>
              <w:jc w:val="center"/>
              <w:rPr>
                <w:b/>
              </w:rPr>
            </w:pPr>
            <w:r w:rsidRPr="00187C93">
              <w:rPr>
                <w:b/>
              </w:rPr>
              <w:t>2002</w:t>
            </w:r>
          </w:p>
        </w:tc>
        <w:tc>
          <w:tcPr>
            <w:tcW w:w="993" w:type="dxa"/>
          </w:tcPr>
          <w:p w:rsidR="00DB1B84" w:rsidRPr="00187C93" w:rsidRDefault="00DB1B84">
            <w:pPr>
              <w:pStyle w:val="Tabelltext"/>
              <w:spacing w:before="60" w:after="60"/>
              <w:jc w:val="center"/>
              <w:rPr>
                <w:b/>
              </w:rPr>
            </w:pPr>
            <w:r w:rsidRPr="00187C93">
              <w:rPr>
                <w:b/>
              </w:rPr>
              <w:t>2003</w:t>
            </w:r>
          </w:p>
        </w:tc>
        <w:tc>
          <w:tcPr>
            <w:tcW w:w="850"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Utskottet</w:t>
            </w:r>
          </w:p>
        </w:tc>
        <w:tc>
          <w:tcPr>
            <w:tcW w:w="992" w:type="dxa"/>
          </w:tcPr>
          <w:p w:rsidR="00DB1B84" w:rsidRPr="00187C93" w:rsidRDefault="00DB1B84">
            <w:pPr>
              <w:pStyle w:val="Tabelltext"/>
              <w:spacing w:before="60" w:after="60"/>
              <w:jc w:val="center"/>
            </w:pPr>
            <w:r w:rsidRPr="00187C93">
              <w:t>54 002</w:t>
            </w:r>
          </w:p>
        </w:tc>
        <w:tc>
          <w:tcPr>
            <w:tcW w:w="993" w:type="dxa"/>
          </w:tcPr>
          <w:p w:rsidR="00DB1B84" w:rsidRPr="00187C93" w:rsidRDefault="00DB1B84">
            <w:pPr>
              <w:pStyle w:val="Tabelltext"/>
              <w:spacing w:before="60" w:after="60"/>
              <w:jc w:val="center"/>
            </w:pPr>
            <w:r w:rsidRPr="00187C93">
              <w:t>42 666</w:t>
            </w:r>
          </w:p>
        </w:tc>
        <w:tc>
          <w:tcPr>
            <w:tcW w:w="850" w:type="dxa"/>
          </w:tcPr>
          <w:p w:rsidR="00DB1B84" w:rsidRPr="00187C93" w:rsidRDefault="00DB1B84">
            <w:pPr>
              <w:pStyle w:val="Tabelltext"/>
              <w:spacing w:before="60" w:after="60"/>
              <w:jc w:val="center"/>
            </w:pPr>
            <w:r w:rsidRPr="00187C93">
              <w:t>33 008</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Differens prop.</w:t>
            </w:r>
          </w:p>
        </w:tc>
        <w:tc>
          <w:tcPr>
            <w:tcW w:w="992" w:type="dxa"/>
          </w:tcPr>
          <w:p w:rsidR="00DB1B84" w:rsidRPr="00187C93" w:rsidRDefault="00DB1B84">
            <w:pPr>
              <w:pStyle w:val="Tabelltext"/>
              <w:spacing w:before="60" w:after="60"/>
              <w:jc w:val="center"/>
            </w:pPr>
            <w:r w:rsidRPr="00187C93">
              <w:t>- 5 197</w:t>
            </w:r>
          </w:p>
        </w:tc>
        <w:tc>
          <w:tcPr>
            <w:tcW w:w="993" w:type="dxa"/>
          </w:tcPr>
          <w:p w:rsidR="00DB1B84" w:rsidRPr="00187C93" w:rsidRDefault="00DB1B84">
            <w:pPr>
              <w:pStyle w:val="Tabelltext"/>
              <w:spacing w:before="60" w:after="60"/>
              <w:jc w:val="center"/>
            </w:pPr>
            <w:r w:rsidRPr="00187C93">
              <w:t>- 17 293</w:t>
            </w:r>
          </w:p>
        </w:tc>
        <w:tc>
          <w:tcPr>
            <w:tcW w:w="850" w:type="dxa"/>
          </w:tcPr>
          <w:p w:rsidR="00DB1B84" w:rsidRPr="00187C93" w:rsidRDefault="00DB1B84">
            <w:pPr>
              <w:pStyle w:val="Tabelltext"/>
              <w:spacing w:before="60" w:after="60"/>
              <w:jc w:val="center"/>
            </w:pPr>
            <w:r w:rsidRPr="00187C93">
              <w:t>- 26 585</w:t>
            </w:r>
          </w:p>
        </w:tc>
      </w:tr>
    </w:tbl>
    <w:p w:rsidR="00DB1B84" w:rsidRPr="00187C93" w:rsidRDefault="00DB1B84">
      <w:pPr>
        <w:pStyle w:val="Tabellrubrik"/>
        <w:spacing w:before="375"/>
      </w:pPr>
      <w:r w:rsidRPr="00187C93">
        <w:t>Utgiftsområde 14</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346"/>
        <w:gridCol w:w="992"/>
        <w:gridCol w:w="993"/>
        <w:gridCol w:w="850"/>
      </w:tblGrid>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p>
        </w:tc>
        <w:tc>
          <w:tcPr>
            <w:tcW w:w="992" w:type="dxa"/>
          </w:tcPr>
          <w:p w:rsidR="00DB1B84" w:rsidRPr="00187C93" w:rsidRDefault="00DB1B84">
            <w:pPr>
              <w:pStyle w:val="Tabelltext"/>
              <w:spacing w:before="60" w:after="60"/>
              <w:jc w:val="center"/>
              <w:rPr>
                <w:b/>
              </w:rPr>
            </w:pPr>
            <w:r w:rsidRPr="00187C93">
              <w:rPr>
                <w:b/>
              </w:rPr>
              <w:t>2002</w:t>
            </w:r>
          </w:p>
        </w:tc>
        <w:tc>
          <w:tcPr>
            <w:tcW w:w="993" w:type="dxa"/>
          </w:tcPr>
          <w:p w:rsidR="00DB1B84" w:rsidRPr="00187C93" w:rsidRDefault="00DB1B84">
            <w:pPr>
              <w:pStyle w:val="Tabelltext"/>
              <w:spacing w:before="60" w:after="60"/>
              <w:jc w:val="center"/>
              <w:rPr>
                <w:b/>
              </w:rPr>
            </w:pPr>
            <w:r w:rsidRPr="00187C93">
              <w:rPr>
                <w:b/>
              </w:rPr>
              <w:t>2003</w:t>
            </w:r>
          </w:p>
        </w:tc>
        <w:tc>
          <w:tcPr>
            <w:tcW w:w="850"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Utskottet</w:t>
            </w:r>
          </w:p>
        </w:tc>
        <w:tc>
          <w:tcPr>
            <w:tcW w:w="992" w:type="dxa"/>
          </w:tcPr>
          <w:p w:rsidR="00DB1B84" w:rsidRPr="00187C93" w:rsidRDefault="00DB1B84">
            <w:pPr>
              <w:pStyle w:val="Tabelltext"/>
              <w:spacing w:before="60" w:after="60"/>
              <w:jc w:val="center"/>
            </w:pPr>
            <w:r w:rsidRPr="00187C93">
              <w:t>8 310</w:t>
            </w:r>
          </w:p>
        </w:tc>
        <w:tc>
          <w:tcPr>
            <w:tcW w:w="993" w:type="dxa"/>
          </w:tcPr>
          <w:p w:rsidR="00DB1B84" w:rsidRPr="00187C93" w:rsidRDefault="00DB1B84">
            <w:pPr>
              <w:pStyle w:val="Tabelltext"/>
              <w:spacing w:before="60" w:after="60"/>
              <w:jc w:val="center"/>
            </w:pPr>
            <w:r w:rsidRPr="00187C93">
              <w:t>8 195</w:t>
            </w:r>
          </w:p>
        </w:tc>
        <w:tc>
          <w:tcPr>
            <w:tcW w:w="850" w:type="dxa"/>
          </w:tcPr>
          <w:p w:rsidR="00DB1B84" w:rsidRPr="00187C93" w:rsidRDefault="00DB1B84">
            <w:pPr>
              <w:pStyle w:val="Tabelltext"/>
              <w:spacing w:before="60" w:after="60"/>
              <w:jc w:val="center"/>
            </w:pPr>
            <w:r w:rsidRPr="00187C93">
              <w:t>8 110</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Differens prop.</w:t>
            </w:r>
          </w:p>
        </w:tc>
        <w:tc>
          <w:tcPr>
            <w:tcW w:w="992" w:type="dxa"/>
          </w:tcPr>
          <w:p w:rsidR="00DB1B84" w:rsidRPr="00187C93" w:rsidRDefault="00DB1B84">
            <w:pPr>
              <w:pStyle w:val="Tabelltext"/>
              <w:spacing w:before="60" w:after="60"/>
              <w:jc w:val="center"/>
            </w:pPr>
            <w:r w:rsidRPr="00187C93">
              <w:t>- 146</w:t>
            </w:r>
          </w:p>
        </w:tc>
        <w:tc>
          <w:tcPr>
            <w:tcW w:w="993" w:type="dxa"/>
          </w:tcPr>
          <w:p w:rsidR="00DB1B84" w:rsidRPr="00187C93" w:rsidRDefault="00DB1B84">
            <w:pPr>
              <w:pStyle w:val="Tabelltext"/>
              <w:spacing w:before="60" w:after="60"/>
              <w:jc w:val="center"/>
            </w:pPr>
            <w:r w:rsidRPr="00187C93">
              <w:t>- 230</w:t>
            </w:r>
          </w:p>
        </w:tc>
        <w:tc>
          <w:tcPr>
            <w:tcW w:w="850" w:type="dxa"/>
          </w:tcPr>
          <w:p w:rsidR="00DB1B84" w:rsidRPr="00187C93" w:rsidRDefault="00DB1B84">
            <w:pPr>
              <w:pStyle w:val="Tabelltext"/>
              <w:spacing w:before="60" w:after="60"/>
              <w:jc w:val="center"/>
            </w:pPr>
            <w:r w:rsidRPr="00187C93">
              <w:t>- 335</w:t>
            </w:r>
          </w:p>
        </w:tc>
      </w:tr>
    </w:tbl>
    <w:p w:rsidR="00DB1B84" w:rsidRPr="00187C93" w:rsidRDefault="00DB1B84">
      <w:pPr>
        <w:pStyle w:val="Rubrik2"/>
      </w:pPr>
      <w:bookmarkStart w:id="28" w:name="_Toc515765291"/>
      <w:r w:rsidRPr="00187C93">
        <w:t>4. Preliminära ramar för utgiftsområdena 13 och 14 åren 2002–2004 (Kristdemokraterna)</w:t>
      </w:r>
      <w:bookmarkEnd w:id="28"/>
    </w:p>
    <w:p w:rsidR="00DB1B84" w:rsidRPr="00187C93" w:rsidRDefault="00DB1B84">
      <w:pPr>
        <w:pStyle w:val="Normaltindrag"/>
      </w:pPr>
      <w:r w:rsidRPr="00187C93">
        <w:t>av Stefan Attefall  och Maria Larsson (båda kd).</w:t>
      </w:r>
    </w:p>
    <w:p w:rsidR="00DB1B84" w:rsidRPr="00187C93" w:rsidRDefault="00DB1B84">
      <w:pPr>
        <w:pStyle w:val="R3"/>
      </w:pPr>
      <w:r w:rsidRPr="00187C93">
        <w:t>Ställningstagande</w:t>
      </w:r>
    </w:p>
    <w:p w:rsidR="00DB1B84" w:rsidRPr="00187C93" w:rsidRDefault="00DB1B84">
      <w:r w:rsidRPr="00187C93">
        <w:t>Vi har i den avvikande meningen nr 1 gemensamt med Moderaterna, Cente</w:t>
      </w:r>
      <w:r w:rsidRPr="00187C93">
        <w:t>r</w:t>
      </w:r>
      <w:r w:rsidRPr="00187C93">
        <w:t>partiet och Folkpartiet lämnat en övergripande beskrivning av hur vi anser att den allmänna inriktningen av politiken bör utformas. När det gäller regerin</w:t>
      </w:r>
      <w:r w:rsidRPr="00187C93">
        <w:t>g</w:t>
      </w:r>
      <w:r w:rsidRPr="00187C93">
        <w:t>ens förslag till preliminär fördelning av utgifterna på utgiftsområden vill vi anföra följande.</w:t>
      </w:r>
    </w:p>
    <w:p w:rsidR="00DB1B84" w:rsidRPr="00187C93" w:rsidRDefault="00DB1B84">
      <w:pPr>
        <w:pStyle w:val="R4"/>
      </w:pPr>
      <w:r w:rsidRPr="00187C93">
        <w:t>Utgiftsområde 13</w:t>
      </w:r>
    </w:p>
    <w:p w:rsidR="00DB1B84" w:rsidRPr="00187C93" w:rsidRDefault="00DB1B84">
      <w:pPr>
        <w:spacing w:before="187"/>
      </w:pPr>
      <w:r w:rsidRPr="00187C93">
        <w:t>Vi anser att en viktig strukturreform för bl.a. bättre lönebildning är ökad självfinansieringsgrad i en allmän och obligatorisk arbetslöshetsförsäkring. Genom en högre självfinansiering synliggörs arbetslöshetens kostnader. En sådan förändring innebär också en kraftig minskning av utgifterna på utgift</w:t>
      </w:r>
      <w:r w:rsidRPr="00187C93">
        <w:t>s</w:t>
      </w:r>
      <w:r w:rsidRPr="00187C93">
        <w:t xml:space="preserve">området. Den enskilde kompenseras genom sänkt inkomstskatt. Det är också nödvändigt att förändra det nuvarande regelverket för att undanröja sådant som hindrar människor från att ta de arbeten som finns och erbjuds. Den arbetslöse förlorar i vissa situationer ekonomiskt, eller vinner mycket lite, på att ta ett arbete jämfört med att uppbära arbetslöshetsersättning i kombination med övriga bidrag. </w:t>
      </w:r>
    </w:p>
    <w:p w:rsidR="00DB1B84" w:rsidRPr="00187C93" w:rsidRDefault="00DB1B84">
      <w:pPr>
        <w:pStyle w:val="Normaltindrag"/>
      </w:pPr>
      <w:r w:rsidRPr="00187C93">
        <w:t>Genom våra förslag om ökade resurser till fler tjänster inom vård, omsorg och skola, samt tillsammans med part</w:t>
      </w:r>
      <w:r w:rsidRPr="00187C93">
        <w:t>iets förslag om företags- och tillväx</w:t>
      </w:r>
      <w:r w:rsidRPr="00187C93">
        <w:t>t</w:t>
      </w:r>
      <w:r w:rsidRPr="00187C93">
        <w:t xml:space="preserve">främjande åtgärder kommer arbetslösheten att minskas. </w:t>
      </w:r>
    </w:p>
    <w:p w:rsidR="00DB1B84" w:rsidRPr="00187C93" w:rsidRDefault="00DB1B84">
      <w:pPr>
        <w:pStyle w:val="Normaltindrag"/>
      </w:pPr>
      <w:r w:rsidRPr="00187C93">
        <w:t>Som framhållits i den gemensamma avvikande meningen måste det nuv</w:t>
      </w:r>
      <w:r w:rsidRPr="00187C93">
        <w:t>a</w:t>
      </w:r>
      <w:r w:rsidRPr="00187C93">
        <w:t xml:space="preserve">rande regelsystemet för de arbetsmarknadspolitiska programmen förenklas och antalet insatser minskas. Även flyttningsbidraget bör avskaffas. </w:t>
      </w:r>
    </w:p>
    <w:p w:rsidR="00DB1B84" w:rsidRPr="00187C93" w:rsidRDefault="00DB1B84">
      <w:pPr>
        <w:pStyle w:val="R4"/>
      </w:pPr>
      <w:r w:rsidRPr="00187C93">
        <w:t>Utgiftsområde 14</w:t>
      </w:r>
    </w:p>
    <w:p w:rsidR="00DB1B84" w:rsidRPr="00187C93" w:rsidRDefault="00DB1B84">
      <w:pPr>
        <w:spacing w:before="187"/>
      </w:pPr>
      <w:r w:rsidRPr="00187C93">
        <w:t>Enligt vår uppfattning är det möjligt att genomföra besparingar vad gäller Arbet</w:t>
      </w:r>
      <w:r w:rsidRPr="00187C93">
        <w:t>s</w:t>
      </w:r>
      <w:r w:rsidRPr="00187C93">
        <w:t>miljöverket, Arbetslivsinstitutet och Medlingsinstitutet.</w:t>
      </w:r>
    </w:p>
    <w:p w:rsidR="00DB1B84" w:rsidRPr="00187C93" w:rsidRDefault="00DB1B84">
      <w:pPr>
        <w:pStyle w:val="Normaltindrag"/>
      </w:pPr>
      <w:r w:rsidRPr="00187C93">
        <w:t>Med hänsyn till det anförda anser vi sammanfattningsvis att den i motion Fi18 yrkande 7 delvis (kd) föreslagna preliminära fördelningen på utgiftso</w:t>
      </w:r>
      <w:r w:rsidRPr="00187C93">
        <w:t>m</w:t>
      </w:r>
      <w:r w:rsidRPr="00187C93">
        <w:t xml:space="preserve">råden bör godkännas som riktlinje för regeringens budgetarbete. Detta innebär att propositionen i motsvarande delar (prop. yrk. 4 delvis) samt motionerna Fi17 yrkande 5 delvis (m), Fi19 yrkande 4 delvis (c) och Fi20 yrkande 4 </w:t>
      </w:r>
    </w:p>
    <w:p w:rsidR="00DB1B84" w:rsidRPr="00187C93" w:rsidRDefault="00DB1B84">
      <w:r w:rsidRPr="00187C93">
        <w:br w:type="page"/>
        <w:t>delvis (fp) bör avslås. Vårt förslag till riksdagsbeslut framgår av nedanstående tabeller</w:t>
      </w:r>
    </w:p>
    <w:p w:rsidR="00DB1B84" w:rsidRPr="00187C93" w:rsidRDefault="00DB1B84">
      <w:pPr>
        <w:pStyle w:val="Tabellrubrik"/>
      </w:pPr>
      <w:r w:rsidRPr="00187C93">
        <w:t xml:space="preserve">Utgiftsområde 13 </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346"/>
        <w:gridCol w:w="992"/>
        <w:gridCol w:w="993"/>
        <w:gridCol w:w="992"/>
      </w:tblGrid>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p>
        </w:tc>
        <w:tc>
          <w:tcPr>
            <w:tcW w:w="992" w:type="dxa"/>
          </w:tcPr>
          <w:p w:rsidR="00DB1B84" w:rsidRPr="00187C93" w:rsidRDefault="00DB1B84">
            <w:pPr>
              <w:pStyle w:val="Tabelltext"/>
              <w:spacing w:before="60" w:after="60"/>
              <w:jc w:val="center"/>
              <w:rPr>
                <w:b/>
              </w:rPr>
            </w:pPr>
            <w:r w:rsidRPr="00187C93">
              <w:rPr>
                <w:b/>
              </w:rPr>
              <w:t>2002</w:t>
            </w:r>
          </w:p>
        </w:tc>
        <w:tc>
          <w:tcPr>
            <w:tcW w:w="993" w:type="dxa"/>
          </w:tcPr>
          <w:p w:rsidR="00DB1B84" w:rsidRPr="00187C93" w:rsidRDefault="00DB1B84">
            <w:pPr>
              <w:pStyle w:val="Tabelltext"/>
              <w:spacing w:before="60" w:after="60"/>
              <w:jc w:val="center"/>
              <w:rPr>
                <w:b/>
              </w:rPr>
            </w:pPr>
            <w:r w:rsidRPr="00187C93">
              <w:rPr>
                <w:b/>
              </w:rPr>
              <w:t>2003</w:t>
            </w:r>
          </w:p>
        </w:tc>
        <w:tc>
          <w:tcPr>
            <w:tcW w:w="992"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Utskottet</w:t>
            </w:r>
          </w:p>
        </w:tc>
        <w:tc>
          <w:tcPr>
            <w:tcW w:w="992" w:type="dxa"/>
          </w:tcPr>
          <w:p w:rsidR="00DB1B84" w:rsidRPr="00187C93" w:rsidRDefault="00DB1B84">
            <w:pPr>
              <w:pStyle w:val="Tabelltext"/>
              <w:spacing w:before="60" w:after="60"/>
              <w:jc w:val="center"/>
            </w:pPr>
            <w:r w:rsidRPr="00187C93">
              <w:t>50 389</w:t>
            </w:r>
          </w:p>
        </w:tc>
        <w:tc>
          <w:tcPr>
            <w:tcW w:w="993" w:type="dxa"/>
          </w:tcPr>
          <w:p w:rsidR="00DB1B84" w:rsidRPr="00187C93" w:rsidRDefault="00DB1B84">
            <w:pPr>
              <w:pStyle w:val="Tabelltext"/>
              <w:spacing w:before="60" w:after="60"/>
              <w:jc w:val="center"/>
            </w:pPr>
            <w:r w:rsidRPr="00187C93">
              <w:t>49 229</w:t>
            </w:r>
          </w:p>
        </w:tc>
        <w:tc>
          <w:tcPr>
            <w:tcW w:w="992" w:type="dxa"/>
          </w:tcPr>
          <w:p w:rsidR="00DB1B84" w:rsidRPr="00187C93" w:rsidRDefault="00DB1B84">
            <w:pPr>
              <w:pStyle w:val="Tabelltext"/>
              <w:spacing w:before="60" w:after="60"/>
              <w:jc w:val="center"/>
            </w:pPr>
            <w:r w:rsidRPr="00187C93">
              <w:t>49 063</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Differens prop.</w:t>
            </w:r>
          </w:p>
        </w:tc>
        <w:tc>
          <w:tcPr>
            <w:tcW w:w="992" w:type="dxa"/>
          </w:tcPr>
          <w:p w:rsidR="00DB1B84" w:rsidRPr="00187C93" w:rsidRDefault="00DB1B84">
            <w:pPr>
              <w:pStyle w:val="Tabelltext"/>
              <w:spacing w:before="60" w:after="60"/>
              <w:jc w:val="center"/>
            </w:pPr>
            <w:r w:rsidRPr="00187C93">
              <w:t>- 8 810</w:t>
            </w:r>
          </w:p>
        </w:tc>
        <w:tc>
          <w:tcPr>
            <w:tcW w:w="993" w:type="dxa"/>
          </w:tcPr>
          <w:p w:rsidR="00DB1B84" w:rsidRPr="00187C93" w:rsidRDefault="00DB1B84">
            <w:pPr>
              <w:pStyle w:val="Tabelltext"/>
              <w:spacing w:before="60" w:after="60"/>
              <w:ind w:left="-55"/>
              <w:jc w:val="center"/>
            </w:pPr>
            <w:r w:rsidRPr="00187C93">
              <w:t>- 10 730</w:t>
            </w:r>
          </w:p>
        </w:tc>
        <w:tc>
          <w:tcPr>
            <w:tcW w:w="992" w:type="dxa"/>
          </w:tcPr>
          <w:p w:rsidR="00DB1B84" w:rsidRPr="00187C93" w:rsidRDefault="00DB1B84">
            <w:pPr>
              <w:pStyle w:val="Tabelltext"/>
              <w:spacing w:before="60" w:after="60"/>
              <w:jc w:val="center"/>
            </w:pPr>
            <w:r w:rsidRPr="00187C93">
              <w:t>- 10 530</w:t>
            </w:r>
          </w:p>
        </w:tc>
      </w:tr>
    </w:tbl>
    <w:p w:rsidR="00DB1B84" w:rsidRPr="00187C93" w:rsidRDefault="00DB1B84">
      <w:pPr>
        <w:pStyle w:val="Tabellrubrik"/>
      </w:pPr>
      <w:r w:rsidRPr="00187C93">
        <w:t>Utgiftsområde 14</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346"/>
        <w:gridCol w:w="992"/>
        <w:gridCol w:w="993"/>
        <w:gridCol w:w="993"/>
      </w:tblGrid>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p>
        </w:tc>
        <w:tc>
          <w:tcPr>
            <w:tcW w:w="992" w:type="dxa"/>
          </w:tcPr>
          <w:p w:rsidR="00DB1B84" w:rsidRPr="00187C93" w:rsidRDefault="00DB1B84">
            <w:pPr>
              <w:pStyle w:val="Tabelltext"/>
              <w:spacing w:before="60" w:after="60"/>
              <w:jc w:val="center"/>
              <w:rPr>
                <w:b/>
              </w:rPr>
            </w:pPr>
            <w:r w:rsidRPr="00187C93">
              <w:rPr>
                <w:b/>
              </w:rPr>
              <w:t>2002</w:t>
            </w:r>
          </w:p>
        </w:tc>
        <w:tc>
          <w:tcPr>
            <w:tcW w:w="993" w:type="dxa"/>
          </w:tcPr>
          <w:p w:rsidR="00DB1B84" w:rsidRPr="00187C93" w:rsidRDefault="00DB1B84">
            <w:pPr>
              <w:pStyle w:val="Tabelltext"/>
              <w:spacing w:before="60" w:after="60"/>
              <w:jc w:val="center"/>
              <w:rPr>
                <w:b/>
              </w:rPr>
            </w:pPr>
            <w:r w:rsidRPr="00187C93">
              <w:rPr>
                <w:b/>
              </w:rPr>
              <w:t>2003</w:t>
            </w:r>
          </w:p>
        </w:tc>
        <w:tc>
          <w:tcPr>
            <w:tcW w:w="993"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Utskottet</w:t>
            </w:r>
          </w:p>
        </w:tc>
        <w:tc>
          <w:tcPr>
            <w:tcW w:w="992" w:type="dxa"/>
          </w:tcPr>
          <w:p w:rsidR="00DB1B84" w:rsidRPr="00187C93" w:rsidRDefault="00DB1B84">
            <w:pPr>
              <w:pStyle w:val="Tabelltext"/>
              <w:spacing w:before="60" w:after="60"/>
              <w:jc w:val="center"/>
            </w:pPr>
            <w:r w:rsidRPr="00187C93">
              <w:t>8 320</w:t>
            </w:r>
          </w:p>
        </w:tc>
        <w:tc>
          <w:tcPr>
            <w:tcW w:w="993" w:type="dxa"/>
          </w:tcPr>
          <w:p w:rsidR="00DB1B84" w:rsidRPr="00187C93" w:rsidRDefault="00DB1B84">
            <w:pPr>
              <w:pStyle w:val="Tabelltext"/>
              <w:spacing w:before="60" w:after="60"/>
              <w:jc w:val="center"/>
            </w:pPr>
            <w:r w:rsidRPr="00187C93">
              <w:t>8 279</w:t>
            </w:r>
          </w:p>
        </w:tc>
        <w:tc>
          <w:tcPr>
            <w:tcW w:w="993" w:type="dxa"/>
          </w:tcPr>
          <w:p w:rsidR="00DB1B84" w:rsidRPr="00187C93" w:rsidRDefault="00DB1B84">
            <w:pPr>
              <w:pStyle w:val="Tabelltext"/>
              <w:spacing w:before="60" w:after="60"/>
              <w:jc w:val="center"/>
            </w:pPr>
            <w:r w:rsidRPr="00187C93">
              <w:t>8 299</w:t>
            </w:r>
          </w:p>
        </w:tc>
      </w:tr>
      <w:tr w:rsidR="00000000" w:rsidRPr="00187C93">
        <w:tblPrEx>
          <w:tblCellMar>
            <w:top w:w="0" w:type="dxa"/>
            <w:bottom w:w="0" w:type="dxa"/>
          </w:tblCellMar>
        </w:tblPrEx>
        <w:tc>
          <w:tcPr>
            <w:tcW w:w="1346" w:type="dxa"/>
          </w:tcPr>
          <w:p w:rsidR="00DB1B84" w:rsidRPr="00187C93" w:rsidRDefault="00DB1B84">
            <w:pPr>
              <w:pStyle w:val="Tabelltext"/>
              <w:spacing w:before="60" w:after="60"/>
              <w:rPr>
                <w:b/>
              </w:rPr>
            </w:pPr>
            <w:r w:rsidRPr="00187C93">
              <w:rPr>
                <w:b/>
              </w:rPr>
              <w:t>Differens prop.</w:t>
            </w:r>
          </w:p>
        </w:tc>
        <w:tc>
          <w:tcPr>
            <w:tcW w:w="992" w:type="dxa"/>
          </w:tcPr>
          <w:p w:rsidR="00DB1B84" w:rsidRPr="00187C93" w:rsidRDefault="00DB1B84">
            <w:pPr>
              <w:pStyle w:val="Tabelltext"/>
              <w:spacing w:before="60" w:after="60"/>
              <w:jc w:val="center"/>
            </w:pPr>
            <w:r w:rsidRPr="00187C93">
              <w:t>- 136</w:t>
            </w:r>
          </w:p>
        </w:tc>
        <w:tc>
          <w:tcPr>
            <w:tcW w:w="993" w:type="dxa"/>
          </w:tcPr>
          <w:p w:rsidR="00DB1B84" w:rsidRPr="00187C93" w:rsidRDefault="00DB1B84">
            <w:pPr>
              <w:pStyle w:val="Tabelltext"/>
              <w:spacing w:before="60" w:after="60"/>
              <w:jc w:val="center"/>
            </w:pPr>
            <w:r w:rsidRPr="00187C93">
              <w:t>- 146</w:t>
            </w:r>
          </w:p>
        </w:tc>
        <w:tc>
          <w:tcPr>
            <w:tcW w:w="993" w:type="dxa"/>
          </w:tcPr>
          <w:p w:rsidR="00DB1B84" w:rsidRPr="00187C93" w:rsidRDefault="00DB1B84">
            <w:pPr>
              <w:pStyle w:val="Tabelltext"/>
              <w:spacing w:before="60" w:after="60"/>
              <w:jc w:val="center"/>
            </w:pPr>
            <w:r w:rsidRPr="00187C93">
              <w:t>- 146</w:t>
            </w:r>
          </w:p>
        </w:tc>
      </w:tr>
    </w:tbl>
    <w:p w:rsidR="00DB1B84" w:rsidRPr="00187C93" w:rsidRDefault="00DB1B84">
      <w:pPr>
        <w:pStyle w:val="Rubrik2"/>
      </w:pPr>
      <w:bookmarkStart w:id="29" w:name="_Toc515765292"/>
      <w:r w:rsidRPr="00187C93">
        <w:t>5. Preliminära ramar för utgiftsområdena 13 och 14 åren 2002–2004 (Centerpartiet)</w:t>
      </w:r>
      <w:bookmarkEnd w:id="29"/>
    </w:p>
    <w:p w:rsidR="00DB1B84" w:rsidRPr="00187C93" w:rsidRDefault="00DB1B84">
      <w:pPr>
        <w:pStyle w:val="Normaltindrag"/>
      </w:pPr>
      <w:r w:rsidRPr="00187C93">
        <w:t>av Margareta Andersson (c).</w:t>
      </w:r>
    </w:p>
    <w:p w:rsidR="00DB1B84" w:rsidRPr="00187C93" w:rsidRDefault="00DB1B84">
      <w:pPr>
        <w:pStyle w:val="R3"/>
      </w:pPr>
      <w:r w:rsidRPr="00187C93">
        <w:t>Ställningstagande</w:t>
      </w:r>
    </w:p>
    <w:p w:rsidR="00DB1B84" w:rsidRPr="00187C93" w:rsidRDefault="00DB1B84">
      <w:r w:rsidRPr="00187C93">
        <w:t>Vi har i den avvikande meningen nr 1 gemensamt med Moderaterna, Kris</w:t>
      </w:r>
      <w:r w:rsidRPr="00187C93">
        <w:t>t</w:t>
      </w:r>
      <w:r w:rsidRPr="00187C93">
        <w:t>demokraterna och Folkpartiet lämnat en övergripande beskrivning av hur vi anser att den allmänna inriktningen av politiken bör utformas. När det gäller regeringens förslag till preliminär fördelning av utgifterna på utgiftsområden vill vi anföra följande.</w:t>
      </w:r>
    </w:p>
    <w:p w:rsidR="00DB1B84" w:rsidRPr="00187C93" w:rsidRDefault="00DB1B84">
      <w:pPr>
        <w:pStyle w:val="R4"/>
      </w:pPr>
      <w:r w:rsidRPr="00187C93">
        <w:t>Utgiftsområde 13</w:t>
      </w:r>
    </w:p>
    <w:p w:rsidR="00DB1B84" w:rsidRPr="00187C93" w:rsidRDefault="00DB1B84">
      <w:pPr>
        <w:spacing w:before="187"/>
      </w:pPr>
      <w:r w:rsidRPr="00187C93">
        <w:t>Vi anser att den nuvarande utformningen av utgiftsområdena 13 och 14 bör ändras. Även vissa delar av utgiftsområde 15 bör ändras. Enligt vår uppfat</w:t>
      </w:r>
      <w:r w:rsidRPr="00187C93">
        <w:t>t</w:t>
      </w:r>
      <w:r w:rsidRPr="00187C93">
        <w:t>ning bör de kostnader som är kopplade till försörjningsstödet samlas under utgiftsområde 13 medan de övriga kostnaderna som inte hänför sig dit skall samlas under utgiftsområde 14. En sådan förändring ger enligt vår mening en klarare och överskådligare bild över arbetslöshetens kostnader samtidigt som ökade samordning</w:t>
      </w:r>
      <w:r w:rsidRPr="00187C93">
        <w:t>s</w:t>
      </w:r>
      <w:r w:rsidRPr="00187C93">
        <w:t>vinster kan göras och en större rättvisa uppnås.</w:t>
      </w:r>
    </w:p>
    <w:p w:rsidR="00DB1B84" w:rsidRPr="00187C93" w:rsidRDefault="00DB1B84">
      <w:pPr>
        <w:pStyle w:val="Normaltindrag"/>
      </w:pPr>
      <w:r w:rsidRPr="00187C93">
        <w:t>Med hänsyn till att arbetslöshetsförsäkringen är en omställningsförsäkring anser vi att det är viktigt att åtgärder sätts in redan från första</w:t>
      </w:r>
      <w:r w:rsidRPr="00187C93">
        <w:t xml:space="preserve"> dagen. Det första och grundläggande bör vara att se till att den arbetslöse erhåller en gymnasiekompetens. Därefter kan andra åtgärder sättas in och då i första hand högkvalitativa yrkesutbildningar som ökar den enskildes möjligheter att få arbete. Arbetslöshetsförsäkringens karaktär av omställningsförsäkring bör göras tydligare genom en successiv neddragning av ersättningsnivåerna. Ersättningen bör vara 80 % av den tidigare inkomsten under de första 200 dagarna för att sedan minska. Den maximala ersättnin</w:t>
      </w:r>
      <w:r w:rsidRPr="00187C93">
        <w:t>gsperioden bör vara 600 dagar. Därefter bör en lägre ersättning utges. Ersättning skall vara permanent och den bör till skillnad från socialbidrag inte reduceras på grund av den arbetslöses besparingar eller fastighetsinnehav.</w:t>
      </w:r>
    </w:p>
    <w:p w:rsidR="00DB1B84" w:rsidRPr="00187C93" w:rsidRDefault="00DB1B84">
      <w:pPr>
        <w:pStyle w:val="Normaltindrag"/>
      </w:pPr>
      <w:r w:rsidRPr="00187C93">
        <w:t>Vi anser att grundbeloppet i arbetslöshetsförsäkringen bör höjas. Däremot motsätter vi oss att den högsta ersättningsnivån höjs. Enligt vår uppfattning kan dessa resurser i stället användas för att öka den enskildes möjligheter att ta ett arbete.</w:t>
      </w:r>
    </w:p>
    <w:p w:rsidR="00DB1B84" w:rsidRPr="00187C93" w:rsidRDefault="00DB1B84">
      <w:pPr>
        <w:pStyle w:val="R4"/>
      </w:pPr>
      <w:r w:rsidRPr="00187C93">
        <w:t>Utgiftsområde 14</w:t>
      </w:r>
    </w:p>
    <w:p w:rsidR="00DB1B84" w:rsidRPr="00187C93" w:rsidRDefault="00DB1B84">
      <w:pPr>
        <w:spacing w:before="187"/>
      </w:pPr>
      <w:r w:rsidRPr="00187C93">
        <w:t>Som framgår ovan föreslår vi att utgiftsområde 14 förutom kostnader som berör arbetsliv även skall omfatta kostnader för köp av arbetsmarknadsutbil</w:t>
      </w:r>
      <w:r w:rsidRPr="00187C93">
        <w:t>d</w:t>
      </w:r>
      <w:r w:rsidRPr="00187C93">
        <w:t>ning m.m., administration och förvaltning. Genom den föreslagna förändrin</w:t>
      </w:r>
      <w:r w:rsidRPr="00187C93">
        <w:t>g</w:t>
      </w:r>
      <w:r w:rsidRPr="00187C93">
        <w:t>en blir det tydligare vilka administrativa kostnader arbetslösheten medför. Vi motsätter oss ett genomförande av de aviserade personalförstärkningarna inom AMV.</w:t>
      </w:r>
    </w:p>
    <w:p w:rsidR="00DB1B84" w:rsidRPr="00187C93" w:rsidRDefault="00DB1B84">
      <w:pPr>
        <w:pStyle w:val="Normaltindrag"/>
      </w:pPr>
      <w:r w:rsidRPr="00187C93">
        <w:t>Med hänsyn till det anförda anser vi sammanfattningsvis att den i motion Fi19 yrkande 4 delvis (c) föreslagna preliminära fördelningen på utgiftsomr</w:t>
      </w:r>
      <w:r w:rsidRPr="00187C93">
        <w:t>å</w:t>
      </w:r>
      <w:r w:rsidRPr="00187C93">
        <w:t>den bör godkännas som riktlinje för regeringens budgetarbete. Detta innebär att propositionen i motsvarande delar (prop. yrk. 4 delvis) samt motionerna Fi17 yrkande 5 delvis (m), Fi18 yrkande 7 delvis (kd), och Fi20 yrkande 4 delvis (fp) bör avslås. Vårt förslag till riksdagsbeslut framgår av nedanstående t</w:t>
      </w:r>
      <w:r w:rsidRPr="00187C93">
        <w:t>a</w:t>
      </w:r>
      <w:r w:rsidRPr="00187C93">
        <w:t>beller</w:t>
      </w:r>
    </w:p>
    <w:p w:rsidR="00DB1B84" w:rsidRPr="00187C93" w:rsidRDefault="00DB1B84">
      <w:pPr>
        <w:pStyle w:val="Tabellrubrik"/>
      </w:pPr>
      <w:r w:rsidRPr="00187C93">
        <w:t xml:space="preserve">Utgiftsområde 13 </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198"/>
        <w:gridCol w:w="999"/>
        <w:gridCol w:w="992"/>
        <w:gridCol w:w="992"/>
      </w:tblGrid>
      <w:tr w:rsidR="00000000" w:rsidRPr="00187C93">
        <w:tblPrEx>
          <w:tblCellMar>
            <w:top w:w="0" w:type="dxa"/>
            <w:bottom w:w="0" w:type="dxa"/>
          </w:tblCellMar>
        </w:tblPrEx>
        <w:tc>
          <w:tcPr>
            <w:tcW w:w="1198" w:type="dxa"/>
          </w:tcPr>
          <w:p w:rsidR="00DB1B84" w:rsidRPr="00187C93" w:rsidRDefault="00DB1B84">
            <w:pPr>
              <w:pStyle w:val="Tabelltext"/>
              <w:spacing w:before="60" w:after="60"/>
            </w:pPr>
          </w:p>
        </w:tc>
        <w:tc>
          <w:tcPr>
            <w:tcW w:w="999" w:type="dxa"/>
          </w:tcPr>
          <w:p w:rsidR="00DB1B84" w:rsidRPr="00187C93" w:rsidRDefault="00DB1B84">
            <w:pPr>
              <w:pStyle w:val="Tabelltext"/>
              <w:spacing w:before="60" w:after="60"/>
              <w:jc w:val="center"/>
              <w:rPr>
                <w:b/>
              </w:rPr>
            </w:pPr>
            <w:r w:rsidRPr="00187C93">
              <w:rPr>
                <w:b/>
              </w:rPr>
              <w:t>2002</w:t>
            </w:r>
          </w:p>
        </w:tc>
        <w:tc>
          <w:tcPr>
            <w:tcW w:w="992" w:type="dxa"/>
          </w:tcPr>
          <w:p w:rsidR="00DB1B84" w:rsidRPr="00187C93" w:rsidRDefault="00DB1B84">
            <w:pPr>
              <w:pStyle w:val="Tabelltext"/>
              <w:spacing w:before="60" w:after="60"/>
              <w:jc w:val="center"/>
              <w:rPr>
                <w:b/>
              </w:rPr>
            </w:pPr>
            <w:r w:rsidRPr="00187C93">
              <w:rPr>
                <w:b/>
              </w:rPr>
              <w:t>2003</w:t>
            </w:r>
          </w:p>
        </w:tc>
        <w:tc>
          <w:tcPr>
            <w:tcW w:w="992"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pPr>
            <w:r w:rsidRPr="00187C93">
              <w:t>Utskottet</w:t>
            </w:r>
          </w:p>
        </w:tc>
        <w:tc>
          <w:tcPr>
            <w:tcW w:w="999" w:type="dxa"/>
          </w:tcPr>
          <w:p w:rsidR="00DB1B84" w:rsidRPr="00187C93" w:rsidRDefault="00DB1B84">
            <w:pPr>
              <w:pStyle w:val="Tabelltext"/>
              <w:spacing w:before="60" w:after="60"/>
              <w:jc w:val="center"/>
            </w:pPr>
            <w:r w:rsidRPr="00187C93">
              <w:t>29 510</w:t>
            </w:r>
          </w:p>
        </w:tc>
        <w:tc>
          <w:tcPr>
            <w:tcW w:w="992" w:type="dxa"/>
          </w:tcPr>
          <w:p w:rsidR="00DB1B84" w:rsidRPr="00187C93" w:rsidRDefault="00DB1B84">
            <w:pPr>
              <w:pStyle w:val="Tabelltext"/>
              <w:spacing w:before="60" w:after="60"/>
              <w:jc w:val="center"/>
            </w:pPr>
            <w:r w:rsidRPr="00187C93">
              <w:t>26 575</w:t>
            </w:r>
          </w:p>
        </w:tc>
        <w:tc>
          <w:tcPr>
            <w:tcW w:w="992" w:type="dxa"/>
          </w:tcPr>
          <w:p w:rsidR="00DB1B84" w:rsidRPr="00187C93" w:rsidRDefault="00DB1B84">
            <w:pPr>
              <w:pStyle w:val="Tabelltext"/>
              <w:spacing w:before="60" w:after="60"/>
              <w:jc w:val="center"/>
            </w:pPr>
            <w:r w:rsidRPr="00187C93">
              <w:t>26 075</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pPr>
            <w:r w:rsidRPr="00187C93">
              <w:t>Differens prop.</w:t>
            </w:r>
          </w:p>
        </w:tc>
        <w:tc>
          <w:tcPr>
            <w:tcW w:w="999" w:type="dxa"/>
          </w:tcPr>
          <w:p w:rsidR="00DB1B84" w:rsidRPr="00187C93" w:rsidRDefault="00DB1B84">
            <w:pPr>
              <w:pStyle w:val="Tabelltext"/>
              <w:spacing w:before="60" w:after="60"/>
              <w:jc w:val="center"/>
            </w:pPr>
            <w:r w:rsidRPr="00187C93">
              <w:t>- 29 689</w:t>
            </w:r>
          </w:p>
        </w:tc>
        <w:tc>
          <w:tcPr>
            <w:tcW w:w="992" w:type="dxa"/>
          </w:tcPr>
          <w:p w:rsidR="00DB1B84" w:rsidRPr="00187C93" w:rsidRDefault="00DB1B84">
            <w:pPr>
              <w:pStyle w:val="Tabelltext"/>
              <w:spacing w:before="60" w:after="60"/>
              <w:jc w:val="center"/>
            </w:pPr>
            <w:r w:rsidRPr="00187C93">
              <w:t>- 33 384</w:t>
            </w:r>
          </w:p>
        </w:tc>
        <w:tc>
          <w:tcPr>
            <w:tcW w:w="992" w:type="dxa"/>
          </w:tcPr>
          <w:p w:rsidR="00DB1B84" w:rsidRPr="00187C93" w:rsidRDefault="00DB1B84">
            <w:pPr>
              <w:pStyle w:val="Tabelltext"/>
              <w:spacing w:before="60" w:after="60"/>
              <w:jc w:val="center"/>
            </w:pPr>
            <w:r w:rsidRPr="00187C93">
              <w:t>- 33 518</w:t>
            </w:r>
          </w:p>
        </w:tc>
      </w:tr>
    </w:tbl>
    <w:p w:rsidR="00DB1B84" w:rsidRPr="00187C93" w:rsidRDefault="00DB1B84">
      <w:pPr>
        <w:pStyle w:val="Tabellrubrik"/>
      </w:pPr>
      <w:r w:rsidRPr="00187C93">
        <w:t>Utgiftsområde 14</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198"/>
        <w:gridCol w:w="999"/>
        <w:gridCol w:w="992"/>
        <w:gridCol w:w="992"/>
      </w:tblGrid>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p>
        </w:tc>
        <w:tc>
          <w:tcPr>
            <w:tcW w:w="999" w:type="dxa"/>
          </w:tcPr>
          <w:p w:rsidR="00DB1B84" w:rsidRPr="00187C93" w:rsidRDefault="00DB1B84">
            <w:pPr>
              <w:pStyle w:val="Tabelltext"/>
              <w:spacing w:before="60" w:after="60"/>
              <w:jc w:val="center"/>
              <w:rPr>
                <w:b/>
              </w:rPr>
            </w:pPr>
            <w:r w:rsidRPr="00187C93">
              <w:rPr>
                <w:b/>
              </w:rPr>
              <w:t>2002</w:t>
            </w:r>
          </w:p>
        </w:tc>
        <w:tc>
          <w:tcPr>
            <w:tcW w:w="992" w:type="dxa"/>
          </w:tcPr>
          <w:p w:rsidR="00DB1B84" w:rsidRPr="00187C93" w:rsidRDefault="00DB1B84">
            <w:pPr>
              <w:pStyle w:val="Tabelltext"/>
              <w:spacing w:before="60" w:after="60"/>
              <w:jc w:val="center"/>
              <w:rPr>
                <w:b/>
              </w:rPr>
            </w:pPr>
            <w:r w:rsidRPr="00187C93">
              <w:rPr>
                <w:b/>
              </w:rPr>
              <w:t>2003</w:t>
            </w:r>
          </w:p>
        </w:tc>
        <w:tc>
          <w:tcPr>
            <w:tcW w:w="992"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r w:rsidRPr="00187C93">
              <w:rPr>
                <w:b/>
              </w:rPr>
              <w:t>Utskottet</w:t>
            </w:r>
          </w:p>
        </w:tc>
        <w:tc>
          <w:tcPr>
            <w:tcW w:w="999" w:type="dxa"/>
          </w:tcPr>
          <w:p w:rsidR="00DB1B84" w:rsidRPr="00187C93" w:rsidRDefault="00DB1B84">
            <w:pPr>
              <w:pStyle w:val="Tabelltext"/>
              <w:spacing w:before="60" w:after="60"/>
              <w:jc w:val="center"/>
            </w:pPr>
            <w:r w:rsidRPr="00187C93">
              <w:t>29 880</w:t>
            </w:r>
          </w:p>
        </w:tc>
        <w:tc>
          <w:tcPr>
            <w:tcW w:w="992" w:type="dxa"/>
          </w:tcPr>
          <w:p w:rsidR="00DB1B84" w:rsidRPr="00187C93" w:rsidRDefault="00DB1B84">
            <w:pPr>
              <w:pStyle w:val="Tabelltext"/>
              <w:spacing w:before="60" w:after="60"/>
              <w:jc w:val="center"/>
            </w:pPr>
            <w:r w:rsidRPr="00187C93">
              <w:t>30 622</w:t>
            </w:r>
          </w:p>
        </w:tc>
        <w:tc>
          <w:tcPr>
            <w:tcW w:w="992" w:type="dxa"/>
          </w:tcPr>
          <w:p w:rsidR="00DB1B84" w:rsidRPr="00187C93" w:rsidRDefault="00DB1B84">
            <w:pPr>
              <w:pStyle w:val="Tabelltext"/>
              <w:spacing w:before="60" w:after="60"/>
              <w:jc w:val="center"/>
            </w:pPr>
            <w:r w:rsidRPr="00187C93">
              <w:t>30 600</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r w:rsidRPr="00187C93">
              <w:rPr>
                <w:b/>
              </w:rPr>
              <w:t>Differens prop.</w:t>
            </w:r>
          </w:p>
        </w:tc>
        <w:tc>
          <w:tcPr>
            <w:tcW w:w="999" w:type="dxa"/>
          </w:tcPr>
          <w:p w:rsidR="00DB1B84" w:rsidRPr="00187C93" w:rsidRDefault="00DB1B84">
            <w:pPr>
              <w:pStyle w:val="Tabelltext"/>
              <w:spacing w:before="60" w:after="60"/>
              <w:jc w:val="center"/>
            </w:pPr>
            <w:r w:rsidRPr="00187C93">
              <w:t>+ 21 424</w:t>
            </w:r>
          </w:p>
        </w:tc>
        <w:tc>
          <w:tcPr>
            <w:tcW w:w="992" w:type="dxa"/>
          </w:tcPr>
          <w:p w:rsidR="00DB1B84" w:rsidRPr="00187C93" w:rsidRDefault="00DB1B84">
            <w:pPr>
              <w:pStyle w:val="Tabelltext"/>
              <w:spacing w:before="60" w:after="60"/>
              <w:jc w:val="center"/>
            </w:pPr>
            <w:r w:rsidRPr="00187C93">
              <w:t>+ 22 197</w:t>
            </w:r>
          </w:p>
        </w:tc>
        <w:tc>
          <w:tcPr>
            <w:tcW w:w="992" w:type="dxa"/>
          </w:tcPr>
          <w:p w:rsidR="00DB1B84" w:rsidRPr="00187C93" w:rsidRDefault="00DB1B84">
            <w:pPr>
              <w:pStyle w:val="Tabelltext"/>
              <w:spacing w:before="60" w:after="60"/>
              <w:jc w:val="center"/>
            </w:pPr>
            <w:r w:rsidRPr="00187C93">
              <w:t>+ 22 155</w:t>
            </w:r>
          </w:p>
        </w:tc>
      </w:tr>
    </w:tbl>
    <w:p w:rsidR="00DB1B84" w:rsidRPr="00187C93" w:rsidRDefault="00DB1B84">
      <w:pPr>
        <w:pStyle w:val="Rubrik2"/>
      </w:pPr>
    </w:p>
    <w:p w:rsidR="00DB1B84" w:rsidRPr="00187C93" w:rsidRDefault="00DB1B84">
      <w:pPr>
        <w:pStyle w:val="Rubrik2"/>
      </w:pPr>
      <w:r w:rsidRPr="00187C93">
        <w:br w:type="page"/>
      </w:r>
      <w:bookmarkStart w:id="30" w:name="_Toc515765293"/>
      <w:r w:rsidRPr="00187C93">
        <w:t>6. Preliminära ramar för utgiftsområdena 13 och 14 åren 2002–2004 (Folkpartiet)</w:t>
      </w:r>
      <w:bookmarkEnd w:id="30"/>
    </w:p>
    <w:p w:rsidR="00DB1B84" w:rsidRPr="00187C93" w:rsidRDefault="00DB1B84">
      <w:pPr>
        <w:pStyle w:val="Normaltindrag"/>
      </w:pPr>
      <w:r w:rsidRPr="00187C93">
        <w:t>av Elver Jonsson (fp).</w:t>
      </w:r>
    </w:p>
    <w:p w:rsidR="00DB1B84" w:rsidRPr="00187C93" w:rsidRDefault="00DB1B84">
      <w:pPr>
        <w:pStyle w:val="R3"/>
      </w:pPr>
      <w:r w:rsidRPr="00187C93">
        <w:t>Ställningstagande</w:t>
      </w:r>
    </w:p>
    <w:p w:rsidR="00DB1B84" w:rsidRPr="00187C93" w:rsidRDefault="00DB1B84">
      <w:r w:rsidRPr="00187C93">
        <w:t>Vi har i den avvikande meningen nr 1 gemensamt med Moderaterna, Kris</w:t>
      </w:r>
      <w:r w:rsidRPr="00187C93">
        <w:t>t</w:t>
      </w:r>
      <w:r w:rsidRPr="00187C93">
        <w:t>demokraterna och Centerpartiet lämnat en övergripande beskrivning av hur vi anser att den allmänna inriktningen av politiken bör utformas. När det gäller regeringens förslag till preliminär fördelning av utgifterna på utgiftsområden vill vi anföra följande.</w:t>
      </w:r>
    </w:p>
    <w:p w:rsidR="00DB1B84" w:rsidRPr="00187C93" w:rsidRDefault="00DB1B84">
      <w:pPr>
        <w:pStyle w:val="R4"/>
      </w:pPr>
      <w:r w:rsidRPr="00187C93">
        <w:t xml:space="preserve">Utgiftsområde 13 </w:t>
      </w:r>
    </w:p>
    <w:p w:rsidR="00DB1B84" w:rsidRPr="00187C93" w:rsidRDefault="00DB1B84">
      <w:pPr>
        <w:spacing w:before="187"/>
      </w:pPr>
      <w:r w:rsidRPr="00187C93">
        <w:t>Som framgår av den gemensamma avvikande meningen är nödvändigt att reformera arbetsmarknadspolitiken. Vi anser bl.a. att AMS i sin nuvarande form bör läggas ned och att man i stället bör kunna använda sig av andra aktörer, exempelvis bemanningsföretag. Genom en sådan förändring kan utgifterna minskas samtidigt som effektiviteten ökar. I den nu rådande hö</w:t>
      </w:r>
      <w:r w:rsidRPr="00187C93">
        <w:t>g</w:t>
      </w:r>
      <w:r w:rsidRPr="00187C93">
        <w:t>konjunkturen bör det enligt vår uppfattning vara möjligt att minska omfat</w:t>
      </w:r>
      <w:r w:rsidRPr="00187C93">
        <w:t>t</w:t>
      </w:r>
      <w:r w:rsidRPr="00187C93">
        <w:t>ningen av de arbetsmarknadspolitiska programmen. Arbetslöshetsförsäkrin</w:t>
      </w:r>
      <w:r w:rsidRPr="00187C93">
        <w:t>g</w:t>
      </w:r>
      <w:r w:rsidRPr="00187C93">
        <w:t>en måste reformeras genom att egenavgiften blir högre. Därigenom minskar de offentliga utgifterna. Den enskilde skall kompenseras för den högre avgi</w:t>
      </w:r>
      <w:r w:rsidRPr="00187C93">
        <w:t>f</w:t>
      </w:r>
      <w:r w:rsidRPr="00187C93">
        <w:t>ten genom sänkt skatt.</w:t>
      </w:r>
    </w:p>
    <w:p w:rsidR="00DB1B84" w:rsidRPr="00187C93" w:rsidRDefault="00DB1B84">
      <w:pPr>
        <w:pStyle w:val="R4"/>
      </w:pPr>
      <w:r w:rsidRPr="00187C93">
        <w:t>Utgiftsområde 14</w:t>
      </w:r>
    </w:p>
    <w:p w:rsidR="00DB1B84" w:rsidRPr="00187C93" w:rsidRDefault="00DB1B84">
      <w:pPr>
        <w:spacing w:before="187"/>
      </w:pPr>
      <w:r w:rsidRPr="00187C93">
        <w:t>Vi anser att anslagen till olika organisationer bör minskas.</w:t>
      </w:r>
    </w:p>
    <w:p w:rsidR="00DB1B84" w:rsidRPr="00187C93" w:rsidRDefault="00DB1B84">
      <w:pPr>
        <w:pStyle w:val="Normaltindrag"/>
      </w:pPr>
      <w:r w:rsidRPr="00187C93">
        <w:t>Med hänsyn till det anförda anser vi sammanfattningsvis att den i motion Fi20 yrkande 4 delvis (fp) föreslagna preliminära fördelningen på utgiftso</w:t>
      </w:r>
      <w:r w:rsidRPr="00187C93">
        <w:t>m</w:t>
      </w:r>
      <w:r w:rsidRPr="00187C93">
        <w:t>råden bör godkännas som riktlinje för regeringens budgetarbete. Detta innebär att propositionen i motsvarande delar (prop. yrk. 4 delvis) samt motionerna Fi17 yrkande 5 delvis (m), Fi18 yrkande 7 delvis (kd) och Fi19 yrkande 4 delvis  bör avslås. Vårt förslag till riksdagsbeslut framgår av nedanstående tabeller</w:t>
      </w:r>
    </w:p>
    <w:p w:rsidR="00DB1B84" w:rsidRPr="00187C93" w:rsidRDefault="00DB1B84">
      <w:pPr>
        <w:pStyle w:val="Tabellrubrik"/>
      </w:pPr>
      <w:r w:rsidRPr="00187C93">
        <w:t xml:space="preserve">Utgiftsområde 13 </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198"/>
        <w:gridCol w:w="857"/>
        <w:gridCol w:w="850"/>
        <w:gridCol w:w="851"/>
      </w:tblGrid>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p>
        </w:tc>
        <w:tc>
          <w:tcPr>
            <w:tcW w:w="857" w:type="dxa"/>
          </w:tcPr>
          <w:p w:rsidR="00DB1B84" w:rsidRPr="00187C93" w:rsidRDefault="00DB1B84">
            <w:pPr>
              <w:pStyle w:val="Tabelltext"/>
              <w:spacing w:before="60" w:after="60"/>
              <w:jc w:val="center"/>
              <w:rPr>
                <w:b/>
              </w:rPr>
            </w:pPr>
            <w:r w:rsidRPr="00187C93">
              <w:rPr>
                <w:b/>
              </w:rPr>
              <w:t>2002</w:t>
            </w:r>
          </w:p>
        </w:tc>
        <w:tc>
          <w:tcPr>
            <w:tcW w:w="850" w:type="dxa"/>
          </w:tcPr>
          <w:p w:rsidR="00DB1B84" w:rsidRPr="00187C93" w:rsidRDefault="00DB1B84">
            <w:pPr>
              <w:pStyle w:val="Tabelltext"/>
              <w:spacing w:before="60" w:after="60"/>
              <w:jc w:val="center"/>
              <w:rPr>
                <w:b/>
              </w:rPr>
            </w:pPr>
            <w:r w:rsidRPr="00187C93">
              <w:rPr>
                <w:b/>
              </w:rPr>
              <w:t>2003</w:t>
            </w:r>
          </w:p>
        </w:tc>
        <w:tc>
          <w:tcPr>
            <w:tcW w:w="851"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r w:rsidRPr="00187C93">
              <w:rPr>
                <w:b/>
              </w:rPr>
              <w:t>Utskottet</w:t>
            </w:r>
          </w:p>
        </w:tc>
        <w:tc>
          <w:tcPr>
            <w:tcW w:w="857" w:type="dxa"/>
          </w:tcPr>
          <w:p w:rsidR="00DB1B84" w:rsidRPr="00187C93" w:rsidRDefault="00DB1B84">
            <w:pPr>
              <w:pStyle w:val="Tabelltext"/>
              <w:spacing w:before="60" w:after="60"/>
              <w:jc w:val="center"/>
            </w:pPr>
            <w:r w:rsidRPr="00187C93">
              <w:t>44 764</w:t>
            </w:r>
          </w:p>
        </w:tc>
        <w:tc>
          <w:tcPr>
            <w:tcW w:w="850" w:type="dxa"/>
          </w:tcPr>
          <w:p w:rsidR="00DB1B84" w:rsidRPr="00187C93" w:rsidRDefault="00DB1B84">
            <w:pPr>
              <w:pStyle w:val="Tabelltext"/>
              <w:spacing w:before="60" w:after="60"/>
              <w:jc w:val="center"/>
            </w:pPr>
            <w:r w:rsidRPr="00187C93">
              <w:t>44 954</w:t>
            </w:r>
          </w:p>
        </w:tc>
        <w:tc>
          <w:tcPr>
            <w:tcW w:w="851" w:type="dxa"/>
          </w:tcPr>
          <w:p w:rsidR="00DB1B84" w:rsidRPr="00187C93" w:rsidRDefault="00DB1B84">
            <w:pPr>
              <w:pStyle w:val="Tabelltext"/>
              <w:spacing w:before="60" w:after="60"/>
              <w:jc w:val="center"/>
            </w:pPr>
            <w:r w:rsidRPr="00187C93">
              <w:t>45 138</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r w:rsidRPr="00187C93">
              <w:rPr>
                <w:b/>
              </w:rPr>
              <w:t>Differens prop.</w:t>
            </w:r>
          </w:p>
        </w:tc>
        <w:tc>
          <w:tcPr>
            <w:tcW w:w="857" w:type="dxa"/>
          </w:tcPr>
          <w:p w:rsidR="00DB1B84" w:rsidRPr="00187C93" w:rsidRDefault="00DB1B84">
            <w:pPr>
              <w:pStyle w:val="Tabelltext"/>
              <w:spacing w:before="60" w:after="60"/>
              <w:jc w:val="center"/>
            </w:pPr>
            <w:r w:rsidRPr="00187C93">
              <w:t>- 14 435</w:t>
            </w:r>
          </w:p>
        </w:tc>
        <w:tc>
          <w:tcPr>
            <w:tcW w:w="850" w:type="dxa"/>
          </w:tcPr>
          <w:p w:rsidR="00DB1B84" w:rsidRPr="00187C93" w:rsidRDefault="00DB1B84">
            <w:pPr>
              <w:pStyle w:val="Tabelltext"/>
              <w:spacing w:before="60" w:after="60"/>
              <w:jc w:val="center"/>
            </w:pPr>
            <w:r w:rsidRPr="00187C93">
              <w:t>- 15 005</w:t>
            </w:r>
          </w:p>
        </w:tc>
        <w:tc>
          <w:tcPr>
            <w:tcW w:w="851" w:type="dxa"/>
          </w:tcPr>
          <w:p w:rsidR="00DB1B84" w:rsidRPr="00187C93" w:rsidRDefault="00DB1B84">
            <w:pPr>
              <w:pStyle w:val="Tabelltext"/>
              <w:spacing w:before="60" w:after="60"/>
              <w:jc w:val="center"/>
            </w:pPr>
            <w:r w:rsidRPr="00187C93">
              <w:t>- 14 455</w:t>
            </w:r>
          </w:p>
        </w:tc>
      </w:tr>
    </w:tbl>
    <w:p w:rsidR="00DB1B84" w:rsidRPr="00187C93" w:rsidRDefault="00DB1B84">
      <w:pPr>
        <w:pStyle w:val="Tabellrubrik"/>
      </w:pPr>
    </w:p>
    <w:p w:rsidR="00DB1B84" w:rsidRPr="00187C93" w:rsidRDefault="00DB1B84">
      <w:pPr>
        <w:pStyle w:val="Tabellrubrik"/>
      </w:pPr>
      <w:r w:rsidRPr="00187C93">
        <w:br w:type="page"/>
        <w:t>Utgiftsområde 14</w:t>
      </w:r>
    </w:p>
    <w:p w:rsidR="00DB1B84" w:rsidRPr="00187C93" w:rsidRDefault="00DB1B84">
      <w:pPr>
        <w:pStyle w:val="TabellNot"/>
      </w:pPr>
      <w:r w:rsidRPr="00187C93">
        <w:t>Miljoner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198"/>
        <w:gridCol w:w="857"/>
        <w:gridCol w:w="850"/>
        <w:gridCol w:w="851"/>
      </w:tblGrid>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p>
        </w:tc>
        <w:tc>
          <w:tcPr>
            <w:tcW w:w="857" w:type="dxa"/>
          </w:tcPr>
          <w:p w:rsidR="00DB1B84" w:rsidRPr="00187C93" w:rsidRDefault="00DB1B84">
            <w:pPr>
              <w:pStyle w:val="Tabelltext"/>
              <w:spacing w:before="60" w:after="60"/>
              <w:jc w:val="center"/>
              <w:rPr>
                <w:b/>
              </w:rPr>
            </w:pPr>
            <w:r w:rsidRPr="00187C93">
              <w:rPr>
                <w:b/>
              </w:rPr>
              <w:t>2002</w:t>
            </w:r>
          </w:p>
        </w:tc>
        <w:tc>
          <w:tcPr>
            <w:tcW w:w="850" w:type="dxa"/>
          </w:tcPr>
          <w:p w:rsidR="00DB1B84" w:rsidRPr="00187C93" w:rsidRDefault="00DB1B84">
            <w:pPr>
              <w:pStyle w:val="Tabelltext"/>
              <w:spacing w:before="60" w:after="60"/>
              <w:jc w:val="center"/>
              <w:rPr>
                <w:b/>
              </w:rPr>
            </w:pPr>
            <w:r w:rsidRPr="00187C93">
              <w:rPr>
                <w:b/>
              </w:rPr>
              <w:t>2003</w:t>
            </w:r>
          </w:p>
        </w:tc>
        <w:tc>
          <w:tcPr>
            <w:tcW w:w="851" w:type="dxa"/>
          </w:tcPr>
          <w:p w:rsidR="00DB1B84" w:rsidRPr="00187C93" w:rsidRDefault="00DB1B84">
            <w:pPr>
              <w:pStyle w:val="Tabelltext"/>
              <w:spacing w:before="60" w:after="60"/>
              <w:jc w:val="center"/>
              <w:rPr>
                <w:b/>
              </w:rPr>
            </w:pPr>
            <w:r w:rsidRPr="00187C93">
              <w:rPr>
                <w:b/>
              </w:rPr>
              <w:t>2004</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r w:rsidRPr="00187C93">
              <w:rPr>
                <w:b/>
              </w:rPr>
              <w:t>Utskottet</w:t>
            </w:r>
          </w:p>
        </w:tc>
        <w:tc>
          <w:tcPr>
            <w:tcW w:w="857" w:type="dxa"/>
          </w:tcPr>
          <w:p w:rsidR="00DB1B84" w:rsidRPr="00187C93" w:rsidRDefault="00DB1B84">
            <w:pPr>
              <w:pStyle w:val="Tabelltext"/>
              <w:spacing w:before="60" w:after="60"/>
              <w:jc w:val="center"/>
            </w:pPr>
            <w:r w:rsidRPr="00187C93">
              <w:t>8 431</w:t>
            </w:r>
          </w:p>
        </w:tc>
        <w:tc>
          <w:tcPr>
            <w:tcW w:w="850" w:type="dxa"/>
          </w:tcPr>
          <w:p w:rsidR="00DB1B84" w:rsidRPr="00187C93" w:rsidRDefault="00DB1B84">
            <w:pPr>
              <w:pStyle w:val="Tabelltext"/>
              <w:spacing w:before="60" w:after="60"/>
              <w:jc w:val="center"/>
            </w:pPr>
            <w:r w:rsidRPr="00187C93">
              <w:t>8 400</w:t>
            </w:r>
          </w:p>
        </w:tc>
        <w:tc>
          <w:tcPr>
            <w:tcW w:w="851" w:type="dxa"/>
          </w:tcPr>
          <w:p w:rsidR="00DB1B84" w:rsidRPr="00187C93" w:rsidRDefault="00DB1B84">
            <w:pPr>
              <w:pStyle w:val="Tabelltext"/>
              <w:spacing w:before="60" w:after="60"/>
              <w:jc w:val="center"/>
            </w:pPr>
            <w:r w:rsidRPr="00187C93">
              <w:t>8 420</w:t>
            </w:r>
          </w:p>
        </w:tc>
      </w:tr>
      <w:tr w:rsidR="00000000" w:rsidRPr="00187C93">
        <w:tblPrEx>
          <w:tblCellMar>
            <w:top w:w="0" w:type="dxa"/>
            <w:bottom w:w="0" w:type="dxa"/>
          </w:tblCellMar>
        </w:tblPrEx>
        <w:tc>
          <w:tcPr>
            <w:tcW w:w="1198" w:type="dxa"/>
          </w:tcPr>
          <w:p w:rsidR="00DB1B84" w:rsidRPr="00187C93" w:rsidRDefault="00DB1B84">
            <w:pPr>
              <w:pStyle w:val="Tabelltext"/>
              <w:spacing w:before="60" w:after="60"/>
              <w:rPr>
                <w:b/>
              </w:rPr>
            </w:pPr>
            <w:r w:rsidRPr="00187C93">
              <w:rPr>
                <w:b/>
              </w:rPr>
              <w:t>Differens prop.</w:t>
            </w:r>
          </w:p>
        </w:tc>
        <w:tc>
          <w:tcPr>
            <w:tcW w:w="857" w:type="dxa"/>
          </w:tcPr>
          <w:p w:rsidR="00DB1B84" w:rsidRPr="00187C93" w:rsidRDefault="00DB1B84">
            <w:pPr>
              <w:pStyle w:val="Tabelltext"/>
              <w:spacing w:before="60" w:after="60"/>
              <w:jc w:val="center"/>
            </w:pPr>
            <w:r w:rsidRPr="00187C93">
              <w:t>- 25</w:t>
            </w:r>
          </w:p>
        </w:tc>
        <w:tc>
          <w:tcPr>
            <w:tcW w:w="850" w:type="dxa"/>
          </w:tcPr>
          <w:p w:rsidR="00DB1B84" w:rsidRPr="00187C93" w:rsidRDefault="00DB1B84">
            <w:pPr>
              <w:pStyle w:val="Tabelltext"/>
              <w:spacing w:before="60" w:after="60"/>
              <w:jc w:val="center"/>
            </w:pPr>
            <w:r w:rsidRPr="00187C93">
              <w:t>- 25</w:t>
            </w:r>
          </w:p>
        </w:tc>
        <w:tc>
          <w:tcPr>
            <w:tcW w:w="851" w:type="dxa"/>
          </w:tcPr>
          <w:p w:rsidR="00DB1B84" w:rsidRPr="00187C93" w:rsidRDefault="00DB1B84">
            <w:pPr>
              <w:pStyle w:val="Tabelltext"/>
              <w:spacing w:before="60" w:after="60"/>
              <w:jc w:val="center"/>
            </w:pPr>
            <w:r w:rsidRPr="00187C93">
              <w:t>- 25</w:t>
            </w:r>
          </w:p>
        </w:tc>
      </w:tr>
    </w:tbl>
    <w:p w:rsidR="00DB1B84" w:rsidRPr="00187C93" w:rsidRDefault="00DB1B84">
      <w:pPr>
        <w:pStyle w:val="Normaltindrag"/>
      </w:pPr>
    </w:p>
    <w:p w:rsidR="00DB1B84" w:rsidRPr="00187C93" w:rsidRDefault="00DB1B84">
      <w:pPr>
        <w:pStyle w:val="Normaltindrag"/>
      </w:pPr>
    </w:p>
    <w:p w:rsidR="00DB1B84" w:rsidRPr="00187C93" w:rsidRDefault="00DB1B84">
      <w:pPr>
        <w:pStyle w:val="Normaltindrag"/>
        <w:sectPr w:rsidR="00000000" w:rsidRPr="00187C9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B1B84" w:rsidRPr="00187C93" w:rsidRDefault="00DB1B84">
      <w:pPr>
        <w:pStyle w:val="R1"/>
      </w:pPr>
      <w:r w:rsidRPr="00187C93">
        <w:t>Innehållsförteckning</w:t>
      </w:r>
    </w:p>
    <w:p w:rsidR="00DB1B84" w:rsidRPr="00187C93" w:rsidRDefault="00DB1B84">
      <w:pPr>
        <w:pStyle w:val="Innehll1"/>
      </w:pPr>
      <w:r w:rsidRPr="00187C93">
        <w:t>Arbetsmarknadsutskottets yttrande</w:t>
      </w:r>
      <w:r w:rsidRPr="00187C93">
        <w:tab/>
        <w:t>1</w:t>
      </w:r>
    </w:p>
    <w:p w:rsidR="00DB1B84" w:rsidRPr="00187C93" w:rsidRDefault="00DB1B84">
      <w:pPr>
        <w:pStyle w:val="Innehll2"/>
      </w:pPr>
      <w:r w:rsidRPr="00187C93">
        <w:t>1 Inledning</w:t>
      </w:r>
      <w:r w:rsidRPr="00187C93">
        <w:tab/>
        <w:t>2</w:t>
      </w:r>
    </w:p>
    <w:p w:rsidR="00DB1B84" w:rsidRPr="00187C93" w:rsidRDefault="00DB1B84">
      <w:pPr>
        <w:pStyle w:val="Innehll2"/>
      </w:pPr>
      <w:r w:rsidRPr="00187C93">
        <w:t>2 Allmänna frågor</w:t>
      </w:r>
      <w:r w:rsidRPr="00187C93">
        <w:tab/>
        <w:t>2</w:t>
      </w:r>
    </w:p>
    <w:p w:rsidR="00DB1B84" w:rsidRPr="00187C93" w:rsidRDefault="00DB1B84">
      <w:pPr>
        <w:pStyle w:val="Innehll3"/>
      </w:pPr>
      <w:r w:rsidRPr="00187C93">
        <w:t>Propositionen</w:t>
      </w:r>
      <w:r w:rsidRPr="00187C93">
        <w:tab/>
        <w:t>2</w:t>
      </w:r>
    </w:p>
    <w:p w:rsidR="00DB1B84" w:rsidRPr="00187C93" w:rsidRDefault="00DB1B84">
      <w:pPr>
        <w:pStyle w:val="Innehll3"/>
      </w:pPr>
      <w:r w:rsidRPr="00187C93">
        <w:t>Motioner</w:t>
      </w:r>
      <w:r w:rsidRPr="00187C93">
        <w:tab/>
        <w:t>5</w:t>
      </w:r>
    </w:p>
    <w:p w:rsidR="00DB1B84" w:rsidRPr="00187C93" w:rsidRDefault="00DB1B84">
      <w:pPr>
        <w:pStyle w:val="Innehll3"/>
      </w:pPr>
      <w:r w:rsidRPr="00187C93">
        <w:t>Utskottets ställningstagande</w:t>
      </w:r>
      <w:r w:rsidRPr="00187C93">
        <w:tab/>
        <w:t>11</w:t>
      </w:r>
    </w:p>
    <w:p w:rsidR="00DB1B84" w:rsidRPr="00187C93" w:rsidRDefault="00DB1B84">
      <w:pPr>
        <w:pStyle w:val="Innehll2"/>
      </w:pPr>
      <w:r w:rsidRPr="00187C93">
        <w:t>3 Utgiftstak för staten och preliminär fördelning på utgiftsområden under åren 2002–2004</w:t>
      </w:r>
      <w:r w:rsidRPr="00187C93">
        <w:tab/>
        <w:t>21</w:t>
      </w:r>
    </w:p>
    <w:p w:rsidR="00DB1B84" w:rsidRPr="00187C93" w:rsidRDefault="00DB1B84">
      <w:pPr>
        <w:pStyle w:val="Innehll2"/>
      </w:pPr>
      <w:r w:rsidRPr="00187C93">
        <w:t>3.1 Förutsättningar</w:t>
      </w:r>
      <w:r w:rsidRPr="00187C93">
        <w:tab/>
        <w:t>21</w:t>
      </w:r>
    </w:p>
    <w:p w:rsidR="00DB1B84" w:rsidRPr="00187C93" w:rsidRDefault="00DB1B84">
      <w:pPr>
        <w:pStyle w:val="Innehll2"/>
      </w:pPr>
      <w:r w:rsidRPr="00187C93">
        <w:t>3.2 Utgiftsområde 13 Arbetsmarknad</w:t>
      </w:r>
      <w:r w:rsidRPr="00187C93">
        <w:tab/>
        <w:t>22</w:t>
      </w:r>
    </w:p>
    <w:p w:rsidR="00DB1B84" w:rsidRPr="00187C93" w:rsidRDefault="00DB1B84">
      <w:pPr>
        <w:pStyle w:val="Innehll3"/>
      </w:pPr>
      <w:r w:rsidRPr="00187C93">
        <w:t>Propositionen</w:t>
      </w:r>
      <w:r w:rsidRPr="00187C93">
        <w:tab/>
        <w:t>23</w:t>
      </w:r>
    </w:p>
    <w:p w:rsidR="00DB1B84" w:rsidRPr="00187C93" w:rsidRDefault="00DB1B84">
      <w:pPr>
        <w:pStyle w:val="Innehll3"/>
      </w:pPr>
      <w:r w:rsidRPr="00187C93">
        <w:t>Motioner</w:t>
      </w:r>
      <w:r w:rsidRPr="00187C93">
        <w:tab/>
        <w:t>24</w:t>
      </w:r>
    </w:p>
    <w:p w:rsidR="00DB1B84" w:rsidRPr="00187C93" w:rsidRDefault="00DB1B84">
      <w:pPr>
        <w:pStyle w:val="Innehll3"/>
      </w:pPr>
      <w:r w:rsidRPr="00187C93">
        <w:t>Utskottets ställningstagande</w:t>
      </w:r>
      <w:r w:rsidRPr="00187C93">
        <w:tab/>
        <w:t>25</w:t>
      </w:r>
    </w:p>
    <w:p w:rsidR="00DB1B84" w:rsidRPr="00187C93" w:rsidRDefault="00DB1B84">
      <w:pPr>
        <w:pStyle w:val="Innehll2"/>
      </w:pPr>
      <w:r w:rsidRPr="00187C93">
        <w:t>3.3 Utgiftsområde 14 Arbetsliv</w:t>
      </w:r>
      <w:r w:rsidRPr="00187C93">
        <w:tab/>
        <w:t>26</w:t>
      </w:r>
    </w:p>
    <w:p w:rsidR="00DB1B84" w:rsidRPr="00187C93" w:rsidRDefault="00DB1B84">
      <w:pPr>
        <w:pStyle w:val="Innehll3"/>
      </w:pPr>
      <w:r w:rsidRPr="00187C93">
        <w:t>Propositionen</w:t>
      </w:r>
      <w:r w:rsidRPr="00187C93">
        <w:tab/>
        <w:t>27</w:t>
      </w:r>
    </w:p>
    <w:p w:rsidR="00DB1B84" w:rsidRPr="00187C93" w:rsidRDefault="00DB1B84">
      <w:pPr>
        <w:pStyle w:val="Innehll3"/>
      </w:pPr>
      <w:r w:rsidRPr="00187C93">
        <w:t>Motioner</w:t>
      </w:r>
      <w:r w:rsidRPr="00187C93">
        <w:tab/>
        <w:t>27</w:t>
      </w:r>
    </w:p>
    <w:p w:rsidR="00DB1B84" w:rsidRPr="00187C93" w:rsidRDefault="00DB1B84">
      <w:pPr>
        <w:pStyle w:val="Innehll3"/>
      </w:pPr>
      <w:r w:rsidRPr="00187C93">
        <w:t>Utskottets ställningstagande</w:t>
      </w:r>
      <w:r w:rsidRPr="00187C93">
        <w:tab/>
        <w:t>28</w:t>
      </w:r>
    </w:p>
    <w:p w:rsidR="00DB1B84" w:rsidRPr="00187C93" w:rsidRDefault="00DB1B84">
      <w:pPr>
        <w:pStyle w:val="Innehll2"/>
      </w:pPr>
      <w:r w:rsidRPr="00187C93">
        <w:t>4 Årsredovisningen för staten 2000</w:t>
      </w:r>
      <w:r w:rsidRPr="00187C93">
        <w:tab/>
        <w:t>28</w:t>
      </w:r>
    </w:p>
    <w:p w:rsidR="00DB1B84" w:rsidRPr="00187C93" w:rsidRDefault="00DB1B84">
      <w:pPr>
        <w:pStyle w:val="Innehll3"/>
      </w:pPr>
      <w:r w:rsidRPr="00187C93">
        <w:t>Motion</w:t>
      </w:r>
      <w:r w:rsidRPr="00187C93">
        <w:tab/>
        <w:t>28</w:t>
      </w:r>
    </w:p>
    <w:p w:rsidR="00DB1B84" w:rsidRPr="00187C93" w:rsidRDefault="00DB1B84">
      <w:pPr>
        <w:pStyle w:val="Innehll3"/>
      </w:pPr>
      <w:r w:rsidRPr="00187C93">
        <w:t>Utskottets ställningstagande</w:t>
      </w:r>
      <w:r w:rsidRPr="00187C93">
        <w:tab/>
        <w:t>28</w:t>
      </w:r>
    </w:p>
    <w:p w:rsidR="00DB1B84" w:rsidRPr="00187C93" w:rsidRDefault="00DB1B84">
      <w:pPr>
        <w:pStyle w:val="Innehll1"/>
      </w:pPr>
      <w:r w:rsidRPr="00187C93">
        <w:t>Avvikande meningar</w:t>
      </w:r>
      <w:r w:rsidRPr="00187C93">
        <w:tab/>
        <w:t>31</w:t>
      </w:r>
    </w:p>
    <w:p w:rsidR="00DB1B84" w:rsidRPr="00187C93" w:rsidRDefault="00DB1B84">
      <w:pPr>
        <w:pStyle w:val="Innehll2"/>
      </w:pPr>
      <w:r w:rsidRPr="00187C93">
        <w:t>1. Allmänna frågor (Moderaterna, Kristdemokraterna, Centerpartiet och Folkpartiet)</w:t>
      </w:r>
      <w:r w:rsidRPr="00187C93">
        <w:tab/>
        <w:t>31</w:t>
      </w:r>
    </w:p>
    <w:p w:rsidR="00DB1B84" w:rsidRPr="00187C93" w:rsidRDefault="00DB1B84">
      <w:pPr>
        <w:pStyle w:val="Innehll2"/>
      </w:pPr>
      <w:r w:rsidRPr="00187C93">
        <w:t>2. Arbetsmarknadsverket m.m. (Centerpartiet och Folkpartiet)</w:t>
      </w:r>
      <w:r w:rsidRPr="00187C93">
        <w:tab/>
        <w:t>35</w:t>
      </w:r>
    </w:p>
    <w:p w:rsidR="00DB1B84" w:rsidRPr="00187C93" w:rsidRDefault="00DB1B84">
      <w:pPr>
        <w:pStyle w:val="Innehll2"/>
      </w:pPr>
      <w:r w:rsidRPr="00187C93">
        <w:t>3. Preliminära ramar för utgiftsområdena 13 och 14 åren 2002–2004 (Moderaterna)</w:t>
      </w:r>
      <w:r w:rsidRPr="00187C93">
        <w:tab/>
        <w:t>36</w:t>
      </w:r>
    </w:p>
    <w:p w:rsidR="00DB1B84" w:rsidRPr="00187C93" w:rsidRDefault="00DB1B84">
      <w:pPr>
        <w:pStyle w:val="Innehll2"/>
      </w:pPr>
      <w:r w:rsidRPr="00187C93">
        <w:t>4. Preliminära ramar för utgiftsområdena 13 och 14 åren 2002–2004 (Kristdemokraterna)</w:t>
      </w:r>
      <w:r w:rsidRPr="00187C93">
        <w:tab/>
        <w:t>38</w:t>
      </w:r>
    </w:p>
    <w:p w:rsidR="00DB1B84" w:rsidRPr="00187C93" w:rsidRDefault="00DB1B84">
      <w:pPr>
        <w:pStyle w:val="Innehll2"/>
      </w:pPr>
      <w:r w:rsidRPr="00187C93">
        <w:t>5. Preliminära ramar för utgiftsområdena 13 och 14 åren 2002–2004 (Centerpartiet)</w:t>
      </w:r>
      <w:r w:rsidRPr="00187C93">
        <w:tab/>
        <w:t>39</w:t>
      </w:r>
    </w:p>
    <w:p w:rsidR="00DB1B84" w:rsidRPr="00187C93" w:rsidRDefault="00DB1B84">
      <w:pPr>
        <w:pStyle w:val="Innehll2"/>
      </w:pPr>
      <w:r w:rsidRPr="00187C93">
        <w:t>6. Preliminära ramar för utgiftsområdena 13 och 14 åren 2002–2004 (Folkpartiet)</w:t>
      </w:r>
      <w:r w:rsidRPr="00187C93">
        <w:tab/>
        <w:t>41</w:t>
      </w:r>
    </w:p>
    <w:p w:rsidR="00DB1B84" w:rsidRPr="00187C93" w:rsidRDefault="00DB1B84"/>
    <w:p w:rsidR="00DB1B84" w:rsidRPr="00187C93" w:rsidRDefault="00DB1B84">
      <w:pPr>
        <w:pStyle w:val="Tryckort"/>
        <w:framePr w:wrap="around"/>
      </w:pPr>
      <w:r w:rsidRPr="00187C93">
        <w:t>Elanders Gotab, Stockholm  2001</w:t>
      </w:r>
    </w:p>
    <w:p w:rsidR="00DB1B84" w:rsidRPr="00187C93" w:rsidRDefault="00DB1B84">
      <w:pPr>
        <w:pStyle w:val="Normaltindrag"/>
      </w:pPr>
    </w:p>
    <w:p w:rsidR="00DB1B84" w:rsidRPr="00187C93" w:rsidRDefault="00DB1B84">
      <w:pPr>
        <w:pStyle w:val="Tryckort"/>
        <w:framePr w:wrap="around"/>
      </w:pPr>
      <w:r w:rsidRPr="00187C93">
        <w:t>Elanders Gotab, Stockholm  2001</w:t>
      </w:r>
    </w:p>
    <w:p w:rsidR="00DB1B84" w:rsidRPr="00187C93" w:rsidRDefault="00DB1B84">
      <w:pPr>
        <w:pStyle w:val="Normaltindrag"/>
      </w:pPr>
    </w:p>
    <w:sectPr w:rsidR="00DB1B84" w:rsidRPr="00187C9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B84" w:rsidRPr="00187C93" w:rsidRDefault="00DB1B84">
      <w:pPr>
        <w:spacing w:before="0" w:line="240" w:lineRule="auto"/>
      </w:pPr>
      <w:r w:rsidRPr="00187C93">
        <w:separator/>
      </w:r>
    </w:p>
  </w:endnote>
  <w:endnote w:type="continuationSeparator" w:id="0">
    <w:p w:rsidR="00DB1B84" w:rsidRPr="00187C93" w:rsidRDefault="00DB1B84">
      <w:pPr>
        <w:spacing w:before="0" w:line="240" w:lineRule="auto"/>
      </w:pPr>
      <w:r w:rsidRPr="00187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V"/>
      <w:framePr w:w="8732" w:h="284" w:hRule="exact" w:hSpace="0" w:vSpace="0" w:wrap="around" w:xAlign="inside" w:y="13042" w:anchorLock="0"/>
    </w:pP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t>30</w:t>
    </w:r>
    <w:r w:rsidRPr="00187C93">
      <w:fldChar w:fldCharType="end"/>
    </w:r>
  </w:p>
  <w:p w:rsidR="00DB1B84" w:rsidRPr="00187C93" w:rsidRDefault="00DB1B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H"/>
      <w:framePr w:w="8732" w:h="284" w:hRule="exact" w:hSpace="0" w:vSpace="0" w:wrap="around" w:xAlign="inside" w:y="13042" w:anchorLock="0"/>
    </w:pP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t>29</w:t>
    </w:r>
    <w:r w:rsidRPr="00187C93">
      <w:fldChar w:fldCharType="end"/>
    </w:r>
  </w:p>
  <w:p w:rsidR="00DB1B84" w:rsidRPr="00187C93" w:rsidRDefault="00DB1B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V"/>
      <w:framePr w:w="8732" w:h="284" w:hRule="exact" w:hSpace="0" w:vSpace="0" w:wrap="around" w:xAlign="inside" w:y="13042" w:anchorLock="0"/>
    </w:pPr>
    <w:r w:rsidRPr="00187C93">
      <w:fldChar w:fldCharType="begin" w:fldLock="1"/>
    </w:r>
    <w:r w:rsidRPr="00187C93">
      <w:instrText xml:space="preserve"> if </w:instrText>
    </w:r>
    <w:r w:rsidRPr="00187C93">
      <w:fldChar w:fldCharType="begin" w:fldLock="1"/>
    </w:r>
    <w:r w:rsidRPr="00187C93">
      <w:instrText xml:space="preserve"> = </w:instrText>
    </w:r>
    <w:r w:rsidRPr="00187C93">
      <w:fldChar w:fldCharType="begin" w:fldLock="1"/>
    </w:r>
    <w:r w:rsidRPr="00187C93">
      <w:instrText xml:space="preserve"> = </w:instrText>
    </w:r>
    <w:r w:rsidRPr="00187C93">
      <w:fldChar w:fldCharType="begin" w:fldLock="1"/>
    </w:r>
    <w:r w:rsidRPr="00187C93">
      <w:instrText xml:space="preserve"> page</w:instrText>
    </w:r>
    <w:r w:rsidRPr="00187C93">
      <w:fldChar w:fldCharType="separate"/>
    </w:r>
    <w:r w:rsidR="00187C93">
      <w:rPr>
        <w:noProof/>
      </w:rPr>
      <w:instrText>1</w:instrText>
    </w:r>
    <w:r w:rsidRPr="00187C93">
      <w:fldChar w:fldCharType="end"/>
    </w:r>
    <w:r w:rsidRPr="00187C93">
      <w:instrText xml:space="preserve">/2 </w:instrText>
    </w:r>
    <w:r w:rsidRPr="00187C93">
      <w:fldChar w:fldCharType="separate"/>
    </w:r>
    <w:r w:rsidR="00187C93">
      <w:rPr>
        <w:noProof/>
      </w:rPr>
      <w:instrText>0,5</w:instrText>
    </w:r>
    <w:r w:rsidRPr="00187C93">
      <w:fldChar w:fldCharType="end"/>
    </w:r>
    <w:r w:rsidRPr="00187C93">
      <w:instrText xml:space="preserve"> - </w:instrText>
    </w:r>
    <w:r w:rsidRPr="00187C93">
      <w:fldChar w:fldCharType="begin" w:fldLock="1"/>
    </w:r>
    <w:r w:rsidRPr="00187C93">
      <w:instrText xml:space="preserve"> = int(</w:instrText>
    </w:r>
    <w:r w:rsidRPr="00187C93">
      <w:fldChar w:fldCharType="begin" w:fldLock="1"/>
    </w:r>
    <w:r w:rsidRPr="00187C93">
      <w:instrText xml:space="preserve"> page</w:instrText>
    </w:r>
    <w:r w:rsidRPr="00187C93">
      <w:fldChar w:fldCharType="separate"/>
    </w:r>
    <w:r w:rsidR="00187C93">
      <w:rPr>
        <w:noProof/>
      </w:rPr>
      <w:instrText>1</w:instrText>
    </w:r>
    <w:r w:rsidRPr="00187C93">
      <w:fldChar w:fldCharType="end"/>
    </w:r>
    <w:r w:rsidRPr="00187C93">
      <w:instrText xml:space="preserve">/2) </w:instrText>
    </w:r>
    <w:r w:rsidRPr="00187C93">
      <w:fldChar w:fldCharType="separate"/>
    </w:r>
    <w:r w:rsidR="00187C93">
      <w:rPr>
        <w:noProof/>
      </w:rPr>
      <w:instrText>0</w:instrText>
    </w:r>
    <w:r w:rsidRPr="00187C93">
      <w:fldChar w:fldCharType="end"/>
    </w:r>
    <w:r w:rsidRPr="00187C93">
      <w:fldChar w:fldCharType="separate"/>
    </w:r>
    <w:r w:rsidR="00187C93">
      <w:rPr>
        <w:noProof/>
      </w:rPr>
      <w:instrText>0,5</w:instrText>
    </w:r>
    <w:r w:rsidRPr="00187C93">
      <w:fldChar w:fldCharType="end"/>
    </w:r>
    <w:r w:rsidRPr="00187C93">
      <w:instrText xml:space="preserve"> = 0 "</w:instrText>
    </w: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instrText>14</w:instrText>
    </w:r>
    <w:r w:rsidRPr="00187C93">
      <w:fldChar w:fldCharType="end"/>
    </w:r>
  </w:p>
  <w:p w:rsidR="00DB1B84" w:rsidRPr="00187C93" w:rsidRDefault="00DB1B84">
    <w:pPr>
      <w:pStyle w:val="SidfotH"/>
      <w:framePr w:w="8732" w:h="284" w:hRule="exact" w:hSpace="0" w:vSpace="0" w:wrap="around" w:xAlign="inside" w:y="13042" w:anchorLock="0"/>
    </w:pPr>
    <w:r w:rsidRPr="00187C93">
      <w:instrText>""</w:instrText>
    </w: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00187C93">
      <w:rPr>
        <w:noProof/>
      </w:rPr>
      <w:instrText>1</w:instrText>
    </w:r>
    <w:r w:rsidRPr="00187C93">
      <w:fldChar w:fldCharType="end"/>
    </w:r>
    <w:r w:rsidRPr="00187C93">
      <w:instrText>"</w:instrText>
    </w:r>
    <w:r w:rsidRPr="00187C93">
      <w:fldChar w:fldCharType="separate"/>
    </w:r>
    <w:r w:rsidR="00187C93">
      <w:rPr>
        <w:noProof/>
      </w:rPr>
      <w:t>1</w:t>
    </w:r>
    <w:r w:rsidRPr="00187C93">
      <w:fldChar w:fldCharType="end"/>
    </w:r>
  </w:p>
  <w:p w:rsidR="00DB1B84" w:rsidRPr="00187C93" w:rsidRDefault="00DB1B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V"/>
      <w:framePr w:w="8732" w:h="284" w:hRule="exact" w:hSpace="0" w:vSpace="0" w:wrap="around" w:xAlign="inside" w:y="13042" w:anchorLock="0"/>
    </w:pP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t>42</w:t>
    </w:r>
    <w:r w:rsidRPr="00187C93">
      <w:fldChar w:fldCharType="end"/>
    </w:r>
  </w:p>
  <w:p w:rsidR="00DB1B84" w:rsidRPr="00187C93" w:rsidRDefault="00DB1B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H"/>
      <w:framePr w:w="8732" w:h="284" w:hRule="exact" w:hSpace="0" w:vSpace="0" w:wrap="around" w:xAlign="inside" w:y="13042" w:anchorLock="0"/>
    </w:pP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t>41</w:t>
    </w:r>
    <w:r w:rsidRPr="00187C93">
      <w:fldChar w:fldCharType="end"/>
    </w:r>
  </w:p>
  <w:p w:rsidR="00DB1B84" w:rsidRPr="00187C93" w:rsidRDefault="00DB1B8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V"/>
      <w:framePr w:w="8732" w:h="284" w:hRule="exact" w:hSpace="0" w:vSpace="0" w:wrap="around" w:xAlign="inside" w:y="13042" w:anchorLock="0"/>
    </w:pPr>
    <w:r w:rsidRPr="00187C93">
      <w:fldChar w:fldCharType="begin" w:fldLock="1"/>
    </w:r>
    <w:r w:rsidRPr="00187C93">
      <w:instrText xml:space="preserve"> if </w:instrText>
    </w:r>
    <w:r w:rsidRPr="00187C93">
      <w:fldChar w:fldCharType="begin" w:fldLock="1"/>
    </w:r>
    <w:r w:rsidRPr="00187C93">
      <w:instrText xml:space="preserve"> = </w:instrText>
    </w:r>
    <w:r w:rsidRPr="00187C93">
      <w:fldChar w:fldCharType="begin" w:fldLock="1"/>
    </w:r>
    <w:r w:rsidRPr="00187C93">
      <w:instrText xml:space="preserve"> = </w:instrText>
    </w:r>
    <w:r w:rsidRPr="00187C93">
      <w:fldChar w:fldCharType="begin" w:fldLock="1"/>
    </w:r>
    <w:r w:rsidRPr="00187C93">
      <w:instrText xml:space="preserve"> page</w:instrText>
    </w:r>
    <w:r w:rsidRPr="00187C93">
      <w:fldChar w:fldCharType="separate"/>
    </w:r>
    <w:r w:rsidRPr="00187C93">
      <w:instrText>31</w:instrText>
    </w:r>
    <w:r w:rsidRPr="00187C93">
      <w:fldChar w:fldCharType="end"/>
    </w:r>
    <w:r w:rsidRPr="00187C93">
      <w:instrText xml:space="preserve">/2 </w:instrText>
    </w:r>
    <w:r w:rsidRPr="00187C93">
      <w:fldChar w:fldCharType="separate"/>
    </w:r>
    <w:r w:rsidRPr="00187C93">
      <w:instrText>15,5</w:instrText>
    </w:r>
    <w:r w:rsidRPr="00187C93">
      <w:fldChar w:fldCharType="end"/>
    </w:r>
    <w:r w:rsidRPr="00187C93">
      <w:instrText xml:space="preserve"> - </w:instrText>
    </w:r>
    <w:r w:rsidRPr="00187C93">
      <w:fldChar w:fldCharType="begin" w:fldLock="1"/>
    </w:r>
    <w:r w:rsidRPr="00187C93">
      <w:instrText xml:space="preserve"> = int(</w:instrText>
    </w:r>
    <w:r w:rsidRPr="00187C93">
      <w:fldChar w:fldCharType="begin" w:fldLock="1"/>
    </w:r>
    <w:r w:rsidRPr="00187C93">
      <w:instrText xml:space="preserve"> page</w:instrText>
    </w:r>
    <w:r w:rsidRPr="00187C93">
      <w:fldChar w:fldCharType="separate"/>
    </w:r>
    <w:r w:rsidRPr="00187C93">
      <w:instrText>31</w:instrText>
    </w:r>
    <w:r w:rsidRPr="00187C93">
      <w:fldChar w:fldCharType="end"/>
    </w:r>
    <w:r w:rsidRPr="00187C93">
      <w:instrText xml:space="preserve">/2) </w:instrText>
    </w:r>
    <w:r w:rsidRPr="00187C93">
      <w:fldChar w:fldCharType="separate"/>
    </w:r>
    <w:r w:rsidRPr="00187C93">
      <w:instrText>15</w:instrText>
    </w:r>
    <w:r w:rsidRPr="00187C93">
      <w:fldChar w:fldCharType="end"/>
    </w:r>
    <w:r w:rsidRPr="00187C93">
      <w:fldChar w:fldCharType="separate"/>
    </w:r>
    <w:r w:rsidRPr="00187C93">
      <w:instrText>0,5</w:instrText>
    </w:r>
    <w:r w:rsidRPr="00187C93">
      <w:fldChar w:fldCharType="end"/>
    </w:r>
    <w:r w:rsidRPr="00187C93">
      <w:instrText xml:space="preserve"> = 0 "</w:instrText>
    </w: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instrText>32</w:instrText>
    </w:r>
    <w:r w:rsidRPr="00187C93">
      <w:fldChar w:fldCharType="end"/>
    </w:r>
  </w:p>
  <w:p w:rsidR="00DB1B84" w:rsidRPr="00187C93" w:rsidRDefault="00DB1B84">
    <w:pPr>
      <w:pStyle w:val="SidfotH"/>
      <w:framePr w:w="8732" w:h="284" w:hRule="exact" w:hSpace="0" w:vSpace="0" w:wrap="around" w:xAlign="inside" w:y="13042" w:anchorLock="0"/>
    </w:pPr>
    <w:r w:rsidRPr="00187C93">
      <w:instrText>""</w:instrText>
    </w: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instrText>31</w:instrText>
    </w:r>
    <w:r w:rsidRPr="00187C93">
      <w:fldChar w:fldCharType="end"/>
    </w:r>
    <w:r w:rsidRPr="00187C93">
      <w:instrText>"</w:instrText>
    </w:r>
    <w:r w:rsidRPr="00187C93">
      <w:fldChar w:fldCharType="separate"/>
    </w:r>
    <w:r w:rsidRPr="00187C93">
      <w:t>31</w:t>
    </w:r>
    <w:r w:rsidRPr="00187C93">
      <w:fldChar w:fldCharType="end"/>
    </w:r>
  </w:p>
  <w:p w:rsidR="00DB1B84" w:rsidRPr="00187C93" w:rsidRDefault="00DB1B8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V"/>
      <w:framePr w:w="8732" w:h="284" w:hRule="exact" w:hSpace="0" w:vSpace="0" w:wrap="around" w:xAlign="inside" w:y="13042" w:anchorLock="0"/>
    </w:pP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t>43</w:t>
    </w:r>
    <w:r w:rsidRPr="00187C93">
      <w:fldChar w:fldCharType="end"/>
    </w:r>
  </w:p>
  <w:p w:rsidR="00DB1B84" w:rsidRPr="00187C93" w:rsidRDefault="00DB1B8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H"/>
      <w:framePr w:w="8732" w:h="284" w:hRule="exact" w:hSpace="0" w:vSpace="0" w:wrap="around" w:xAlign="inside" w:y="13042" w:anchorLock="0"/>
    </w:pP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t>43</w:t>
    </w:r>
    <w:r w:rsidRPr="00187C93">
      <w:fldChar w:fldCharType="end"/>
    </w:r>
  </w:p>
  <w:p w:rsidR="00DB1B84" w:rsidRPr="00187C93" w:rsidRDefault="00DB1B8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fotV"/>
      <w:framePr w:w="8732" w:h="284" w:hRule="exact" w:hSpace="0" w:vSpace="0" w:wrap="around" w:xAlign="inside" w:y="13042" w:anchorLock="0"/>
    </w:pPr>
    <w:r w:rsidRPr="00187C93">
      <w:fldChar w:fldCharType="begin" w:fldLock="1"/>
    </w:r>
    <w:r w:rsidRPr="00187C93">
      <w:instrText xml:space="preserve"> if </w:instrText>
    </w:r>
    <w:r w:rsidRPr="00187C93">
      <w:fldChar w:fldCharType="begin" w:fldLock="1"/>
    </w:r>
    <w:r w:rsidRPr="00187C93">
      <w:instrText xml:space="preserve"> = </w:instrText>
    </w:r>
    <w:r w:rsidRPr="00187C93">
      <w:fldChar w:fldCharType="begin" w:fldLock="1"/>
    </w:r>
    <w:r w:rsidRPr="00187C93">
      <w:instrText xml:space="preserve"> = </w:instrText>
    </w:r>
    <w:r w:rsidRPr="00187C93">
      <w:fldChar w:fldCharType="begin" w:fldLock="1"/>
    </w:r>
    <w:r w:rsidRPr="00187C93">
      <w:instrText xml:space="preserve"> page</w:instrText>
    </w:r>
    <w:r w:rsidRPr="00187C93">
      <w:fldChar w:fldCharType="separate"/>
    </w:r>
    <w:r w:rsidRPr="00187C93">
      <w:instrText>43</w:instrText>
    </w:r>
    <w:r w:rsidRPr="00187C93">
      <w:fldChar w:fldCharType="end"/>
    </w:r>
    <w:r w:rsidRPr="00187C93">
      <w:instrText xml:space="preserve">/2 </w:instrText>
    </w:r>
    <w:r w:rsidRPr="00187C93">
      <w:fldChar w:fldCharType="separate"/>
    </w:r>
    <w:r w:rsidRPr="00187C93">
      <w:instrText>21,5</w:instrText>
    </w:r>
    <w:r w:rsidRPr="00187C93">
      <w:fldChar w:fldCharType="end"/>
    </w:r>
    <w:r w:rsidRPr="00187C93">
      <w:instrText xml:space="preserve"> - </w:instrText>
    </w:r>
    <w:r w:rsidRPr="00187C93">
      <w:fldChar w:fldCharType="begin" w:fldLock="1"/>
    </w:r>
    <w:r w:rsidRPr="00187C93">
      <w:instrText xml:space="preserve"> = int(</w:instrText>
    </w:r>
    <w:r w:rsidRPr="00187C93">
      <w:fldChar w:fldCharType="begin" w:fldLock="1"/>
    </w:r>
    <w:r w:rsidRPr="00187C93">
      <w:instrText xml:space="preserve"> page</w:instrText>
    </w:r>
    <w:r w:rsidRPr="00187C93">
      <w:fldChar w:fldCharType="separate"/>
    </w:r>
    <w:r w:rsidRPr="00187C93">
      <w:instrText>43</w:instrText>
    </w:r>
    <w:r w:rsidRPr="00187C93">
      <w:fldChar w:fldCharType="end"/>
    </w:r>
    <w:r w:rsidRPr="00187C93">
      <w:instrText xml:space="preserve">/2) </w:instrText>
    </w:r>
    <w:r w:rsidRPr="00187C93">
      <w:fldChar w:fldCharType="separate"/>
    </w:r>
    <w:r w:rsidRPr="00187C93">
      <w:instrText>21</w:instrText>
    </w:r>
    <w:r w:rsidRPr="00187C93">
      <w:fldChar w:fldCharType="end"/>
    </w:r>
    <w:r w:rsidRPr="00187C93">
      <w:fldChar w:fldCharType="separate"/>
    </w:r>
    <w:r w:rsidRPr="00187C93">
      <w:instrText>0,5</w:instrText>
    </w:r>
    <w:r w:rsidRPr="00187C93">
      <w:fldChar w:fldCharType="end"/>
    </w:r>
    <w:r w:rsidRPr="00187C93">
      <w:instrText xml:space="preserve"> = 0 "</w:instrText>
    </w: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instrText>44</w:instrText>
    </w:r>
    <w:r w:rsidRPr="00187C93">
      <w:fldChar w:fldCharType="end"/>
    </w:r>
  </w:p>
  <w:p w:rsidR="00DB1B84" w:rsidRPr="00187C93" w:rsidRDefault="00DB1B84">
    <w:pPr>
      <w:pStyle w:val="SidfotH"/>
      <w:framePr w:w="8732" w:h="284" w:hRule="exact" w:hSpace="0" w:vSpace="0" w:wrap="around" w:xAlign="inside" w:y="13042" w:anchorLock="0"/>
    </w:pPr>
    <w:r w:rsidRPr="00187C93">
      <w:instrText>""</w:instrText>
    </w:r>
    <w:r w:rsidRPr="00187C93">
      <w:fldChar w:fldCharType="begin" w:fldLock="1"/>
    </w:r>
    <w:r w:rsidRPr="00187C93">
      <w:instrText xml:space="preserve"> P</w:instrText>
    </w:r>
    <w:r w:rsidRPr="00187C93">
      <w:instrText>A</w:instrText>
    </w:r>
    <w:r w:rsidRPr="00187C93">
      <w:instrText xml:space="preserve">GE </w:instrText>
    </w:r>
    <w:r w:rsidRPr="00187C93">
      <w:fldChar w:fldCharType="separate"/>
    </w:r>
    <w:r w:rsidRPr="00187C93">
      <w:instrText>43</w:instrText>
    </w:r>
    <w:r w:rsidRPr="00187C93">
      <w:fldChar w:fldCharType="end"/>
    </w:r>
    <w:r w:rsidRPr="00187C93">
      <w:instrText>"</w:instrText>
    </w:r>
    <w:r w:rsidRPr="00187C93">
      <w:fldChar w:fldCharType="separate"/>
    </w:r>
    <w:r w:rsidRPr="00187C93">
      <w:t>43</w:t>
    </w:r>
    <w:r w:rsidRPr="00187C93">
      <w:fldChar w:fldCharType="end"/>
    </w:r>
  </w:p>
  <w:p w:rsidR="00DB1B84" w:rsidRPr="00187C93" w:rsidRDefault="00DB1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B84" w:rsidRPr="00187C93" w:rsidRDefault="00DB1B84">
      <w:pPr>
        <w:pStyle w:val="Sidfot"/>
      </w:pPr>
    </w:p>
  </w:footnote>
  <w:footnote w:type="continuationSeparator" w:id="0">
    <w:p w:rsidR="00DB1B84" w:rsidRPr="00187C93" w:rsidRDefault="00DB1B84">
      <w:pPr>
        <w:spacing w:before="0" w:line="240" w:lineRule="auto"/>
      </w:pPr>
      <w:r w:rsidRPr="00187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Jmn"/>
      <w:framePr w:w="8732" w:h="567" w:hRule="exact" w:vSpace="0" w:wrap="around" w:vAnchor="page" w:y="341" w:anchorLock="0"/>
    </w:pPr>
    <w:r w:rsidRPr="00187C93">
      <w:rPr>
        <w:rStyle w:val="SidhuvudUtskott"/>
      </w:rPr>
      <w:t>2000/01:AU2y</w:t>
    </w:r>
    <w:r w:rsidRPr="00187C93">
      <w:t xml:space="preserve">     </w:t>
    </w:r>
    <w:r w:rsidRPr="00187C93">
      <w:rPr>
        <w:rStyle w:val="SidhuvudBilaga"/>
      </w:rPr>
      <w:t xml:space="preserve"> </w:t>
    </w:r>
    <w:r w:rsidRPr="00187C93">
      <w:rPr>
        <w:rStyle w:val="SidhuvudRubrikReferens"/>
      </w:rPr>
      <w:t>Arbetsmarknadsutskottets yttrande</w:t>
    </w:r>
  </w:p>
  <w:p w:rsidR="00DB1B84" w:rsidRPr="00187C93" w:rsidRDefault="00DB1B84">
    <w:pPr>
      <w:pStyle w:val="SidhuvudKantJmn"/>
      <w:framePr w:w="8732" w:h="567" w:hRule="exact" w:vSpace="0" w:wrap="around" w:vAnchor="page" w:y="341" w:anchorLock="0"/>
    </w:pPr>
  </w:p>
  <w:p w:rsidR="00DB1B84" w:rsidRPr="00187C93" w:rsidRDefault="00DB1B8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Udda"/>
      <w:framePr w:w="8732" w:h="567" w:hRule="exact" w:vSpace="0" w:wrap="around" w:vAnchor="page" w:y="341" w:anchorLock="0"/>
    </w:pPr>
    <w:r w:rsidRPr="00187C93">
      <w:rPr>
        <w:rStyle w:val="SidhuvudRubrikReferens"/>
      </w:rPr>
      <w:t>Arbetsmarknadsutskottets yttrande</w:t>
    </w:r>
    <w:r w:rsidRPr="00187C93">
      <w:rPr>
        <w:rStyle w:val="SidhuvudBilaga"/>
      </w:rPr>
      <w:t xml:space="preserve"> </w:t>
    </w:r>
    <w:r w:rsidRPr="00187C93">
      <w:t xml:space="preserve">     </w:t>
    </w:r>
    <w:r w:rsidRPr="00187C93">
      <w:rPr>
        <w:rStyle w:val="SidhuvudUtskott"/>
      </w:rPr>
      <w:t>2000/01:AU2y</w:t>
    </w:r>
  </w:p>
  <w:p w:rsidR="00DB1B84" w:rsidRPr="00187C93" w:rsidRDefault="00DB1B84">
    <w:pPr>
      <w:pStyle w:val="SidhuvudKantUdda"/>
      <w:framePr w:w="8732" w:h="567" w:hRule="exact" w:vSpace="0" w:wrap="around" w:vAnchor="page" w:y="341" w:anchorLock="0"/>
    </w:pPr>
  </w:p>
  <w:p w:rsidR="00DB1B84" w:rsidRPr="00187C93" w:rsidRDefault="00DB1B8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Jmn"/>
      <w:framePr w:w="8732" w:h="567" w:hRule="exact" w:vSpace="0" w:wrap="around" w:vAnchor="page" w:y="341" w:anchorLock="0"/>
    </w:pPr>
    <w:r w:rsidRPr="00187C93">
      <w:fldChar w:fldCharType="begin" w:fldLock="1"/>
    </w:r>
    <w:r w:rsidRPr="00187C93">
      <w:instrText xml:space="preserve"> if </w:instrText>
    </w:r>
    <w:r w:rsidRPr="00187C93">
      <w:fldChar w:fldCharType="begin" w:fldLock="1"/>
    </w:r>
    <w:r w:rsidRPr="00187C93">
      <w:instrText xml:space="preserve"> page</w:instrText>
    </w:r>
    <w:r w:rsidRPr="00187C93">
      <w:fldChar w:fldCharType="separate"/>
    </w:r>
    <w:r w:rsidR="00187C93">
      <w:rPr>
        <w:noProof/>
      </w:rPr>
      <w:instrText>1</w:instrText>
    </w:r>
    <w:r w:rsidRPr="00187C93">
      <w:fldChar w:fldCharType="end"/>
    </w:r>
    <w:r w:rsidRPr="00187C93">
      <w:instrText xml:space="preserve"> &gt; 1 "</w:instrText>
    </w:r>
    <w:r w:rsidRPr="00187C93">
      <w:fldChar w:fldCharType="begin" w:fldLock="1"/>
    </w:r>
    <w:r w:rsidRPr="00187C93">
      <w:instrText xml:space="preserve"> if </w:instrText>
    </w:r>
    <w:r w:rsidRPr="00187C93">
      <w:fldChar w:fldCharType="begin" w:fldLock="1"/>
    </w:r>
    <w:r w:rsidRPr="00187C93">
      <w:instrText xml:space="preserve"> = </w:instrText>
    </w:r>
    <w:r w:rsidRPr="00187C93">
      <w:fldChar w:fldCharType="begin" w:fldLock="1"/>
    </w:r>
    <w:r w:rsidRPr="00187C93">
      <w:instrText xml:space="preserve"> = </w:instrText>
    </w:r>
    <w:r w:rsidRPr="00187C93">
      <w:fldChar w:fldCharType="begin" w:fldLock="1"/>
    </w:r>
    <w:r w:rsidRPr="00187C93">
      <w:instrText xml:space="preserve"> page</w:instrText>
    </w:r>
    <w:r w:rsidRPr="00187C93">
      <w:fldChar w:fldCharType="separate"/>
    </w:r>
    <w:r w:rsidRPr="00187C93">
      <w:instrText>43</w:instrText>
    </w:r>
    <w:r w:rsidRPr="00187C93">
      <w:fldChar w:fldCharType="end"/>
    </w:r>
    <w:r w:rsidRPr="00187C93">
      <w:instrText xml:space="preserve">/2 </w:instrText>
    </w:r>
    <w:r w:rsidRPr="00187C93">
      <w:fldChar w:fldCharType="separate"/>
    </w:r>
    <w:r w:rsidRPr="00187C93">
      <w:instrText>21,5</w:instrText>
    </w:r>
    <w:r w:rsidRPr="00187C93">
      <w:fldChar w:fldCharType="end"/>
    </w:r>
    <w:r w:rsidRPr="00187C93">
      <w:instrText xml:space="preserve"> - </w:instrText>
    </w:r>
    <w:r w:rsidRPr="00187C93">
      <w:fldChar w:fldCharType="begin" w:fldLock="1"/>
    </w:r>
    <w:r w:rsidRPr="00187C93">
      <w:instrText xml:space="preserve"> = int(</w:instrText>
    </w:r>
    <w:r w:rsidRPr="00187C93">
      <w:fldChar w:fldCharType="begin" w:fldLock="1"/>
    </w:r>
    <w:r w:rsidRPr="00187C93">
      <w:instrText xml:space="preserve"> page</w:instrText>
    </w:r>
    <w:r w:rsidRPr="00187C93">
      <w:fldChar w:fldCharType="separate"/>
    </w:r>
    <w:r w:rsidRPr="00187C93">
      <w:instrText>43</w:instrText>
    </w:r>
    <w:r w:rsidRPr="00187C93">
      <w:fldChar w:fldCharType="end"/>
    </w:r>
    <w:r w:rsidRPr="00187C93">
      <w:instrText xml:space="preserve">/2) </w:instrText>
    </w:r>
    <w:r w:rsidRPr="00187C93">
      <w:fldChar w:fldCharType="separate"/>
    </w:r>
    <w:r w:rsidRPr="00187C93">
      <w:instrText>21</w:instrText>
    </w:r>
    <w:r w:rsidRPr="00187C93">
      <w:fldChar w:fldCharType="end"/>
    </w:r>
    <w:r w:rsidRPr="00187C93">
      <w:fldChar w:fldCharType="separate"/>
    </w:r>
    <w:r w:rsidRPr="00187C93">
      <w:instrText>0,5</w:instrText>
    </w:r>
    <w:r w:rsidRPr="00187C93">
      <w:fldChar w:fldCharType="end"/>
    </w:r>
    <w:r w:rsidRPr="00187C93">
      <w:instrText xml:space="preserve"> = 0 "</w:instrText>
    </w:r>
    <w:r w:rsidRPr="00187C93">
      <w:rPr>
        <w:rStyle w:val="SidhuvudUtskott"/>
      </w:rPr>
      <w:fldChar w:fldCharType="begin" w:fldLock="1"/>
    </w:r>
    <w:r w:rsidRPr="00187C93">
      <w:rPr>
        <w:rStyle w:val="SidhuvudUtskott"/>
      </w:rPr>
      <w:instrText xml:space="preserve"> DOCPROPERTY BetänkandeÅr</w:instrText>
    </w:r>
    <w:r w:rsidRPr="00187C93">
      <w:rPr>
        <w:rStyle w:val="SidhuvudUtskott"/>
      </w:rPr>
      <w:fldChar w:fldCharType="separate"/>
    </w:r>
    <w:r w:rsidRPr="00187C93">
      <w:rPr>
        <w:rStyle w:val="SidhuvudUtskott"/>
      </w:rPr>
      <w:instrText>1999/2000</w:instrText>
    </w:r>
    <w:r w:rsidRPr="00187C93">
      <w:rPr>
        <w:rStyle w:val="SidhuvudUtskott"/>
      </w:rPr>
      <w:fldChar w:fldCharType="end"/>
    </w:r>
    <w:r w:rsidRPr="00187C93">
      <w:rPr>
        <w:rStyle w:val="SidhuvudUtskott"/>
      </w:rPr>
      <w:instrText>:</w:instrText>
    </w:r>
    <w:r w:rsidRPr="00187C93">
      <w:rPr>
        <w:rStyle w:val="SidhuvudUtskott"/>
      </w:rPr>
      <w:fldChar w:fldCharType="begin" w:fldLock="1"/>
    </w:r>
    <w:r w:rsidRPr="00187C93">
      <w:rPr>
        <w:rStyle w:val="SidhuvudUtskott"/>
      </w:rPr>
      <w:instrText xml:space="preserve"> DOCPR</w:instrText>
    </w:r>
    <w:r w:rsidRPr="00187C93">
      <w:rPr>
        <w:rStyle w:val="SidhuvudUtskott"/>
      </w:rPr>
      <w:instrText>O</w:instrText>
    </w:r>
    <w:r w:rsidRPr="00187C93">
      <w:rPr>
        <w:rStyle w:val="SidhuvudUtskott"/>
      </w:rPr>
      <w:instrText>PE</w:instrText>
    </w:r>
    <w:r w:rsidRPr="00187C93">
      <w:rPr>
        <w:rStyle w:val="SidhuvudUtskott"/>
      </w:rPr>
      <w:instrText>R</w:instrText>
    </w:r>
    <w:r w:rsidRPr="00187C93">
      <w:rPr>
        <w:rStyle w:val="SidhuvudUtskott"/>
      </w:rPr>
      <w:instrText>TY Utskott</w:instrText>
    </w:r>
    <w:r w:rsidRPr="00187C93">
      <w:rPr>
        <w:rStyle w:val="SidhuvudUtskott"/>
      </w:rPr>
      <w:fldChar w:fldCharType="separate"/>
    </w:r>
    <w:r w:rsidRPr="00187C93">
      <w:rPr>
        <w:rStyle w:val="SidhuvudUtskott"/>
      </w:rPr>
      <w:instrText>BoU</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DOCPROPERTY BetänkandeNr</w:instrText>
    </w:r>
    <w:r w:rsidRPr="00187C93">
      <w:rPr>
        <w:rStyle w:val="SidhuvudUtskott"/>
      </w:rPr>
      <w:fldChar w:fldCharType="separate"/>
    </w:r>
    <w:r w:rsidRPr="00187C93">
      <w:rPr>
        <w:rStyle w:val="SidhuvudUtskott"/>
      </w:rPr>
      <w:instrText>6678</w:instrText>
    </w:r>
    <w:r w:rsidRPr="00187C93">
      <w:rPr>
        <w:rStyle w:val="SidhuvudUtskott"/>
      </w:rPr>
      <w:fldChar w:fldCharType="end"/>
    </w:r>
    <w:r w:rsidRPr="00187C93">
      <w:instrText xml:space="preserve">    </w:instrText>
    </w:r>
  </w:p>
  <w:p w:rsidR="00DB1B84" w:rsidRPr="00187C93" w:rsidRDefault="00DB1B84">
    <w:pPr>
      <w:pStyle w:val="SidhuvudKantJmn"/>
      <w:framePr w:w="8732" w:h="567" w:hRule="exact" w:vSpace="0" w:wrap="around" w:vAnchor="page" w:y="341" w:anchorLock="0"/>
    </w:pPr>
    <w:r w:rsidRPr="00187C93">
      <w:rPr>
        <w:rStyle w:val="SidhuvudUtskott"/>
      </w:rPr>
      <w:fldChar w:fldCharType="begin" w:fldLock="1"/>
    </w:r>
    <w:r w:rsidRPr="00187C93">
      <w:rPr>
        <w:rStyle w:val="SidhuvudUtskott"/>
      </w:rPr>
      <w:instrText xml:space="preserve"> DOCPROPERTY Status</w:instrText>
    </w:r>
    <w:r w:rsidRPr="00187C93">
      <w:rPr>
        <w:rStyle w:val="SidhuvudUtskott"/>
      </w:rPr>
      <w:fldChar w:fldCharType="separate"/>
    </w:r>
    <w:r w:rsidRPr="00187C93">
      <w:rPr>
        <w:rStyle w:val="SidhuvudUtskott"/>
      </w:rPr>
      <w:instrText>Utkast</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if </w:instrText>
    </w:r>
    <w:r w:rsidRPr="00187C93">
      <w:rPr>
        <w:rStyle w:val="SidhuvudUtskott"/>
      </w:rPr>
      <w:fldChar w:fldCharType="begin" w:fldLock="1"/>
    </w:r>
    <w:r w:rsidRPr="00187C93">
      <w:rPr>
        <w:rStyle w:val="SidhuvudUtskott"/>
      </w:rPr>
      <w:instrText xml:space="preserve"> DOCPROPERTY "UtkastDatum"</w:instrText>
    </w:r>
    <w:r w:rsidRPr="00187C93">
      <w:rPr>
        <w:rStyle w:val="SidhuvudUtskott"/>
      </w:rPr>
      <w:fldChar w:fldCharType="separate"/>
    </w:r>
    <w:r w:rsidRPr="00187C93">
      <w:rPr>
        <w:rStyle w:val="SidhuvudUtskott"/>
      </w:rPr>
      <w:instrText>Nej</w:instrText>
    </w:r>
    <w:r w:rsidRPr="00187C93">
      <w:rPr>
        <w:rStyle w:val="SidhuvudUtskott"/>
      </w:rPr>
      <w:fldChar w:fldCharType="end"/>
    </w:r>
    <w:r w:rsidRPr="00187C93">
      <w:rPr>
        <w:rStyle w:val="SidhuvudUtskott"/>
      </w:rPr>
      <w:instrText xml:space="preserve"> = "Ja" "    </w:instrText>
    </w:r>
    <w:r w:rsidRPr="00187C93">
      <w:rPr>
        <w:rStyle w:val="SidhuvudUtskott"/>
      </w:rPr>
      <w:fldChar w:fldCharType="begin" w:fldLock="1"/>
    </w:r>
    <w:r w:rsidRPr="00187C93">
      <w:rPr>
        <w:rStyle w:val="SidhuvudUtskott"/>
      </w:rPr>
      <w:instrText xml:space="preserve"> PRINTDATE \@ "yyyy-MM-dd HH.mm" </w:instrText>
    </w:r>
    <w:r w:rsidRPr="00187C93">
      <w:rPr>
        <w:rStyle w:val="SidhuvudUtskott"/>
      </w:rPr>
      <w:fldChar w:fldCharType="separate"/>
    </w:r>
    <w:r w:rsidRPr="00187C93">
      <w:rPr>
        <w:rStyle w:val="SidhuvudUtskott"/>
      </w:rPr>
      <w:instrText>2000-08-11 16.42</w:instrText>
    </w:r>
    <w:r w:rsidRPr="00187C93">
      <w:rPr>
        <w:rStyle w:val="SidhuvudUtskott"/>
      </w:rPr>
      <w:fldChar w:fldCharType="end"/>
    </w:r>
    <w:r w:rsidRPr="00187C93">
      <w:rPr>
        <w:rStyle w:val="SidhuvudUtskott"/>
      </w:rPr>
      <w:instrText xml:space="preserve">" </w:instrText>
    </w:r>
    <w:r w:rsidRPr="00187C93">
      <w:rPr>
        <w:rStyle w:val="SidhuvudUtskott"/>
      </w:rPr>
      <w:fldChar w:fldCharType="separate"/>
    </w:r>
    <w:r w:rsidRPr="00187C93">
      <w:rPr>
        <w:rStyle w:val="SidhuvudUtskott"/>
      </w:rPr>
      <w:fldChar w:fldCharType="end"/>
    </w:r>
  </w:p>
  <w:p w:rsidR="00DB1B84" w:rsidRPr="00187C93" w:rsidRDefault="00DB1B84">
    <w:pPr>
      <w:pStyle w:val="SidhuvudKantUdda"/>
      <w:framePr w:w="8732" w:h="567" w:hRule="exact" w:vSpace="0" w:wrap="around" w:vAnchor="page" w:y="341" w:anchorLock="0"/>
    </w:pPr>
    <w:r w:rsidRPr="00187C93">
      <w:rPr>
        <w:rStyle w:val="SidhuvudRubrikReferens"/>
        <w:smallCaps w:val="0"/>
        <w:spacing w:val="0"/>
        <w:sz w:val="19"/>
      </w:rPr>
      <w:instrText xml:space="preserve"> </w:instrText>
    </w:r>
    <w:r w:rsidRPr="00187C93">
      <w:instrText xml:space="preserve">"  "  </w:instrText>
    </w:r>
    <w:r w:rsidRPr="00187C93">
      <w:rPr>
        <w:rStyle w:val="SidhuvudUtskott"/>
      </w:rPr>
      <w:fldChar w:fldCharType="begin" w:fldLock="1"/>
    </w:r>
    <w:r w:rsidRPr="00187C93">
      <w:rPr>
        <w:rStyle w:val="SidhuvudUtskott"/>
      </w:rPr>
      <w:instrText xml:space="preserve"> DOCPROPERTY BetänkandeÅr</w:instrText>
    </w:r>
    <w:r w:rsidRPr="00187C93">
      <w:rPr>
        <w:rStyle w:val="SidhuvudUtskott"/>
      </w:rPr>
      <w:fldChar w:fldCharType="separate"/>
    </w:r>
    <w:r w:rsidRPr="00187C93">
      <w:rPr>
        <w:rStyle w:val="SidhuvudUtskott"/>
      </w:rPr>
      <w:instrText>2000/01</w:instrText>
    </w:r>
    <w:r w:rsidRPr="00187C93">
      <w:rPr>
        <w:rStyle w:val="SidhuvudUtskott"/>
      </w:rPr>
      <w:fldChar w:fldCharType="end"/>
    </w:r>
    <w:r w:rsidRPr="00187C93">
      <w:rPr>
        <w:rStyle w:val="SidhuvudUtskott"/>
      </w:rPr>
      <w:instrText>:</w:instrText>
    </w:r>
    <w:r w:rsidRPr="00187C93">
      <w:rPr>
        <w:rStyle w:val="SidhuvudUtskott"/>
      </w:rPr>
      <w:fldChar w:fldCharType="begin" w:fldLock="1"/>
    </w:r>
    <w:r w:rsidRPr="00187C93">
      <w:rPr>
        <w:rStyle w:val="SidhuvudUtskott"/>
      </w:rPr>
      <w:instrText xml:space="preserve"> DOCPROPERTY Utskott</w:instrText>
    </w:r>
    <w:r w:rsidRPr="00187C93">
      <w:rPr>
        <w:rStyle w:val="SidhuvudUtskott"/>
      </w:rPr>
      <w:fldChar w:fldCharType="separate"/>
    </w:r>
    <w:r w:rsidRPr="00187C93">
      <w:rPr>
        <w:rStyle w:val="SidhuvudUtskott"/>
      </w:rPr>
      <w:instrText>AU</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DOCPROPERTY BetänkandeNr</w:instrText>
    </w:r>
    <w:r w:rsidRPr="00187C93">
      <w:rPr>
        <w:rStyle w:val="SidhuvudUtskott"/>
      </w:rPr>
      <w:fldChar w:fldCharType="separate"/>
    </w:r>
    <w:r w:rsidRPr="00187C93">
      <w:rPr>
        <w:rStyle w:val="SidhuvudUtskott"/>
      </w:rPr>
      <w:instrText>2y</w:instrText>
    </w:r>
    <w:r w:rsidRPr="00187C93">
      <w:rPr>
        <w:rStyle w:val="SidhuvudUtskott"/>
      </w:rPr>
      <w:fldChar w:fldCharType="end"/>
    </w:r>
  </w:p>
  <w:p w:rsidR="00DB1B84" w:rsidRPr="00187C93" w:rsidRDefault="00DB1B84">
    <w:pPr>
      <w:pStyle w:val="SidhuvudKantUdda"/>
      <w:framePr w:w="8732" w:h="567" w:hRule="exact" w:vSpace="0" w:wrap="around" w:vAnchor="page" w:y="341" w:anchorLock="0"/>
    </w:pPr>
    <w:r w:rsidRPr="00187C93">
      <w:rPr>
        <w:rStyle w:val="SidhuvudUtskott"/>
      </w:rPr>
      <w:fldChar w:fldCharType="begin" w:fldLock="1"/>
    </w:r>
    <w:r w:rsidRPr="00187C93">
      <w:rPr>
        <w:rStyle w:val="SidhuvudUtskott"/>
      </w:rPr>
      <w:instrText xml:space="preserve"> if </w:instrText>
    </w:r>
    <w:r w:rsidRPr="00187C93">
      <w:rPr>
        <w:rStyle w:val="SidhuvudUtskott"/>
      </w:rPr>
      <w:fldChar w:fldCharType="begin" w:fldLock="1"/>
    </w:r>
    <w:r w:rsidRPr="00187C93">
      <w:rPr>
        <w:rStyle w:val="SidhuvudUtskott"/>
      </w:rPr>
      <w:instrText xml:space="preserve"> DOCPROPERTY "UtkastDatum"</w:instrText>
    </w:r>
    <w:r w:rsidRPr="00187C93">
      <w:rPr>
        <w:rStyle w:val="SidhuvudUtskott"/>
      </w:rPr>
      <w:fldChar w:fldCharType="separate"/>
    </w:r>
    <w:r w:rsidRPr="00187C93">
      <w:rPr>
        <w:rStyle w:val="SidhuvudUtskott"/>
      </w:rPr>
      <w:instrText>Nej</w:instrText>
    </w:r>
    <w:r w:rsidRPr="00187C93">
      <w:rPr>
        <w:rStyle w:val="SidhuvudUtskott"/>
      </w:rPr>
      <w:fldChar w:fldCharType="end"/>
    </w:r>
    <w:r w:rsidRPr="00187C93">
      <w:rPr>
        <w:rStyle w:val="SidhuvudUtskott"/>
      </w:rPr>
      <w:instrText xml:space="preserve"> = "Ja" "</w:instrText>
    </w:r>
    <w:r w:rsidRPr="00187C93">
      <w:rPr>
        <w:rStyle w:val="SidhuvudUtskott"/>
      </w:rPr>
      <w:fldChar w:fldCharType="begin" w:fldLock="1"/>
    </w:r>
    <w:r w:rsidRPr="00187C93">
      <w:rPr>
        <w:rStyle w:val="SidhuvudUtskott"/>
      </w:rPr>
      <w:instrText xml:space="preserve"> PRINTDATE \@ "yyyy-MM-dd HH.mm    " </w:instrText>
    </w:r>
    <w:r w:rsidRPr="00187C93">
      <w:rPr>
        <w:rStyle w:val="SidhuvudUtskott"/>
      </w:rPr>
      <w:fldChar w:fldCharType="separate"/>
    </w:r>
    <w:r w:rsidRPr="00187C93">
      <w:rPr>
        <w:rStyle w:val="SidhuvudUtskott"/>
      </w:rPr>
      <w:instrText>2000-08-11 16.42</w:instrText>
    </w:r>
    <w:r w:rsidRPr="00187C93">
      <w:rPr>
        <w:rStyle w:val="SidhuvudUtskott"/>
      </w:rPr>
      <w:fldChar w:fldCharType="end"/>
    </w:r>
    <w:r w:rsidRPr="00187C93">
      <w:rPr>
        <w:rStyle w:val="SidhuvudUtskott"/>
      </w:rPr>
      <w:instrText xml:space="preserve">" </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w:instrText>
    </w:r>
    <w:r w:rsidRPr="00187C93">
      <w:rPr>
        <w:rStyle w:val="SidhuvudUtskott"/>
      </w:rPr>
      <w:instrText>O</w:instrText>
    </w:r>
    <w:r w:rsidRPr="00187C93">
      <w:rPr>
        <w:rStyle w:val="SidhuvudUtskott"/>
      </w:rPr>
      <w:instrText>PERTY Status</w:instrText>
    </w:r>
    <w:r w:rsidRPr="00187C93">
      <w:rPr>
        <w:rStyle w:val="SidhuvudUtskott"/>
      </w:rPr>
      <w:fldChar w:fldCharType="end"/>
    </w:r>
    <w:r w:rsidRPr="00187C93">
      <w:instrText>"</w:instrText>
    </w:r>
    <w:r w:rsidRPr="00187C93">
      <w:fldChar w:fldCharType="separate"/>
    </w:r>
    <w:r w:rsidRPr="00187C93">
      <w:instrText xml:space="preserve">  </w:instrText>
    </w:r>
    <w:r w:rsidRPr="00187C93">
      <w:rPr>
        <w:rStyle w:val="SidhuvudUtskott"/>
      </w:rPr>
      <w:fldChar w:fldCharType="begin" w:fldLock="1"/>
    </w:r>
    <w:r w:rsidRPr="00187C93">
      <w:rPr>
        <w:rStyle w:val="SidhuvudUtskott"/>
      </w:rPr>
      <w:instrText xml:space="preserve"> DOCPROPERTY BetänkandeÅr</w:instrText>
    </w:r>
    <w:r w:rsidRPr="00187C93">
      <w:rPr>
        <w:rStyle w:val="SidhuvudUtskott"/>
      </w:rPr>
      <w:fldChar w:fldCharType="separate"/>
    </w:r>
    <w:r w:rsidRPr="00187C93">
      <w:rPr>
        <w:rStyle w:val="SidhuvudUtskott"/>
      </w:rPr>
      <w:instrText>2000/01</w:instrText>
    </w:r>
    <w:r w:rsidRPr="00187C93">
      <w:rPr>
        <w:rStyle w:val="SidhuvudUtskott"/>
      </w:rPr>
      <w:fldChar w:fldCharType="end"/>
    </w:r>
    <w:r w:rsidRPr="00187C93">
      <w:rPr>
        <w:rStyle w:val="SidhuvudUtskott"/>
      </w:rPr>
      <w:instrText>:</w:instrText>
    </w:r>
    <w:r w:rsidRPr="00187C93">
      <w:rPr>
        <w:rStyle w:val="SidhuvudUtskott"/>
      </w:rPr>
      <w:fldChar w:fldCharType="begin" w:fldLock="1"/>
    </w:r>
    <w:r w:rsidRPr="00187C93">
      <w:rPr>
        <w:rStyle w:val="SidhuvudUtskott"/>
      </w:rPr>
      <w:instrText xml:space="preserve"> DOCPROPERTY Utskott</w:instrText>
    </w:r>
    <w:r w:rsidRPr="00187C93">
      <w:rPr>
        <w:rStyle w:val="SidhuvudUtskott"/>
      </w:rPr>
      <w:fldChar w:fldCharType="separate"/>
    </w:r>
    <w:r w:rsidRPr="00187C93">
      <w:rPr>
        <w:rStyle w:val="SidhuvudUtskott"/>
      </w:rPr>
      <w:instrText>AU</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DOCPROPERTY BetänkandeNr</w:instrText>
    </w:r>
    <w:r w:rsidRPr="00187C93">
      <w:rPr>
        <w:rStyle w:val="SidhuvudUtskott"/>
      </w:rPr>
      <w:fldChar w:fldCharType="separate"/>
    </w:r>
    <w:r w:rsidRPr="00187C93">
      <w:rPr>
        <w:rStyle w:val="SidhuvudUtskott"/>
      </w:rPr>
      <w:instrText>2y</w:instrText>
    </w:r>
    <w:r w:rsidRPr="00187C93">
      <w:rPr>
        <w:rStyle w:val="SidhuvudUtskott"/>
      </w:rPr>
      <w:fldChar w:fldCharType="end"/>
    </w:r>
  </w:p>
  <w:p w:rsidR="00DB1B84" w:rsidRPr="00187C93" w:rsidRDefault="00DB1B84">
    <w:pPr>
      <w:pStyle w:val="SidhuvudKantUdda"/>
      <w:framePr w:w="8732" w:h="567" w:hRule="exact" w:vSpace="0" w:wrap="around" w:vAnchor="page" w:y="341" w:anchorLock="0"/>
    </w:pPr>
    <w:r w:rsidRPr="00187C93">
      <w:fldChar w:fldCharType="end"/>
    </w:r>
    <w:r w:rsidRPr="00187C93">
      <w:instrText>" " "</w:instrText>
    </w:r>
    <w:r w:rsidRPr="00187C93">
      <w:fldChar w:fldCharType="separate"/>
    </w:r>
    <w:r w:rsidR="00187C93" w:rsidRPr="00187C93">
      <w:rPr>
        <w:noProof/>
      </w:rPr>
      <w:t xml:space="preserve"> </w:t>
    </w:r>
    <w:r w:rsidRPr="00187C93">
      <w:fldChar w:fldCharType="end"/>
    </w:r>
  </w:p>
  <w:p w:rsidR="00DB1B84" w:rsidRPr="00187C93" w:rsidRDefault="00DB1B8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Jmn"/>
      <w:framePr w:w="8732" w:h="567" w:hRule="exact" w:vSpace="0" w:wrap="around" w:vAnchor="page" w:y="341" w:anchorLock="0"/>
    </w:pPr>
    <w:r w:rsidRPr="00187C93">
      <w:rPr>
        <w:rStyle w:val="SidhuvudUtskott"/>
      </w:rPr>
      <w:t>2000/01:AU2y</w:t>
    </w:r>
    <w:r w:rsidRPr="00187C93">
      <w:t xml:space="preserve">     </w:t>
    </w:r>
    <w:r w:rsidRPr="00187C93">
      <w:rPr>
        <w:rStyle w:val="SidhuvudBilaga"/>
      </w:rPr>
      <w:t xml:space="preserve"> </w:t>
    </w:r>
    <w:r w:rsidRPr="00187C93">
      <w:rPr>
        <w:rStyle w:val="SidhuvudRubrikReferens"/>
      </w:rPr>
      <w:t>Avvikande meningar</w:t>
    </w:r>
  </w:p>
  <w:p w:rsidR="00DB1B84" w:rsidRPr="00187C93" w:rsidRDefault="00DB1B84">
    <w:pPr>
      <w:pStyle w:val="SidhuvudKantJmn"/>
      <w:framePr w:w="8732" w:h="567" w:hRule="exact" w:vSpace="0" w:wrap="around" w:vAnchor="page" w:y="341" w:anchorLock="0"/>
    </w:pPr>
  </w:p>
  <w:p w:rsidR="00DB1B84" w:rsidRPr="00187C93" w:rsidRDefault="00DB1B8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Udda"/>
      <w:framePr w:w="8732" w:h="567" w:hRule="exact" w:vSpace="0" w:wrap="around" w:vAnchor="page" w:y="341" w:anchorLock="0"/>
    </w:pPr>
    <w:r w:rsidRPr="00187C93">
      <w:rPr>
        <w:rStyle w:val="SidhuvudRubrikReferens"/>
      </w:rPr>
      <w:t>Avvikande meningar</w:t>
    </w:r>
    <w:r w:rsidRPr="00187C93">
      <w:rPr>
        <w:rStyle w:val="SidhuvudBilaga"/>
      </w:rPr>
      <w:t xml:space="preserve"> </w:t>
    </w:r>
    <w:r w:rsidRPr="00187C93">
      <w:t xml:space="preserve">     </w:t>
    </w:r>
    <w:r w:rsidRPr="00187C93">
      <w:rPr>
        <w:rStyle w:val="SidhuvudUtskott"/>
      </w:rPr>
      <w:t>2000/01:AU2y</w:t>
    </w:r>
  </w:p>
  <w:p w:rsidR="00DB1B84" w:rsidRPr="00187C93" w:rsidRDefault="00DB1B84">
    <w:pPr>
      <w:pStyle w:val="SidhuvudKantUdda"/>
      <w:framePr w:w="8732" w:h="567" w:hRule="exact" w:vSpace="0" w:wrap="around" w:vAnchor="page" w:y="341" w:anchorLock="0"/>
    </w:pPr>
  </w:p>
  <w:p w:rsidR="00DB1B84" w:rsidRPr="00187C93" w:rsidRDefault="00DB1B8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Udda"/>
      <w:framePr w:w="8732" w:h="567" w:hRule="exact" w:vSpace="0" w:wrap="around" w:vAnchor="page" w:y="341" w:anchorLock="0"/>
    </w:pPr>
    <w:r w:rsidRPr="00187C93">
      <w:t xml:space="preserve">  </w:t>
    </w:r>
    <w:r w:rsidRPr="00187C93">
      <w:rPr>
        <w:rStyle w:val="SidhuvudUtskott"/>
      </w:rPr>
      <w:t>2000/01:AU2y</w:t>
    </w:r>
  </w:p>
  <w:p w:rsidR="00DB1B84" w:rsidRPr="00187C93" w:rsidRDefault="00DB1B84">
    <w:pPr>
      <w:pStyle w:val="SidhuvudKantUdda"/>
      <w:framePr w:w="8732" w:h="567" w:hRule="exact" w:vSpace="0" w:wrap="around" w:vAnchor="page" w:y="341" w:anchorLock="0"/>
    </w:pPr>
  </w:p>
  <w:p w:rsidR="00DB1B84" w:rsidRPr="00187C93" w:rsidRDefault="00DB1B8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Jmn"/>
      <w:framePr w:w="8732" w:h="567" w:hRule="exact" w:vSpace="0" w:wrap="around" w:vAnchor="page" w:y="341" w:anchorLock="0"/>
    </w:pPr>
    <w:r w:rsidRPr="00187C93">
      <w:rPr>
        <w:rStyle w:val="SidhuvudUtskott"/>
      </w:rPr>
      <w:fldChar w:fldCharType="begin" w:fldLock="1"/>
    </w:r>
    <w:r w:rsidRPr="00187C93">
      <w:rPr>
        <w:rStyle w:val="SidhuvudUtskott"/>
      </w:rPr>
      <w:instrText xml:space="preserve"> DOCPROPERTY BetänkandeÅr</w:instrText>
    </w:r>
    <w:r w:rsidRPr="00187C93">
      <w:rPr>
        <w:rStyle w:val="SidhuvudUtskott"/>
      </w:rPr>
      <w:fldChar w:fldCharType="separate"/>
    </w:r>
    <w:r w:rsidRPr="00187C93">
      <w:rPr>
        <w:rStyle w:val="SidhuvudUtskott"/>
      </w:rPr>
      <w:t>2000/01</w:t>
    </w:r>
    <w:r w:rsidRPr="00187C93">
      <w:rPr>
        <w:rStyle w:val="SidhuvudUtskott"/>
      </w:rPr>
      <w:fldChar w:fldCharType="end"/>
    </w:r>
    <w:r w:rsidRPr="00187C93">
      <w:rPr>
        <w:rStyle w:val="SidhuvudUtskott"/>
      </w:rPr>
      <w:t>:</w:t>
    </w:r>
    <w:r w:rsidRPr="00187C93">
      <w:rPr>
        <w:rStyle w:val="SidhuvudUtskott"/>
      </w:rPr>
      <w:fldChar w:fldCharType="begin" w:fldLock="1"/>
    </w:r>
    <w:r w:rsidRPr="00187C93">
      <w:rPr>
        <w:rStyle w:val="SidhuvudUtskott"/>
      </w:rPr>
      <w:instrText xml:space="preserve"> DOCPROPERTY Utskott</w:instrText>
    </w:r>
    <w:r w:rsidRPr="00187C93">
      <w:rPr>
        <w:rStyle w:val="SidhuvudUtskott"/>
      </w:rPr>
      <w:fldChar w:fldCharType="separate"/>
    </w:r>
    <w:r w:rsidRPr="00187C93">
      <w:rPr>
        <w:rStyle w:val="SidhuvudUtskott"/>
      </w:rPr>
      <w:t>AU</w: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DOCPROPERTY BetänkandeNr</w:instrText>
    </w:r>
    <w:r w:rsidRPr="00187C93">
      <w:rPr>
        <w:rStyle w:val="SidhuvudUtskott"/>
      </w:rPr>
      <w:fldChar w:fldCharType="separate"/>
    </w:r>
    <w:r w:rsidRPr="00187C93">
      <w:rPr>
        <w:rStyle w:val="SidhuvudUtskott"/>
      </w:rPr>
      <w:t>2y</w:t>
    </w:r>
    <w:r w:rsidRPr="00187C93">
      <w:rPr>
        <w:rStyle w:val="SidhuvudUtskott"/>
      </w:rPr>
      <w:fldChar w:fldCharType="end"/>
    </w:r>
    <w:r w:rsidRPr="00187C93">
      <w:t xml:space="preserve">     </w:t>
    </w:r>
    <w:r w:rsidRPr="00187C93">
      <w:rPr>
        <w:rStyle w:val="SidhuvudBilaga"/>
      </w:rPr>
      <w:t xml:space="preserve"> </w:t>
    </w:r>
    <w:r w:rsidRPr="00187C93">
      <w:rPr>
        <w:rStyle w:val="SidhuvudRubrikReferens"/>
      </w:rPr>
      <w:fldChar w:fldCharType="begin" w:fldLock="1"/>
    </w:r>
    <w:r w:rsidRPr="00187C93">
      <w:rPr>
        <w:rStyle w:val="SidhuvudRubrikReferens"/>
      </w:rPr>
      <w:instrText xml:space="preserve"> StyleREF "Rubrik 1" </w:instrText>
    </w:r>
    <w:r w:rsidRPr="00187C93">
      <w:rPr>
        <w:rStyle w:val="SidhuvudRubrikReferens"/>
      </w:rPr>
      <w:fldChar w:fldCharType="separate"/>
    </w:r>
    <w:r w:rsidRPr="00187C93">
      <w:rPr>
        <w:rStyle w:val="SidhuvudRubrikReferens"/>
      </w:rPr>
      <w:t>Avvikande meningar</w:t>
    </w:r>
    <w:r w:rsidRPr="00187C93">
      <w:rPr>
        <w:rStyle w:val="SidhuvudRubrikReferens"/>
      </w:rPr>
      <w:fldChar w:fldCharType="end"/>
    </w:r>
  </w:p>
  <w:p w:rsidR="00DB1B84" w:rsidRPr="00187C93" w:rsidRDefault="00DB1B84">
    <w:pPr>
      <w:pStyle w:val="SidhuvudKantJmn"/>
      <w:framePr w:w="8732" w:h="567" w:hRule="exact" w:vSpace="0" w:wrap="around" w:vAnchor="page" w:y="341" w:anchorLock="0"/>
    </w:pPr>
    <w:r w:rsidRPr="00187C93">
      <w:rPr>
        <w:rStyle w:val="SidhuvudUtskott"/>
      </w:rPr>
      <w:fldChar w:fldCharType="begin" w:fldLock="1"/>
    </w:r>
    <w:r w:rsidRPr="00187C93">
      <w:rPr>
        <w:rStyle w:val="SidhuvudUtskott"/>
      </w:rPr>
      <w:instrText xml:space="preserve"> DOCPROPERTY Status</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if </w:instrText>
    </w:r>
    <w:r w:rsidRPr="00187C93">
      <w:rPr>
        <w:rStyle w:val="SidhuvudUtskott"/>
      </w:rPr>
      <w:fldChar w:fldCharType="begin" w:fldLock="1"/>
    </w:r>
    <w:r w:rsidRPr="00187C93">
      <w:rPr>
        <w:rStyle w:val="SidhuvudUtskott"/>
      </w:rPr>
      <w:instrText xml:space="preserve"> DOCPROPERTY "UtkastDatum"</w:instrText>
    </w:r>
    <w:r w:rsidRPr="00187C93">
      <w:rPr>
        <w:rStyle w:val="SidhuvudUtskott"/>
      </w:rPr>
      <w:fldChar w:fldCharType="separate"/>
    </w:r>
    <w:r w:rsidRPr="00187C93">
      <w:rPr>
        <w:rStyle w:val="SidhuvudUtskott"/>
      </w:rPr>
      <w:instrText>Nej</w:instrText>
    </w:r>
    <w:r w:rsidRPr="00187C93">
      <w:rPr>
        <w:rStyle w:val="SidhuvudUtskott"/>
      </w:rPr>
      <w:fldChar w:fldCharType="end"/>
    </w:r>
    <w:r w:rsidRPr="00187C93">
      <w:rPr>
        <w:rStyle w:val="SidhuvudUtskott"/>
      </w:rPr>
      <w:instrText xml:space="preserve"> = "Ja" "    </w:instrText>
    </w:r>
    <w:r w:rsidRPr="00187C93">
      <w:rPr>
        <w:rStyle w:val="SidhuvudUtskott"/>
      </w:rPr>
      <w:fldChar w:fldCharType="begin" w:fldLock="1"/>
    </w:r>
    <w:r w:rsidRPr="00187C93">
      <w:rPr>
        <w:rStyle w:val="SidhuvudUtskott"/>
      </w:rPr>
      <w:instrText xml:space="preserve"> PRINTDATE \@ "yyyy-MM-dd HH.mm" </w:instrText>
    </w:r>
    <w:r w:rsidRPr="00187C93">
      <w:rPr>
        <w:rStyle w:val="SidhuvudUtskott"/>
      </w:rPr>
      <w:fldChar w:fldCharType="separate"/>
    </w:r>
    <w:r w:rsidRPr="00187C93">
      <w:rPr>
        <w:rStyle w:val="SidhuvudUtskott"/>
      </w:rPr>
      <w:instrText>2000-08-11 16.42</w:instrText>
    </w:r>
    <w:r w:rsidRPr="00187C93">
      <w:rPr>
        <w:rStyle w:val="SidhuvudUtskott"/>
      </w:rPr>
      <w:fldChar w:fldCharType="end"/>
    </w:r>
    <w:r w:rsidRPr="00187C93">
      <w:rPr>
        <w:rStyle w:val="SidhuvudUtskott"/>
      </w:rPr>
      <w:instrText xml:space="preserve">" </w:instrText>
    </w:r>
    <w:r w:rsidRPr="00187C93">
      <w:rPr>
        <w:rStyle w:val="SidhuvudUtskott"/>
      </w:rPr>
      <w:fldChar w:fldCharType="end"/>
    </w:r>
  </w:p>
  <w:p w:rsidR="00DB1B84" w:rsidRPr="00187C93" w:rsidRDefault="00DB1B8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Udda"/>
      <w:framePr w:w="8732" w:h="567" w:hRule="exact" w:vSpace="0" w:wrap="around" w:vAnchor="page" w:y="341" w:anchorLock="0"/>
    </w:pPr>
    <w:r w:rsidRPr="00187C93">
      <w:rPr>
        <w:rStyle w:val="SidhuvudRubrikReferens"/>
      </w:rPr>
      <w:fldChar w:fldCharType="begin" w:fldLock="1"/>
    </w:r>
    <w:r w:rsidRPr="00187C93">
      <w:rPr>
        <w:rStyle w:val="SidhuvudRubrikReferens"/>
      </w:rPr>
      <w:instrText xml:space="preserve"> StyleREF "Rubrik 1" </w:instrText>
    </w:r>
    <w:r w:rsidRPr="00187C93">
      <w:rPr>
        <w:rStyle w:val="SidhuvudRubrikReferens"/>
      </w:rPr>
      <w:fldChar w:fldCharType="separate"/>
    </w:r>
    <w:r w:rsidRPr="00187C93">
      <w:rPr>
        <w:rStyle w:val="SidhuvudRubrikReferens"/>
      </w:rPr>
      <w:t>Avvikande meningar</w:t>
    </w:r>
    <w:r w:rsidRPr="00187C93">
      <w:rPr>
        <w:rStyle w:val="SidhuvudRubrikReferens"/>
      </w:rPr>
      <w:fldChar w:fldCharType="end"/>
    </w:r>
    <w:r w:rsidRPr="00187C93">
      <w:rPr>
        <w:rStyle w:val="SidhuvudBilaga"/>
      </w:rPr>
      <w:t xml:space="preserve"> </w:t>
    </w:r>
    <w:r w:rsidRPr="00187C93">
      <w:t xml:space="preserve">     </w:t>
    </w:r>
    <w:r w:rsidRPr="00187C93">
      <w:rPr>
        <w:rStyle w:val="SidhuvudUtskott"/>
      </w:rPr>
      <w:fldChar w:fldCharType="begin" w:fldLock="1"/>
    </w:r>
    <w:r w:rsidRPr="00187C93">
      <w:rPr>
        <w:rStyle w:val="SidhuvudUtskott"/>
      </w:rPr>
      <w:instrText xml:space="preserve"> DOCPROPERTY BetänkandeÅr</w:instrText>
    </w:r>
    <w:r w:rsidRPr="00187C93">
      <w:rPr>
        <w:rStyle w:val="SidhuvudUtskott"/>
      </w:rPr>
      <w:fldChar w:fldCharType="separate"/>
    </w:r>
    <w:r w:rsidRPr="00187C93">
      <w:rPr>
        <w:rStyle w:val="SidhuvudUtskott"/>
      </w:rPr>
      <w:t>2000/01</w:t>
    </w:r>
    <w:r w:rsidRPr="00187C93">
      <w:rPr>
        <w:rStyle w:val="SidhuvudUtskott"/>
      </w:rPr>
      <w:fldChar w:fldCharType="end"/>
    </w:r>
    <w:r w:rsidRPr="00187C93">
      <w:rPr>
        <w:rStyle w:val="SidhuvudUtskott"/>
      </w:rPr>
      <w:t>:</w:t>
    </w:r>
    <w:r w:rsidRPr="00187C93">
      <w:rPr>
        <w:rStyle w:val="SidhuvudUtskott"/>
      </w:rPr>
      <w:fldChar w:fldCharType="begin" w:fldLock="1"/>
    </w:r>
    <w:r w:rsidRPr="00187C93">
      <w:rPr>
        <w:rStyle w:val="SidhuvudUtskott"/>
      </w:rPr>
      <w:instrText xml:space="preserve"> DOCPROPERTY</w:instrText>
    </w:r>
    <w:r w:rsidRPr="00187C93">
      <w:instrText xml:space="preserve"> </w:instrText>
    </w:r>
    <w:r w:rsidRPr="00187C93">
      <w:rPr>
        <w:rStyle w:val="SidhuvudUtskott"/>
      </w:rPr>
      <w:instrText>Utskott</w:instrText>
    </w:r>
    <w:r w:rsidRPr="00187C93">
      <w:rPr>
        <w:rStyle w:val="SidhuvudUtskott"/>
      </w:rPr>
      <w:fldChar w:fldCharType="separate"/>
    </w:r>
    <w:r w:rsidRPr="00187C93">
      <w:rPr>
        <w:rStyle w:val="SidhuvudUtskott"/>
      </w:rPr>
      <w:t>AU</w: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DOCPROPERTY Betä</w:instrText>
    </w:r>
    <w:r w:rsidRPr="00187C93">
      <w:rPr>
        <w:rStyle w:val="SidhuvudUtskott"/>
      </w:rPr>
      <w:instrText>n</w:instrText>
    </w:r>
    <w:r w:rsidRPr="00187C93">
      <w:rPr>
        <w:rStyle w:val="SidhuvudUtskott"/>
      </w:rPr>
      <w:instrText>kandeNr</w:instrText>
    </w:r>
    <w:r w:rsidRPr="00187C93">
      <w:rPr>
        <w:rStyle w:val="SidhuvudUtskott"/>
      </w:rPr>
      <w:fldChar w:fldCharType="separate"/>
    </w:r>
    <w:r w:rsidRPr="00187C93">
      <w:rPr>
        <w:rStyle w:val="SidhuvudUtskott"/>
      </w:rPr>
      <w:t>2y</w:t>
    </w:r>
    <w:r w:rsidRPr="00187C93">
      <w:rPr>
        <w:rStyle w:val="SidhuvudUtskott"/>
      </w:rPr>
      <w:fldChar w:fldCharType="end"/>
    </w:r>
  </w:p>
  <w:p w:rsidR="00DB1B84" w:rsidRPr="00187C93" w:rsidRDefault="00DB1B84">
    <w:pPr>
      <w:pStyle w:val="SidhuvudKantUdda"/>
      <w:framePr w:w="8732" w:h="567" w:hRule="exact" w:vSpace="0" w:wrap="around" w:vAnchor="page" w:y="341" w:anchorLock="0"/>
    </w:pPr>
    <w:r w:rsidRPr="00187C93">
      <w:rPr>
        <w:rStyle w:val="SidhuvudUtskott"/>
      </w:rPr>
      <w:fldChar w:fldCharType="begin" w:fldLock="1"/>
    </w:r>
    <w:r w:rsidRPr="00187C93">
      <w:rPr>
        <w:rStyle w:val="SidhuvudUtskott"/>
      </w:rPr>
      <w:instrText xml:space="preserve"> if </w:instrText>
    </w:r>
    <w:r w:rsidRPr="00187C93">
      <w:rPr>
        <w:rStyle w:val="SidhuvudUtskott"/>
      </w:rPr>
      <w:fldChar w:fldCharType="begin" w:fldLock="1"/>
    </w:r>
    <w:r w:rsidRPr="00187C93">
      <w:rPr>
        <w:rStyle w:val="SidhuvudUtskott"/>
      </w:rPr>
      <w:instrText xml:space="preserve"> DOCPROPERTY "UtkastDatum"</w:instrText>
    </w:r>
    <w:r w:rsidRPr="00187C93">
      <w:rPr>
        <w:rStyle w:val="SidhuvudUtskott"/>
      </w:rPr>
      <w:fldChar w:fldCharType="separate"/>
    </w:r>
    <w:r w:rsidRPr="00187C93">
      <w:rPr>
        <w:rStyle w:val="SidhuvudUtskott"/>
      </w:rPr>
      <w:instrText>Nej</w:instrText>
    </w:r>
    <w:r w:rsidRPr="00187C93">
      <w:rPr>
        <w:rStyle w:val="SidhuvudUtskott"/>
      </w:rPr>
      <w:fldChar w:fldCharType="end"/>
    </w:r>
    <w:r w:rsidRPr="00187C93">
      <w:rPr>
        <w:rStyle w:val="SidhuvudUtskott"/>
      </w:rPr>
      <w:instrText xml:space="preserve"> = "Ja" "</w:instrText>
    </w:r>
    <w:r w:rsidRPr="00187C93">
      <w:rPr>
        <w:rStyle w:val="SidhuvudUtskott"/>
      </w:rPr>
      <w:fldChar w:fldCharType="begin" w:fldLock="1"/>
    </w:r>
    <w:r w:rsidRPr="00187C93">
      <w:rPr>
        <w:rStyle w:val="SidhuvudUtskott"/>
      </w:rPr>
      <w:instrText xml:space="preserve"> PRINTDATE \@ "yyyy-MM-dd HH.mm    " </w:instrText>
    </w:r>
    <w:r w:rsidRPr="00187C93">
      <w:rPr>
        <w:rStyle w:val="SidhuvudUtskott"/>
      </w:rPr>
      <w:fldChar w:fldCharType="separate"/>
    </w:r>
    <w:r w:rsidRPr="00187C93">
      <w:rPr>
        <w:rStyle w:val="SidhuvudUtskott"/>
      </w:rPr>
      <w:instrText>2000-08-11 16.42</w:instrText>
    </w:r>
    <w:r w:rsidRPr="00187C93">
      <w:rPr>
        <w:rStyle w:val="SidhuvudUtskott"/>
      </w:rPr>
      <w:fldChar w:fldCharType="end"/>
    </w:r>
    <w:r w:rsidRPr="00187C93">
      <w:rPr>
        <w:rStyle w:val="SidhuvudUtskott"/>
      </w:rPr>
      <w:instrText xml:space="preserve">" </w:instrText>
    </w:r>
    <w:r w:rsidRPr="00187C93">
      <w:rPr>
        <w:rStyle w:val="SidhuvudUtskott"/>
      </w:rPr>
      <w:fldChar w:fldCharType="end"/>
    </w:r>
    <w:r w:rsidRPr="00187C93">
      <w:rPr>
        <w:rStyle w:val="SidhuvudUtskott"/>
      </w:rPr>
      <w:fldChar w:fldCharType="begin" w:fldLock="1"/>
    </w:r>
    <w:r w:rsidRPr="00187C93">
      <w:rPr>
        <w:rStyle w:val="SidhuvudUtskott"/>
      </w:rPr>
      <w:instrText xml:space="preserve"> DOCPR</w:instrText>
    </w:r>
    <w:r w:rsidRPr="00187C93">
      <w:rPr>
        <w:rStyle w:val="SidhuvudUtskott"/>
      </w:rPr>
      <w:instrText>O</w:instrText>
    </w:r>
    <w:r w:rsidRPr="00187C93">
      <w:rPr>
        <w:rStyle w:val="SidhuvudUtskott"/>
      </w:rPr>
      <w:instrText>PERTY Status</w:instrText>
    </w:r>
    <w:r w:rsidRPr="00187C93">
      <w:rPr>
        <w:rStyle w:val="SidhuvudUtskott"/>
      </w:rPr>
      <w:fldChar w:fldCharType="end"/>
    </w:r>
  </w:p>
  <w:p w:rsidR="00DB1B84" w:rsidRPr="00187C93" w:rsidRDefault="00DB1B8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84" w:rsidRPr="00187C93" w:rsidRDefault="00DB1B84">
    <w:pPr>
      <w:pStyle w:val="SidhuvudKantUdda"/>
      <w:framePr w:w="8732" w:h="567" w:hRule="exact" w:vSpace="0" w:wrap="around" w:vAnchor="page" w:y="341" w:anchorLock="0"/>
    </w:pPr>
    <w:r w:rsidRPr="00187C93">
      <w:t xml:space="preserve">  </w:t>
    </w:r>
    <w:r w:rsidRPr="00187C93">
      <w:rPr>
        <w:rStyle w:val="SidhuvudUtskott"/>
      </w:rPr>
      <w:t>2000/01:AU2y</w:t>
    </w:r>
  </w:p>
  <w:p w:rsidR="00DB1B84" w:rsidRPr="00187C93" w:rsidRDefault="00DB1B84">
    <w:pPr>
      <w:pStyle w:val="SidhuvudKantUdda"/>
      <w:framePr w:w="8732" w:h="567" w:hRule="exact" w:vSpace="0" w:wrap="around" w:vAnchor="page" w:y="341" w:anchorLock="0"/>
    </w:pPr>
  </w:p>
  <w:p w:rsidR="00DB1B84" w:rsidRPr="00187C93" w:rsidRDefault="00DB1B8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5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E376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170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ED0C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2903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9155A"/>
    <w:multiLevelType w:val="singleLevel"/>
    <w:tmpl w:val="9B6049D8"/>
    <w:lvl w:ilvl="0">
      <w:numFmt w:val="bullet"/>
      <w:lvlText w:val="-"/>
      <w:lvlJc w:val="left"/>
      <w:pPr>
        <w:tabs>
          <w:tab w:val="num" w:pos="360"/>
        </w:tabs>
        <w:ind w:left="360" w:hanging="360"/>
      </w:pPr>
      <w:rPr>
        <w:rFonts w:hint="default"/>
      </w:rPr>
    </w:lvl>
  </w:abstractNum>
  <w:abstractNum w:abstractNumId="6" w15:restartNumberingAfterBreak="0">
    <w:nsid w:val="14750C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55F04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D77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71E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41E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0E3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5A6B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7E20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526B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FF06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122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AF31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1A45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2148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7C0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347A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9513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7F2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1234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F83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4F43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AF0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4345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7832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1354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CC101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21297538">
    <w:abstractNumId w:val="7"/>
  </w:num>
  <w:num w:numId="2" w16cid:durableId="754209304">
    <w:abstractNumId w:val="5"/>
  </w:num>
  <w:num w:numId="3" w16cid:durableId="858468771">
    <w:abstractNumId w:val="12"/>
  </w:num>
  <w:num w:numId="4" w16cid:durableId="1934851667">
    <w:abstractNumId w:val="1"/>
  </w:num>
  <w:num w:numId="5" w16cid:durableId="321004834">
    <w:abstractNumId w:val="24"/>
  </w:num>
  <w:num w:numId="6" w16cid:durableId="1274439751">
    <w:abstractNumId w:val="19"/>
  </w:num>
  <w:num w:numId="7" w16cid:durableId="1166945992">
    <w:abstractNumId w:val="6"/>
  </w:num>
  <w:num w:numId="8" w16cid:durableId="1846699859">
    <w:abstractNumId w:val="31"/>
  </w:num>
  <w:num w:numId="9" w16cid:durableId="858658965">
    <w:abstractNumId w:val="10"/>
  </w:num>
  <w:num w:numId="10" w16cid:durableId="994646756">
    <w:abstractNumId w:val="27"/>
  </w:num>
  <w:num w:numId="11" w16cid:durableId="1394891752">
    <w:abstractNumId w:val="25"/>
  </w:num>
  <w:num w:numId="12" w16cid:durableId="679816220">
    <w:abstractNumId w:val="3"/>
  </w:num>
  <w:num w:numId="13" w16cid:durableId="1700398213">
    <w:abstractNumId w:val="30"/>
  </w:num>
  <w:num w:numId="14" w16cid:durableId="297730051">
    <w:abstractNumId w:val="8"/>
  </w:num>
  <w:num w:numId="15" w16cid:durableId="391467792">
    <w:abstractNumId w:val="9"/>
  </w:num>
  <w:num w:numId="16" w16cid:durableId="1248072772">
    <w:abstractNumId w:val="21"/>
  </w:num>
  <w:num w:numId="17" w16cid:durableId="597635589">
    <w:abstractNumId w:val="29"/>
  </w:num>
  <w:num w:numId="18" w16cid:durableId="340010296">
    <w:abstractNumId w:val="17"/>
  </w:num>
  <w:num w:numId="19" w16cid:durableId="557715570">
    <w:abstractNumId w:val="23"/>
  </w:num>
  <w:num w:numId="20" w16cid:durableId="154303050">
    <w:abstractNumId w:val="18"/>
  </w:num>
  <w:num w:numId="21" w16cid:durableId="1192232189">
    <w:abstractNumId w:val="4"/>
  </w:num>
  <w:num w:numId="22" w16cid:durableId="244538448">
    <w:abstractNumId w:val="14"/>
  </w:num>
  <w:num w:numId="23" w16cid:durableId="675494603">
    <w:abstractNumId w:val="32"/>
  </w:num>
  <w:num w:numId="24" w16cid:durableId="1235972362">
    <w:abstractNumId w:val="11"/>
  </w:num>
  <w:num w:numId="25" w16cid:durableId="1863862252">
    <w:abstractNumId w:val="2"/>
  </w:num>
  <w:num w:numId="26" w16cid:durableId="1707871349">
    <w:abstractNumId w:val="0"/>
  </w:num>
  <w:num w:numId="27" w16cid:durableId="500049063">
    <w:abstractNumId w:val="28"/>
  </w:num>
  <w:num w:numId="28" w16cid:durableId="1696610390">
    <w:abstractNumId w:val="26"/>
  </w:num>
  <w:num w:numId="29" w16cid:durableId="1746491250">
    <w:abstractNumId w:val="13"/>
  </w:num>
  <w:num w:numId="30" w16cid:durableId="1830824310">
    <w:abstractNumId w:val="15"/>
  </w:num>
  <w:num w:numId="31" w16cid:durableId="1000278950">
    <w:abstractNumId w:val="22"/>
  </w:num>
  <w:num w:numId="32" w16cid:durableId="300381022">
    <w:abstractNumId w:val="20"/>
  </w:num>
  <w:num w:numId="33" w16cid:durableId="8087916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FC71C2"/>
    <w:rsid w:val="00187C93"/>
    <w:rsid w:val="00DB1B84"/>
    <w:rsid w:val="00FC7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96726-6C3F-4F04-8776-64FEAC0C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15005</Words>
  <Characters>94086</Characters>
  <Application>Microsoft Office Word</Application>
  <DocSecurity>4</DocSecurity>
  <Lines>1881</Lines>
  <Paragraphs>657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Arbetsmarknadsutskottets yttrande</vt:lpstr>
      <vt:lpstr>    1 Inledning</vt:lpstr>
      <vt:lpstr>    2 Allmänna frågor</vt:lpstr>
      <vt:lpstr>        Propositionen</vt:lpstr>
      <vt:lpstr>        Motioner</vt:lpstr>
      <vt:lpstr>        Utskottets ställningstagande</vt:lpstr>
      <vt:lpstr>    3 Utgiftstak för staten och preliminär fördelning på utgiftsområden under åren 2</vt:lpstr>
      <vt:lpstr>    3.1 Förutsättningar</vt:lpstr>
      <vt:lpstr>    3.2 Utgiftsområde 13 Arbetsmarknad</vt:lpstr>
      <vt:lpstr>        Propositionen</vt:lpstr>
      <vt:lpstr>        Motioner</vt:lpstr>
      <vt:lpstr>        Utskottets ställningstagande </vt:lpstr>
      <vt:lpstr>    3.3 Utgiftsområde 14 Arbetsliv</vt:lpstr>
      <vt:lpstr>        Propositionen</vt:lpstr>
      <vt:lpstr>        Motioner</vt:lpstr>
      <vt:lpstr>        Utskottets ställningstagande </vt:lpstr>
      <vt:lpstr>    4 Årsredovisningen för staten 2000</vt:lpstr>
      <vt:lpstr>        Motion</vt:lpstr>
      <vt:lpstr>        Utskottets ställningstagande</vt:lpstr>
      <vt:lpstr>Avvikande meningar</vt:lpstr>
      <vt:lpstr>    1. Allmänna frågor (Moderaterna, Kristdemokraterna, Centerpartiet och Folkpartie</vt:lpstr>
      <vt:lpstr>    2. Arbetsmarknadsverket m.m. (Centerpartiet och Folkpartiet)</vt:lpstr>
      <vt:lpstr>    3. Preliminära ramar för utgiftsområdena 13 och 14 åren 2002–2004 (Moderaterna)</vt:lpstr>
    </vt:vector>
  </TitlesOfParts>
  <Company>Riksdagen</Company>
  <LinksUpToDate>false</LinksUpToDate>
  <CharactersWithSpaces>108434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2001-05-29T08:10:00Z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