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686" w:rsidRPr="004503B4" w:rsidRDefault="004F1686">
      <w:pPr>
        <w:pStyle w:val="Frslagsrubrik"/>
      </w:pPr>
      <w:r w:rsidRPr="004503B4">
        <w:t>Förslag till riksdagsbeslut</w:t>
      </w:r>
    </w:p>
    <w:p w:rsidR="004F1686" w:rsidRPr="004503B4" w:rsidRDefault="004F1686">
      <w:pPr>
        <w:pStyle w:val="Hemstlatt"/>
        <w:ind w:left="0"/>
      </w:pPr>
      <w:r w:rsidRPr="004503B4">
        <w:t>Riksdagen anvisar med följande ändringar i förhålla</w:t>
      </w:r>
      <w:r w:rsidRPr="004503B4">
        <w:t>n</w:t>
      </w:r>
      <w:r w:rsidRPr="004503B4">
        <w:t>de till regeringens förslag anslagen under utgiftsområde 19 Regional tillväxt enligt uppställning: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5"/>
        <w:gridCol w:w="2040"/>
        <w:gridCol w:w="1800"/>
        <w:gridCol w:w="1499"/>
      </w:tblGrid>
      <w:tr w:rsidR="00000000" w:rsidRPr="004503B4">
        <w:trPr>
          <w:cantSplit/>
        </w:trPr>
        <w:tc>
          <w:tcPr>
            <w:tcW w:w="615" w:type="dxa"/>
            <w:tcBorders>
              <w:top w:val="single" w:sz="4" w:space="0" w:color="auto"/>
              <w:bottom w:val="single" w:sz="4" w:space="0" w:color="auto"/>
            </w:tcBorders>
          </w:tcPr>
          <w:p w:rsidR="004F1686" w:rsidRPr="004503B4" w:rsidRDefault="004F1686">
            <w:pPr>
              <w:spacing w:before="60" w:line="200" w:lineRule="exact"/>
              <w:rPr>
                <w:b/>
                <w:bCs/>
                <w:color w:val="000000"/>
                <w:sz w:val="16"/>
                <w:szCs w:val="16"/>
              </w:rPr>
            </w:pPr>
            <w:r w:rsidRPr="004503B4">
              <w:rPr>
                <w:b/>
                <w:bCs/>
                <w:color w:val="000000"/>
                <w:sz w:val="16"/>
                <w:szCs w:val="16"/>
              </w:rPr>
              <w:t>Anslag</w:t>
            </w:r>
          </w:p>
        </w:tc>
        <w:tc>
          <w:tcPr>
            <w:tcW w:w="2040" w:type="dxa"/>
            <w:tcBorders>
              <w:top w:val="single" w:sz="4" w:space="0" w:color="auto"/>
              <w:bottom w:val="single" w:sz="4" w:space="0" w:color="auto"/>
            </w:tcBorders>
          </w:tcPr>
          <w:p w:rsidR="004F1686" w:rsidRPr="004503B4" w:rsidRDefault="004F1686">
            <w:pPr>
              <w:spacing w:before="60" w:line="200" w:lineRule="exact"/>
              <w:rPr>
                <w:b/>
                <w:bCs/>
                <w:color w:val="000000"/>
                <w:sz w:val="16"/>
                <w:szCs w:val="16"/>
              </w:rPr>
            </w:pPr>
          </w:p>
        </w:tc>
        <w:tc>
          <w:tcPr>
            <w:tcW w:w="1800" w:type="dxa"/>
            <w:tcBorders>
              <w:top w:val="single" w:sz="4" w:space="0" w:color="auto"/>
              <w:bottom w:val="single" w:sz="4" w:space="0" w:color="auto"/>
            </w:tcBorders>
          </w:tcPr>
          <w:p w:rsidR="004F1686" w:rsidRPr="004503B4" w:rsidRDefault="004F1686">
            <w:pPr>
              <w:spacing w:before="60" w:line="200" w:lineRule="exact"/>
              <w:jc w:val="right"/>
              <w:rPr>
                <w:b/>
                <w:bCs/>
                <w:color w:val="000000"/>
                <w:sz w:val="16"/>
                <w:szCs w:val="16"/>
              </w:rPr>
            </w:pPr>
            <w:r w:rsidRPr="004503B4">
              <w:rPr>
                <w:b/>
                <w:bCs/>
                <w:color w:val="000000"/>
                <w:sz w:val="16"/>
                <w:szCs w:val="16"/>
              </w:rPr>
              <w:t>Regeringens förslag (tkr)</w:t>
            </w:r>
          </w:p>
        </w:tc>
        <w:tc>
          <w:tcPr>
            <w:tcW w:w="1499" w:type="dxa"/>
            <w:tcBorders>
              <w:top w:val="single" w:sz="4" w:space="0" w:color="auto"/>
              <w:bottom w:val="single" w:sz="4" w:space="0" w:color="auto"/>
            </w:tcBorders>
          </w:tcPr>
          <w:p w:rsidR="004F1686" w:rsidRPr="004503B4" w:rsidRDefault="004F1686">
            <w:pPr>
              <w:spacing w:before="60" w:line="200" w:lineRule="exact"/>
              <w:jc w:val="right"/>
              <w:rPr>
                <w:b/>
                <w:bCs/>
                <w:color w:val="000000"/>
                <w:sz w:val="16"/>
                <w:szCs w:val="16"/>
              </w:rPr>
            </w:pPr>
            <w:r w:rsidRPr="004503B4">
              <w:rPr>
                <w:b/>
                <w:bCs/>
                <w:color w:val="000000"/>
                <w:sz w:val="16"/>
                <w:szCs w:val="16"/>
              </w:rPr>
              <w:t>Anslagsförändring (tkr)</w:t>
            </w:r>
          </w:p>
        </w:tc>
      </w:tr>
      <w:tr w:rsidR="00000000" w:rsidRPr="004503B4">
        <w:trPr>
          <w:cantSplit/>
        </w:trPr>
        <w:tc>
          <w:tcPr>
            <w:tcW w:w="615" w:type="dxa"/>
            <w:tcBorders>
              <w:top w:val="single" w:sz="4" w:space="0" w:color="auto"/>
            </w:tcBorders>
          </w:tcPr>
          <w:p w:rsidR="004F1686" w:rsidRPr="004503B4" w:rsidRDefault="004F1686">
            <w:pPr>
              <w:spacing w:before="60" w:line="200" w:lineRule="exact"/>
              <w:rPr>
                <w:color w:val="000000"/>
                <w:sz w:val="16"/>
                <w:szCs w:val="16"/>
              </w:rPr>
            </w:pPr>
            <w:r w:rsidRPr="004503B4">
              <w:rPr>
                <w:color w:val="000000"/>
                <w:sz w:val="16"/>
                <w:szCs w:val="16"/>
              </w:rPr>
              <w:t>1:1</w:t>
            </w:r>
          </w:p>
        </w:tc>
        <w:tc>
          <w:tcPr>
            <w:tcW w:w="2040" w:type="dxa"/>
            <w:tcBorders>
              <w:top w:val="single" w:sz="4" w:space="0" w:color="auto"/>
            </w:tcBorders>
          </w:tcPr>
          <w:p w:rsidR="004F1686" w:rsidRPr="004503B4" w:rsidRDefault="004F1686">
            <w:pPr>
              <w:spacing w:before="60" w:line="200" w:lineRule="exact"/>
              <w:rPr>
                <w:color w:val="000000"/>
                <w:sz w:val="16"/>
                <w:szCs w:val="16"/>
              </w:rPr>
            </w:pPr>
            <w:r w:rsidRPr="004503B4">
              <w:rPr>
                <w:color w:val="000000"/>
                <w:sz w:val="16"/>
                <w:szCs w:val="16"/>
              </w:rPr>
              <w:t>Regionala tillväxtåtgärder</w:t>
            </w:r>
          </w:p>
        </w:tc>
        <w:tc>
          <w:tcPr>
            <w:tcW w:w="1800" w:type="dxa"/>
            <w:tcBorders>
              <w:top w:val="single" w:sz="4" w:space="0" w:color="auto"/>
            </w:tcBorders>
          </w:tcPr>
          <w:p w:rsidR="004F1686" w:rsidRPr="004503B4" w:rsidRDefault="004F1686">
            <w:pPr>
              <w:spacing w:before="60" w:line="200" w:lineRule="exact"/>
              <w:jc w:val="right"/>
              <w:rPr>
                <w:color w:val="000000"/>
                <w:sz w:val="16"/>
                <w:szCs w:val="16"/>
              </w:rPr>
            </w:pPr>
            <w:r w:rsidRPr="004503B4">
              <w:rPr>
                <w:color w:val="000000"/>
                <w:sz w:val="16"/>
                <w:szCs w:val="16"/>
              </w:rPr>
              <w:t>1 535 000</w:t>
            </w:r>
          </w:p>
        </w:tc>
        <w:tc>
          <w:tcPr>
            <w:tcW w:w="1499" w:type="dxa"/>
            <w:tcBorders>
              <w:top w:val="single" w:sz="4" w:space="0" w:color="auto"/>
            </w:tcBorders>
          </w:tcPr>
          <w:p w:rsidR="004F1686" w:rsidRPr="004503B4" w:rsidRDefault="004F1686">
            <w:pPr>
              <w:spacing w:before="60" w:line="200" w:lineRule="exact"/>
              <w:jc w:val="right"/>
              <w:rPr>
                <w:color w:val="000000"/>
                <w:sz w:val="16"/>
                <w:szCs w:val="16"/>
              </w:rPr>
            </w:pPr>
            <w:r w:rsidRPr="004503B4">
              <w:rPr>
                <w:color w:val="000000"/>
                <w:sz w:val="16"/>
                <w:szCs w:val="16"/>
              </w:rPr>
              <w:t>+50 000</w:t>
            </w:r>
          </w:p>
        </w:tc>
      </w:tr>
      <w:tr w:rsidR="00000000" w:rsidRPr="004503B4">
        <w:trPr>
          <w:cantSplit/>
        </w:trPr>
        <w:tc>
          <w:tcPr>
            <w:tcW w:w="615" w:type="dxa"/>
          </w:tcPr>
          <w:p w:rsidR="004F1686" w:rsidRPr="004503B4" w:rsidRDefault="004F1686">
            <w:pPr>
              <w:spacing w:before="60" w:line="200" w:lineRule="exact"/>
              <w:rPr>
                <w:b/>
                <w:bCs/>
                <w:color w:val="000000"/>
                <w:sz w:val="16"/>
                <w:szCs w:val="16"/>
              </w:rPr>
            </w:pPr>
          </w:p>
        </w:tc>
        <w:tc>
          <w:tcPr>
            <w:tcW w:w="2040" w:type="dxa"/>
          </w:tcPr>
          <w:p w:rsidR="004F1686" w:rsidRPr="004503B4" w:rsidRDefault="004F1686">
            <w:pPr>
              <w:spacing w:before="60" w:line="200" w:lineRule="exact"/>
              <w:rPr>
                <w:b/>
                <w:bCs/>
                <w:color w:val="000000"/>
                <w:sz w:val="16"/>
                <w:szCs w:val="16"/>
              </w:rPr>
            </w:pPr>
            <w:r w:rsidRPr="004503B4">
              <w:rPr>
                <w:b/>
                <w:bCs/>
                <w:color w:val="000000"/>
                <w:sz w:val="16"/>
                <w:szCs w:val="16"/>
              </w:rPr>
              <w:t>Summa</w:t>
            </w:r>
          </w:p>
        </w:tc>
        <w:tc>
          <w:tcPr>
            <w:tcW w:w="1800" w:type="dxa"/>
          </w:tcPr>
          <w:p w:rsidR="004F1686" w:rsidRPr="004503B4" w:rsidRDefault="004F1686">
            <w:pPr>
              <w:spacing w:before="60" w:line="200" w:lineRule="exact"/>
              <w:jc w:val="right"/>
              <w:rPr>
                <w:b/>
                <w:bCs/>
                <w:color w:val="000000"/>
                <w:sz w:val="16"/>
                <w:szCs w:val="16"/>
              </w:rPr>
            </w:pPr>
          </w:p>
        </w:tc>
        <w:tc>
          <w:tcPr>
            <w:tcW w:w="1499" w:type="dxa"/>
          </w:tcPr>
          <w:p w:rsidR="004F1686" w:rsidRPr="004503B4" w:rsidRDefault="004F1686">
            <w:pPr>
              <w:spacing w:before="60" w:line="200" w:lineRule="exact"/>
              <w:jc w:val="right"/>
              <w:rPr>
                <w:b/>
                <w:bCs/>
                <w:color w:val="000000"/>
                <w:sz w:val="16"/>
                <w:szCs w:val="16"/>
              </w:rPr>
            </w:pPr>
            <w:r w:rsidRPr="004503B4">
              <w:rPr>
                <w:b/>
                <w:bCs/>
                <w:color w:val="000000"/>
                <w:sz w:val="16"/>
                <w:szCs w:val="16"/>
              </w:rPr>
              <w:t>+50 000</w:t>
            </w:r>
          </w:p>
        </w:tc>
      </w:tr>
    </w:tbl>
    <w:p w:rsidR="004F1686" w:rsidRPr="004503B4" w:rsidRDefault="004F1686">
      <w:pPr>
        <w:pStyle w:val="Rubrik1"/>
      </w:pPr>
      <w:r w:rsidRPr="004503B4">
        <w:t>1:1 Regionala tillväxtåtgärder</w:t>
      </w:r>
    </w:p>
    <w:p w:rsidR="004F1686" w:rsidRPr="004503B4" w:rsidRDefault="004F1686">
      <w:r w:rsidRPr="004503B4">
        <w:t xml:space="preserve">Det är en fortsatt nedgång av antalet drivmedelsstationer i landet. Det drabbar arbetsresandet och företag i bygden. Besöksnäringen och deras gäster drabbas också av den försämrade situationen. Färre mackar betyder också ofta att nedläggningen av dagligvarubutikerna accelererar eftersom detta ofta är en kombinationsnäring. Vi ser positivt på att regeringen ökar stödet men anser det otillräckligt för att hejda utvecklingen. </w:t>
      </w:r>
    </w:p>
    <w:p w:rsidR="004F1686" w:rsidRPr="004503B4" w:rsidRDefault="004F1686">
      <w:pPr>
        <w:pStyle w:val="Normaltindrag"/>
      </w:pPr>
      <w:r w:rsidRPr="004503B4">
        <w:t>Vänsterpartiet menar att stödet bör öka med 50 miljoner kronor 2012 u</w:t>
      </w:r>
      <w:r w:rsidRPr="004503B4">
        <w:t>t</w:t>
      </w:r>
      <w:r w:rsidRPr="004503B4">
        <w:t>över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3B4">
        <w:trPr>
          <w:cantSplit/>
        </w:trPr>
        <w:tc>
          <w:tcPr>
            <w:tcW w:w="3046" w:type="dxa"/>
          </w:tcPr>
          <w:p w:rsidR="004F1686" w:rsidRPr="004503B4" w:rsidRDefault="004F1686">
            <w:pPr>
              <w:pStyle w:val="UnderskriftDatum"/>
              <w:spacing w:before="240"/>
            </w:pPr>
            <w:r w:rsidRPr="004503B4">
              <w:t>Stockholm den 4 oktober 2011</w:t>
            </w:r>
          </w:p>
        </w:tc>
        <w:tc>
          <w:tcPr>
            <w:tcW w:w="3047" w:type="dxa"/>
          </w:tcPr>
          <w:p w:rsidR="004F1686" w:rsidRPr="004503B4" w:rsidRDefault="004F1686">
            <w:pPr>
              <w:pStyle w:val="Underskrifter"/>
              <w:spacing w:before="240"/>
            </w:pPr>
          </w:p>
        </w:tc>
      </w:tr>
      <w:tr w:rsidR="00000000" w:rsidRPr="004503B4">
        <w:trPr>
          <w:cantSplit/>
        </w:trPr>
        <w:tc>
          <w:tcPr>
            <w:tcW w:w="3046" w:type="dxa"/>
          </w:tcPr>
          <w:p w:rsidR="004F1686" w:rsidRPr="004503B4" w:rsidRDefault="004F1686">
            <w:pPr>
              <w:pStyle w:val="Underskrifter"/>
            </w:pPr>
            <w:r w:rsidRPr="004503B4">
              <w:t>Lars Ohly (V)</w:t>
            </w:r>
          </w:p>
        </w:tc>
        <w:tc>
          <w:tcPr>
            <w:tcW w:w="3046" w:type="dxa"/>
          </w:tcPr>
          <w:p w:rsidR="004F1686" w:rsidRPr="004503B4" w:rsidRDefault="004F1686">
            <w:pPr>
              <w:pStyle w:val="Underskrifter"/>
            </w:pPr>
          </w:p>
        </w:tc>
      </w:tr>
      <w:tr w:rsidR="00000000" w:rsidRPr="004503B4">
        <w:trPr>
          <w:cantSplit/>
        </w:trPr>
        <w:tc>
          <w:tcPr>
            <w:tcW w:w="3046" w:type="dxa"/>
          </w:tcPr>
          <w:p w:rsidR="004F1686" w:rsidRPr="004503B4" w:rsidRDefault="004F1686">
            <w:pPr>
              <w:pStyle w:val="Underskrifter"/>
            </w:pPr>
            <w:r w:rsidRPr="004503B4">
              <w:t>Ulla Andersson (V)</w:t>
            </w:r>
          </w:p>
        </w:tc>
        <w:tc>
          <w:tcPr>
            <w:tcW w:w="3046" w:type="dxa"/>
          </w:tcPr>
          <w:p w:rsidR="004F1686" w:rsidRPr="004503B4" w:rsidRDefault="004F1686">
            <w:pPr>
              <w:pStyle w:val="Underskrifter"/>
            </w:pPr>
            <w:r w:rsidRPr="004503B4">
              <w:t>Hans Linde (V)</w:t>
            </w:r>
          </w:p>
        </w:tc>
      </w:tr>
      <w:tr w:rsidR="00000000" w:rsidRPr="004503B4">
        <w:trPr>
          <w:cantSplit/>
        </w:trPr>
        <w:tc>
          <w:tcPr>
            <w:tcW w:w="3046" w:type="dxa"/>
          </w:tcPr>
          <w:p w:rsidR="004F1686" w:rsidRPr="004503B4" w:rsidRDefault="004F1686">
            <w:pPr>
              <w:pStyle w:val="Underskrifter"/>
            </w:pPr>
            <w:r w:rsidRPr="004503B4">
              <w:t>Eva Olofsson (V)</w:t>
            </w:r>
          </w:p>
        </w:tc>
        <w:tc>
          <w:tcPr>
            <w:tcW w:w="3046" w:type="dxa"/>
          </w:tcPr>
          <w:p w:rsidR="004F1686" w:rsidRPr="004503B4" w:rsidRDefault="004F1686">
            <w:pPr>
              <w:pStyle w:val="Underskrifter"/>
            </w:pPr>
            <w:r w:rsidRPr="004503B4">
              <w:t>Jonas Sjöstedt (V)</w:t>
            </w:r>
          </w:p>
        </w:tc>
      </w:tr>
      <w:tr w:rsidR="00000000" w:rsidRPr="004503B4">
        <w:trPr>
          <w:cantSplit/>
        </w:trPr>
        <w:tc>
          <w:tcPr>
            <w:tcW w:w="3046" w:type="dxa"/>
          </w:tcPr>
          <w:p w:rsidR="004F1686" w:rsidRPr="004503B4" w:rsidRDefault="004F1686">
            <w:pPr>
              <w:pStyle w:val="Underskrifter"/>
            </w:pPr>
            <w:r w:rsidRPr="004503B4">
              <w:t>Mia Sydow Mölleby (V)</w:t>
            </w:r>
          </w:p>
        </w:tc>
        <w:tc>
          <w:tcPr>
            <w:tcW w:w="3046" w:type="dxa"/>
          </w:tcPr>
          <w:p w:rsidR="004F1686" w:rsidRPr="004503B4" w:rsidRDefault="004F1686">
            <w:pPr>
              <w:pStyle w:val="Underskrifter"/>
            </w:pPr>
            <w:r w:rsidRPr="004503B4">
              <w:t>Kent Persson (V)</w:t>
            </w:r>
          </w:p>
        </w:tc>
      </w:tr>
    </w:tbl>
    <w:p w:rsidR="004F1686" w:rsidRPr="004503B4" w:rsidRDefault="004F1686">
      <w:pPr>
        <w:pStyle w:val="Normaltindrag"/>
      </w:pPr>
    </w:p>
    <w:sectPr w:rsidR="004F1686" w:rsidRPr="004503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686" w:rsidRPr="004503B4" w:rsidRDefault="004F1686">
      <w:r w:rsidRPr="004503B4">
        <w:separator/>
      </w:r>
    </w:p>
  </w:endnote>
  <w:endnote w:type="continuationSeparator" w:id="0">
    <w:p w:rsidR="004F1686" w:rsidRPr="004503B4" w:rsidRDefault="004F1686">
      <w:r w:rsidRPr="0045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86" w:rsidRPr="004503B4" w:rsidRDefault="004503B4">
    <w:pPr>
      <w:pStyle w:val="Sidfot"/>
    </w:pPr>
    <w:r w:rsidRPr="004503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09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86" w:rsidRDefault="004F16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686" w:rsidRDefault="004F16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86" w:rsidRPr="004503B4" w:rsidRDefault="004503B4">
    <w:pPr>
      <w:pStyle w:val="Sidfot"/>
    </w:pPr>
    <w:r w:rsidRPr="004503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571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86" w:rsidRDefault="004F16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686" w:rsidRDefault="004F16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86" w:rsidRPr="004503B4" w:rsidRDefault="004503B4">
    <w:pPr>
      <w:pStyle w:val="Sidfot"/>
    </w:pPr>
    <w:r w:rsidRPr="004503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83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86" w:rsidRDefault="004F16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686" w:rsidRDefault="004F16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686" w:rsidRPr="004503B4" w:rsidRDefault="004F1686">
      <w:r w:rsidRPr="004503B4">
        <w:separator/>
      </w:r>
    </w:p>
  </w:footnote>
  <w:footnote w:type="continuationSeparator" w:id="0">
    <w:p w:rsidR="004F1686" w:rsidRPr="004503B4" w:rsidRDefault="004F1686">
      <w:r w:rsidRPr="0045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86" w:rsidRPr="004503B4" w:rsidRDefault="004503B4">
    <w:pPr>
      <w:pStyle w:val="Sidhuvud"/>
    </w:pPr>
    <w:r w:rsidRPr="004503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719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86" w:rsidRDefault="004F16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686" w:rsidRDefault="004F16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86" w:rsidRPr="004503B4" w:rsidRDefault="004503B4">
    <w:pPr>
      <w:pStyle w:val="Sidhuvud"/>
    </w:pPr>
    <w:r w:rsidRPr="004503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2034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686" w:rsidRDefault="004F16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686" w:rsidRDefault="004F16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86" w:rsidRPr="004503B4" w:rsidRDefault="004F1686">
    <w:pPr>
      <w:pStyle w:val="FSHNormal"/>
      <w:tabs>
        <w:tab w:val="right" w:pos="5840"/>
      </w:tabs>
    </w:pPr>
    <w:r w:rsidRPr="004503B4">
      <w:br/>
    </w:r>
    <w:r w:rsidRPr="004503B4">
      <w:fldChar w:fldCharType="begin" w:fldLock="1"/>
    </w:r>
    <w:r w:rsidRPr="004503B4">
      <w:instrText xml:space="preserve"> DOCPROPERTY</w:instrText>
    </w:r>
    <w:r w:rsidRPr="004503B4">
      <w:rPr>
        <w:sz w:val="18"/>
      </w:rPr>
      <w:instrText xml:space="preserve"> "YearUser" *\charformat </w:instrText>
    </w:r>
    <w:r w:rsidRPr="004503B4">
      <w:fldChar w:fldCharType="separate"/>
    </w:r>
    <w:r w:rsidRPr="004503B4">
      <w:t>2011/12</w:t>
    </w:r>
    <w:r w:rsidRPr="004503B4">
      <w:fldChar w:fldCharType="end"/>
    </w:r>
    <w:r w:rsidRPr="004503B4">
      <w:t xml:space="preserve"> </w:t>
    </w:r>
    <w:r w:rsidRPr="004503B4">
      <w:tab/>
      <w:t xml:space="preserve">mnr: </w:t>
    </w:r>
    <w:r w:rsidRPr="004503B4">
      <w:fldChar w:fldCharType="begin" w:fldLock="1"/>
    </w:r>
    <w:r w:rsidRPr="004503B4">
      <w:instrText xml:space="preserve"> DOCPROPERTY</w:instrText>
    </w:r>
    <w:r w:rsidRPr="004503B4">
      <w:rPr>
        <w:sz w:val="18"/>
      </w:rPr>
      <w:instrText xml:space="preserve"> "Motionsnummer" *\charformat </w:instrText>
    </w:r>
    <w:r w:rsidRPr="004503B4">
      <w:fldChar w:fldCharType="separate"/>
    </w:r>
    <w:r w:rsidRPr="004503B4">
      <w:t>N366</w:t>
    </w:r>
    <w:r w:rsidRPr="004503B4">
      <w:fldChar w:fldCharType="end"/>
    </w:r>
    <w:r w:rsidRPr="004503B4">
      <w:br/>
    </w:r>
    <w:r w:rsidRPr="004503B4">
      <w:fldChar w:fldCharType="begin" w:fldLock="1"/>
    </w:r>
    <w:r w:rsidRPr="004503B4">
      <w:instrText xml:space="preserve"> DOCPROPERTY</w:instrText>
    </w:r>
    <w:r w:rsidRPr="004503B4">
      <w:rPr>
        <w:sz w:val="18"/>
      </w:rPr>
      <w:instrText xml:space="preserve"> "Samling" *\charformat </w:instrText>
    </w:r>
    <w:r w:rsidRPr="004503B4">
      <w:fldChar w:fldCharType="end"/>
    </w:r>
    <w:r w:rsidRPr="004503B4">
      <w:tab/>
      <w:t xml:space="preserve">pnr: </w:t>
    </w:r>
    <w:r w:rsidRPr="004503B4">
      <w:fldChar w:fldCharType="begin" w:fldLock="1"/>
    </w:r>
    <w:r w:rsidRPr="004503B4">
      <w:instrText xml:space="preserve"> DOCPROPERTY</w:instrText>
    </w:r>
    <w:r w:rsidRPr="004503B4">
      <w:rPr>
        <w:sz w:val="18"/>
      </w:rPr>
      <w:instrText xml:space="preserve"> "Partinummer" *\charformat </w:instrText>
    </w:r>
    <w:r w:rsidRPr="004503B4">
      <w:fldChar w:fldCharType="separate"/>
    </w:r>
    <w:r w:rsidRPr="004503B4">
      <w:t>V260</w:t>
    </w:r>
    <w:r w:rsidRPr="004503B4">
      <w:fldChar w:fldCharType="end"/>
    </w:r>
  </w:p>
  <w:p w:rsidR="004F1686" w:rsidRPr="004503B4" w:rsidRDefault="004F1686">
    <w:pPr>
      <w:pStyle w:val="FSHRub1"/>
    </w:pPr>
    <w:r w:rsidRPr="004503B4">
      <w:t>Motion till riksdagen</w:t>
    </w:r>
    <w:r w:rsidRPr="004503B4">
      <w:br/>
    </w:r>
    <w:r w:rsidRPr="004503B4">
      <w:fldChar w:fldCharType="begin" w:fldLock="1"/>
    </w:r>
    <w:r w:rsidRPr="004503B4">
      <w:instrText xml:space="preserve"> DOCPROPERTY "YearUser" *\charformat </w:instrText>
    </w:r>
    <w:r w:rsidRPr="004503B4">
      <w:fldChar w:fldCharType="separate"/>
    </w:r>
    <w:r w:rsidRPr="004503B4">
      <w:t>2011/12</w:t>
    </w:r>
    <w:r w:rsidRPr="004503B4">
      <w:fldChar w:fldCharType="end"/>
    </w:r>
    <w:r w:rsidRPr="004503B4">
      <w:t>:</w:t>
    </w:r>
    <w:r w:rsidRPr="004503B4">
      <w:fldChar w:fldCharType="begin" w:fldLock="1"/>
    </w:r>
    <w:r w:rsidRPr="004503B4">
      <w:instrText xml:space="preserve"> DOCPROPERTY "Motionsnummer" *\charformat </w:instrText>
    </w:r>
    <w:r w:rsidRPr="004503B4">
      <w:fldChar w:fldCharType="separate"/>
    </w:r>
    <w:r w:rsidRPr="004503B4">
      <w:t>N366</w:t>
    </w:r>
    <w:r w:rsidRPr="004503B4">
      <w:fldChar w:fldCharType="end"/>
    </w:r>
  </w:p>
  <w:p w:rsidR="004F1686" w:rsidRPr="004503B4" w:rsidRDefault="004F1686">
    <w:pPr>
      <w:pStyle w:val="FSHNormalS5"/>
    </w:pPr>
    <w:r w:rsidRPr="004503B4">
      <w:fldChar w:fldCharType="begin" w:fldLock="1"/>
    </w:r>
    <w:r w:rsidRPr="004503B4">
      <w:instrText xml:space="preserve"> DOCPROPERTY "MotionarText" *\charformat </w:instrText>
    </w:r>
    <w:r w:rsidRPr="004503B4">
      <w:fldChar w:fldCharType="separate"/>
    </w:r>
    <w:r w:rsidRPr="004503B4">
      <w:t>av Lars Ohly m.fl. (V)</w:t>
    </w:r>
    <w:r w:rsidRPr="004503B4">
      <w:fldChar w:fldCharType="end"/>
    </w:r>
    <w:r w:rsidRPr="004503B4">
      <w:br/>
    </w:r>
    <w:r w:rsidRPr="004503B4">
      <w:fldChar w:fldCharType="begin" w:fldLock="1"/>
    </w:r>
    <w:r w:rsidRPr="004503B4">
      <w:instrText xml:space="preserve"> DOCPROPERTY "SvarFrasKort" *\charformat </w:instrText>
    </w:r>
    <w:r w:rsidRPr="004503B4">
      <w:fldChar w:fldCharType="end"/>
    </w:r>
  </w:p>
  <w:p w:rsidR="004F1686" w:rsidRPr="004503B4" w:rsidRDefault="004F1686">
    <w:pPr>
      <w:pStyle w:val="FSHTitel"/>
    </w:pPr>
    <w:r w:rsidRPr="004503B4">
      <w:fldChar w:fldCharType="begin" w:fldLock="1"/>
    </w:r>
    <w:r w:rsidRPr="004503B4">
      <w:instrText xml:space="preserve"> DOCPROPERTY</w:instrText>
    </w:r>
    <w:r w:rsidRPr="004503B4">
      <w:rPr>
        <w:sz w:val="18"/>
      </w:rPr>
      <w:instrText xml:space="preserve"> "RubrikSvar" *\charformat </w:instrText>
    </w:r>
    <w:r w:rsidRPr="004503B4">
      <w:fldChar w:fldCharType="separate"/>
    </w:r>
    <w:r w:rsidRPr="004503B4">
      <w:t>Utgiftsområde 19 Regional tillväxt</w:t>
    </w:r>
    <w:r w:rsidRPr="004503B4">
      <w:fldChar w:fldCharType="end"/>
    </w:r>
  </w:p>
  <w:p w:rsidR="004F1686" w:rsidRPr="004503B4" w:rsidRDefault="004F1686">
    <w:pPr>
      <w:pStyle w:val="Normal00"/>
    </w:pPr>
  </w:p>
  <w:p w:rsidR="004F1686" w:rsidRPr="004503B4" w:rsidRDefault="004F16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0355631">
    <w:abstractNumId w:val="8"/>
  </w:num>
  <w:num w:numId="2" w16cid:durableId="254443126">
    <w:abstractNumId w:val="9"/>
  </w:num>
  <w:num w:numId="3" w16cid:durableId="1158350844">
    <w:abstractNumId w:val="8"/>
  </w:num>
  <w:num w:numId="4" w16cid:durableId="203443425">
    <w:abstractNumId w:val="9"/>
  </w:num>
  <w:num w:numId="5" w16cid:durableId="648294016">
    <w:abstractNumId w:val="14"/>
  </w:num>
  <w:num w:numId="6" w16cid:durableId="773092911">
    <w:abstractNumId w:val="10"/>
  </w:num>
  <w:num w:numId="7" w16cid:durableId="1004824305">
    <w:abstractNumId w:val="11"/>
  </w:num>
  <w:num w:numId="8" w16cid:durableId="116148195">
    <w:abstractNumId w:val="12"/>
  </w:num>
  <w:num w:numId="9" w16cid:durableId="289290833">
    <w:abstractNumId w:val="8"/>
  </w:num>
  <w:num w:numId="10" w16cid:durableId="2110926353">
    <w:abstractNumId w:val="3"/>
  </w:num>
  <w:num w:numId="11" w16cid:durableId="1980377999">
    <w:abstractNumId w:val="2"/>
  </w:num>
  <w:num w:numId="12" w16cid:durableId="1347829899">
    <w:abstractNumId w:val="1"/>
  </w:num>
  <w:num w:numId="13" w16cid:durableId="1263875328">
    <w:abstractNumId w:val="0"/>
  </w:num>
  <w:num w:numId="14" w16cid:durableId="43797114">
    <w:abstractNumId w:val="9"/>
  </w:num>
  <w:num w:numId="15" w16cid:durableId="1729719237">
    <w:abstractNumId w:val="7"/>
  </w:num>
  <w:num w:numId="16" w16cid:durableId="618338382">
    <w:abstractNumId w:val="6"/>
  </w:num>
  <w:num w:numId="17" w16cid:durableId="545290619">
    <w:abstractNumId w:val="5"/>
  </w:num>
  <w:num w:numId="18" w16cid:durableId="1058627084">
    <w:abstractNumId w:val="4"/>
  </w:num>
  <w:num w:numId="19" w16cid:durableId="1050106716">
    <w:abstractNumId w:val="13"/>
  </w:num>
  <w:num w:numId="20" w16cid:durableId="633875353">
    <w:abstractNumId w:val="11"/>
  </w:num>
  <w:num w:numId="21" w16cid:durableId="1079601815">
    <w:abstractNumId w:val="10"/>
  </w:num>
  <w:num w:numId="22" w16cid:durableId="1869827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A3B7BC79-15BA-4C82-9CD3-12632F50DBA0},{DA248C4D-AFF6-4AC5-94CA-AED252C8C8C8},{A7313DCE-0B34-4C27-86F8-BEBB9AB9F316},{3EA40B84-2474-4E42-A764-D13EB4E0906F}"/>
  </w:docVars>
  <w:rsids>
    <w:rsidRoot w:val="008538D9"/>
    <w:rsid w:val="004503B4"/>
    <w:rsid w:val="004F1686"/>
    <w:rsid w:val="008538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AC5A16-B769-437D-883C-7FBB2D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877</Characters>
  <Application>Microsoft Office Word</Application>
  <DocSecurity>4</DocSecurity>
  <Lines>36</Lines>
  <Paragraphs>25</Paragraphs>
  <ScaleCrop>false</ScaleCrop>
  <HeadingPairs>
    <vt:vector size="2" baseType="variant">
      <vt:variant>
        <vt:lpstr>Rubrik</vt:lpstr>
      </vt:variant>
      <vt:variant>
        <vt:i4>1</vt:i4>
      </vt:variant>
    </vt:vector>
  </HeadingPairs>
  <TitlesOfParts>
    <vt:vector size="1" baseType="lpstr">
      <vt:lpstr>V260</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V260</dc:title>
  <dc:subject>V260</dc:subject>
  <dc:creator>Riksdagen</dc:creator>
  <cp:keywords>Riksdagen</cp:keywords>
  <dc:description>Nya formatmallshantering för förslag+urix bakåtkomp+könamn</dc:description>
  <cp:lastModifiedBy>Lars Brink</cp:lastModifiedBy>
  <cp:revision>2</cp:revision>
  <cp:lastPrinted>2011-11-06T13:43:00Z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19 Regional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19 Regional tillväxt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20112012000000000086000002600080</vt:lpwstr>
  </property>
  <property fmtid="{D5CDD505-2E9C-101B-9397-08002B2CF9AE}" pid="47" name="datum">
    <vt:lpwstr>111004</vt:lpwstr>
  </property>
  <property fmtid="{D5CDD505-2E9C-101B-9397-08002B2CF9AE}" pid="48" name="avsändar-e-post">
    <vt:lpwstr>maya.ek@riksdagen.se</vt:lpwstr>
  </property>
  <property fmtid="{D5CDD505-2E9C-101B-9397-08002B2CF9AE}" pid="49" name="id">
    <vt:lpwstr>20112012000000000086000002600080</vt:lpwstr>
  </property>
  <property fmtid="{D5CDD505-2E9C-101B-9397-08002B2CF9AE}" pid="50" name="nummer">
    <vt:lpwstr>366</vt:lpwstr>
  </property>
  <property fmtid="{D5CDD505-2E9C-101B-9397-08002B2CF9AE}" pid="51" name="utskottsbeteckning">
    <vt:lpwstr>N</vt:lpwstr>
  </property>
  <property fmtid="{D5CDD505-2E9C-101B-9397-08002B2CF9AE}" pid="52" name="GlobalUID">
    <vt:lpwstr>{877C1B25-CA23-4A53-8801-F647BBB76745}</vt:lpwstr>
  </property>
  <property fmtid="{D5CDD505-2E9C-101B-9397-08002B2CF9AE}" pid="53" name="Överföringar">
    <vt:i4>0</vt:i4>
  </property>
  <property fmtid="{D5CDD505-2E9C-101B-9397-08002B2CF9AE}" pid="54" name="Checksum">
    <vt:lpwstr>*0011363089069*</vt:lpwstr>
  </property>
  <property fmtid="{D5CDD505-2E9C-101B-9397-08002B2CF9AE}" pid="55" name="skuggnummer">
    <vt:lpwstr>2445</vt:lpwstr>
  </property>
  <property fmtid="{D5CDD505-2E9C-101B-9397-08002B2CF9AE}" pid="56" name="urixVersion">
    <vt:lpwstr>4.5.0.25</vt:lpwstr>
  </property>
  <property fmtid="{D5CDD505-2E9C-101B-9397-08002B2CF9AE}" pid="57" name="urixOrigin">
    <vt:lpwstr>111106 14:43:36.471</vt:lpwstr>
  </property>
  <property fmtid="{D5CDD505-2E9C-101B-9397-08002B2CF9AE}" pid="58" name="urixGuid">
    <vt:lpwstr>{13DDEF09-88CD-4061-832D-C0776D690618}</vt:lpwstr>
  </property>
</Properties>
</file>