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3E20" w:rsidRPr="00470C32" w:rsidRDefault="00A1322C" w:rsidP="00A1322C">
      <w:pPr>
        <w:ind w:right="-193"/>
        <w:jc w:val="both"/>
        <w:rPr>
          <w:color w:val="000000"/>
          <w:sz w:val="24"/>
          <w:szCs w:val="24"/>
        </w:rPr>
      </w:pPr>
      <w:r w:rsidRPr="00470C32">
        <w:rPr>
          <w:rFonts w:ascii="OrigGarmnd BT" w:hAnsi="OrigGarmnd BT"/>
          <w:b/>
          <w:bCs/>
          <w:color w:val="000000"/>
          <w:sz w:val="24"/>
          <w:szCs w:val="24"/>
        </w:rPr>
        <w:t>REGERINGSKANSLIET</w:t>
      </w:r>
      <w:r w:rsidRPr="00470C32">
        <w:rPr>
          <w:rFonts w:ascii="OrigGarmnd BT" w:hAnsi="OrigGarmnd BT"/>
          <w:color w:val="000000"/>
          <w:sz w:val="24"/>
          <w:szCs w:val="24"/>
        </w:rPr>
        <w:tab/>
      </w:r>
      <w:r w:rsidRPr="00470C32">
        <w:rPr>
          <w:rFonts w:ascii="OrigGarmnd BT" w:hAnsi="OrigGarmnd BT"/>
          <w:color w:val="000000"/>
          <w:sz w:val="24"/>
          <w:szCs w:val="24"/>
        </w:rPr>
        <w:tab/>
      </w:r>
      <w:r w:rsidRPr="00470C32">
        <w:rPr>
          <w:rFonts w:ascii="OrigGarmnd BT" w:hAnsi="OrigGarmnd BT"/>
          <w:color w:val="000000"/>
          <w:sz w:val="24"/>
          <w:szCs w:val="24"/>
        </w:rPr>
        <w:tab/>
      </w:r>
    </w:p>
    <w:p w:rsidR="00A1322C" w:rsidRPr="00470C32" w:rsidRDefault="004E5918" w:rsidP="00A1322C">
      <w:pPr>
        <w:ind w:right="-193"/>
        <w:jc w:val="both"/>
        <w:rPr>
          <w:color w:val="000000"/>
          <w:sz w:val="24"/>
          <w:szCs w:val="24"/>
        </w:rPr>
      </w:pPr>
      <w:r w:rsidRPr="00470C32">
        <w:rPr>
          <w:color w:val="000000"/>
          <w:sz w:val="24"/>
          <w:szCs w:val="24"/>
        </w:rPr>
        <w:t>Utrikesdepartementet</w:t>
      </w:r>
      <w:r w:rsidRPr="00470C32">
        <w:rPr>
          <w:color w:val="000000"/>
          <w:sz w:val="24"/>
          <w:szCs w:val="24"/>
        </w:rPr>
        <w:tab/>
      </w:r>
      <w:r w:rsidRPr="00470C32">
        <w:rPr>
          <w:color w:val="000000"/>
          <w:sz w:val="24"/>
          <w:szCs w:val="24"/>
        </w:rPr>
        <w:tab/>
      </w:r>
      <w:r w:rsidRPr="00470C32">
        <w:rPr>
          <w:color w:val="000000"/>
          <w:sz w:val="24"/>
          <w:szCs w:val="24"/>
        </w:rPr>
        <w:tab/>
      </w:r>
      <w:r w:rsidR="00A1322C" w:rsidRPr="00470C32">
        <w:rPr>
          <w:color w:val="000000"/>
          <w:sz w:val="24"/>
          <w:szCs w:val="24"/>
        </w:rPr>
        <w:t>Kommenterad dagordning</w:t>
      </w:r>
      <w:r w:rsidR="00A1322C" w:rsidRPr="00470C32">
        <w:rPr>
          <w:b/>
          <w:color w:val="000000"/>
          <w:sz w:val="24"/>
          <w:szCs w:val="24"/>
        </w:rPr>
        <w:t xml:space="preserve"> </w:t>
      </w:r>
    </w:p>
    <w:p w:rsidR="00A1322C" w:rsidRPr="00470C32" w:rsidRDefault="00215F37" w:rsidP="00A1322C">
      <w:pPr>
        <w:jc w:val="both"/>
        <w:rPr>
          <w:color w:val="000000"/>
          <w:sz w:val="24"/>
          <w:szCs w:val="24"/>
        </w:rPr>
      </w:pPr>
      <w:r w:rsidRPr="00470C32">
        <w:rPr>
          <w:color w:val="000000"/>
          <w:sz w:val="24"/>
          <w:szCs w:val="24"/>
        </w:rPr>
        <w:tab/>
      </w:r>
      <w:r w:rsidRPr="00470C32">
        <w:rPr>
          <w:color w:val="000000"/>
          <w:sz w:val="24"/>
          <w:szCs w:val="24"/>
        </w:rPr>
        <w:tab/>
      </w:r>
      <w:r w:rsidRPr="00470C32">
        <w:rPr>
          <w:color w:val="000000"/>
          <w:sz w:val="24"/>
          <w:szCs w:val="24"/>
        </w:rPr>
        <w:tab/>
      </w:r>
      <w:r w:rsidR="004E5918" w:rsidRPr="00470C32">
        <w:rPr>
          <w:color w:val="000000"/>
          <w:sz w:val="24"/>
          <w:szCs w:val="24"/>
        </w:rPr>
        <w:tab/>
      </w:r>
      <w:r w:rsidR="00A1322C" w:rsidRPr="00470C32">
        <w:rPr>
          <w:color w:val="000000"/>
          <w:sz w:val="24"/>
          <w:szCs w:val="24"/>
        </w:rPr>
        <w:t>Ministerrådet</w:t>
      </w:r>
      <w:r w:rsidR="00A1322C" w:rsidRPr="00470C32">
        <w:rPr>
          <w:color w:val="000000"/>
          <w:sz w:val="24"/>
          <w:szCs w:val="24"/>
        </w:rPr>
        <w:tab/>
      </w:r>
      <w:r w:rsidR="00A1322C" w:rsidRPr="00470C32">
        <w:rPr>
          <w:color w:val="000000"/>
          <w:sz w:val="24"/>
          <w:szCs w:val="24"/>
        </w:rPr>
        <w:tab/>
      </w:r>
      <w:r w:rsidR="00A1322C" w:rsidRPr="00470C32">
        <w:rPr>
          <w:color w:val="000000"/>
          <w:sz w:val="24"/>
          <w:szCs w:val="24"/>
        </w:rPr>
        <w:tab/>
      </w:r>
      <w:r w:rsidR="00A1322C" w:rsidRPr="00470C32">
        <w:rPr>
          <w:color w:val="000000"/>
          <w:sz w:val="24"/>
          <w:szCs w:val="24"/>
        </w:rPr>
        <w:tab/>
      </w:r>
    </w:p>
    <w:tbl>
      <w:tblPr>
        <w:tblpPr w:leftFromText="180" w:rightFromText="180" w:vertAnchor="text" w:horzAnchor="margin" w:tblpY="786"/>
        <w:tblW w:w="0" w:type="auto"/>
        <w:tblLayout w:type="fixed"/>
        <w:tblLook w:val="0000" w:firstRow="0" w:lastRow="0" w:firstColumn="0" w:lastColumn="0" w:noHBand="0" w:noVBand="0"/>
      </w:tblPr>
      <w:tblGrid>
        <w:gridCol w:w="4911"/>
      </w:tblGrid>
      <w:tr w:rsidR="00A1322C" w:rsidRPr="00470C32" w:rsidTr="00A1322C">
        <w:tblPrEx>
          <w:tblCellMar>
            <w:top w:w="0" w:type="dxa"/>
            <w:bottom w:w="0" w:type="dxa"/>
          </w:tblCellMar>
        </w:tblPrEx>
        <w:trPr>
          <w:trHeight w:val="284"/>
        </w:trPr>
        <w:tc>
          <w:tcPr>
            <w:tcW w:w="4911" w:type="dxa"/>
          </w:tcPr>
          <w:p w:rsidR="00A1322C" w:rsidRPr="00470C32" w:rsidRDefault="00A1322C" w:rsidP="00A1322C">
            <w:pPr>
              <w:tabs>
                <w:tab w:val="left" w:pos="284"/>
              </w:tabs>
              <w:jc w:val="both"/>
              <w:rPr>
                <w:bCs/>
                <w:iCs/>
                <w:sz w:val="24"/>
                <w:szCs w:val="24"/>
              </w:rPr>
            </w:pPr>
          </w:p>
        </w:tc>
      </w:tr>
    </w:tbl>
    <w:p w:rsidR="00A1322C" w:rsidRPr="00470C32" w:rsidRDefault="00A1322C" w:rsidP="00A1322C">
      <w:pPr>
        <w:tabs>
          <w:tab w:val="left" w:pos="284"/>
        </w:tabs>
        <w:jc w:val="both"/>
        <w:rPr>
          <w:color w:val="000000"/>
          <w:sz w:val="24"/>
          <w:szCs w:val="24"/>
        </w:rPr>
      </w:pPr>
      <w:r w:rsidRPr="00470C32">
        <w:rPr>
          <w:color w:val="000000"/>
          <w:sz w:val="24"/>
          <w:szCs w:val="24"/>
        </w:rPr>
        <w:t>Enheten för Europeiska unionen</w:t>
      </w:r>
    </w:p>
    <w:p w:rsidR="00A1322C" w:rsidRPr="00470C32" w:rsidRDefault="00A1322C" w:rsidP="00A1322C">
      <w:pPr>
        <w:jc w:val="both"/>
        <w:rPr>
          <w:b/>
          <w:sz w:val="24"/>
          <w:szCs w:val="24"/>
          <w:u w:val="single"/>
        </w:rPr>
      </w:pPr>
      <w:r w:rsidRPr="00470C32">
        <w:rPr>
          <w:color w:val="000000"/>
          <w:sz w:val="24"/>
          <w:szCs w:val="24"/>
        </w:rPr>
        <w:tab/>
      </w:r>
      <w:r w:rsidRPr="00470C32">
        <w:rPr>
          <w:color w:val="000000"/>
          <w:sz w:val="24"/>
          <w:szCs w:val="24"/>
        </w:rPr>
        <w:tab/>
      </w:r>
      <w:r w:rsidRPr="00470C32">
        <w:rPr>
          <w:color w:val="000000"/>
          <w:sz w:val="24"/>
          <w:szCs w:val="24"/>
        </w:rPr>
        <w:tab/>
      </w:r>
      <w:r w:rsidRPr="00470C32">
        <w:rPr>
          <w:color w:val="000000"/>
          <w:sz w:val="24"/>
          <w:szCs w:val="24"/>
        </w:rPr>
        <w:tab/>
      </w:r>
    </w:p>
    <w:p w:rsidR="00A1322C" w:rsidRPr="00470C32" w:rsidRDefault="00A1322C" w:rsidP="00A1322C">
      <w:pPr>
        <w:pStyle w:val="UDrubrik"/>
        <w:spacing w:line="240" w:lineRule="auto"/>
        <w:ind w:left="1418"/>
        <w:rPr>
          <w:rFonts w:ascii="Times New Roman" w:hAnsi="Times New Roman"/>
          <w:sz w:val="24"/>
          <w:szCs w:val="24"/>
          <w:u w:val="single"/>
        </w:rPr>
      </w:pPr>
    </w:p>
    <w:p w:rsidR="00A1322C" w:rsidRPr="00470C32" w:rsidRDefault="00A1322C" w:rsidP="00A1322C">
      <w:pPr>
        <w:pStyle w:val="UDrubrik"/>
        <w:spacing w:line="240" w:lineRule="auto"/>
        <w:ind w:left="1418"/>
        <w:rPr>
          <w:rFonts w:ascii="Times New Roman" w:hAnsi="Times New Roman"/>
          <w:sz w:val="24"/>
          <w:szCs w:val="24"/>
          <w:u w:val="single"/>
        </w:rPr>
      </w:pPr>
    </w:p>
    <w:p w:rsidR="00A1322C" w:rsidRPr="00470C32" w:rsidRDefault="00A1322C" w:rsidP="00A1322C">
      <w:pPr>
        <w:pStyle w:val="UDrubrik"/>
        <w:spacing w:line="240" w:lineRule="auto"/>
        <w:ind w:left="1418"/>
        <w:rPr>
          <w:rFonts w:ascii="Times New Roman" w:hAnsi="Times New Roman"/>
          <w:sz w:val="24"/>
          <w:szCs w:val="24"/>
          <w:u w:val="single"/>
        </w:rPr>
      </w:pPr>
    </w:p>
    <w:p w:rsidR="00A1322C" w:rsidRPr="00470C32" w:rsidRDefault="00A1322C" w:rsidP="00A1322C">
      <w:pPr>
        <w:rPr>
          <w:sz w:val="24"/>
          <w:szCs w:val="24"/>
        </w:rPr>
      </w:pPr>
    </w:p>
    <w:p w:rsidR="00A1322C" w:rsidRPr="00470C32" w:rsidRDefault="00A1322C" w:rsidP="00A1322C">
      <w:pPr>
        <w:rPr>
          <w:sz w:val="24"/>
          <w:szCs w:val="24"/>
        </w:rPr>
      </w:pPr>
    </w:p>
    <w:p w:rsidR="00A1322C" w:rsidRPr="00470C32" w:rsidRDefault="00A1322C" w:rsidP="00A1322C">
      <w:pPr>
        <w:pStyle w:val="UDrubrik"/>
        <w:spacing w:line="240" w:lineRule="auto"/>
        <w:jc w:val="center"/>
        <w:rPr>
          <w:rFonts w:ascii="Times New Roman" w:hAnsi="Times New Roman"/>
          <w:sz w:val="24"/>
          <w:szCs w:val="24"/>
          <w:u w:val="single"/>
        </w:rPr>
      </w:pPr>
      <w:r w:rsidRPr="00470C32">
        <w:rPr>
          <w:rFonts w:ascii="Times New Roman" w:hAnsi="Times New Roman"/>
          <w:sz w:val="24"/>
          <w:szCs w:val="24"/>
          <w:u w:val="single"/>
        </w:rPr>
        <w:t>Kommenter</w:t>
      </w:r>
      <w:r w:rsidR="00630D86" w:rsidRPr="00470C32">
        <w:rPr>
          <w:rFonts w:ascii="Times New Roman" w:hAnsi="Times New Roman"/>
          <w:sz w:val="24"/>
          <w:szCs w:val="24"/>
          <w:u w:val="single"/>
        </w:rPr>
        <w:t>ad dagordning för utrikesrådet (handelsfrågor)</w:t>
      </w:r>
    </w:p>
    <w:p w:rsidR="00A1322C" w:rsidRPr="00470C32" w:rsidRDefault="00A1322C" w:rsidP="00A1322C">
      <w:pPr>
        <w:pStyle w:val="UDrubrik"/>
        <w:spacing w:line="240" w:lineRule="auto"/>
        <w:jc w:val="center"/>
        <w:rPr>
          <w:rFonts w:ascii="Times New Roman" w:hAnsi="Times New Roman"/>
          <w:sz w:val="24"/>
          <w:szCs w:val="24"/>
          <w:u w:val="single"/>
        </w:rPr>
      </w:pPr>
      <w:r w:rsidRPr="00470C32">
        <w:rPr>
          <w:rFonts w:ascii="Times New Roman" w:hAnsi="Times New Roman"/>
          <w:sz w:val="24"/>
          <w:szCs w:val="24"/>
          <w:u w:val="single"/>
        </w:rPr>
        <w:t xml:space="preserve">den </w:t>
      </w:r>
      <w:r w:rsidR="00630D86" w:rsidRPr="00470C32">
        <w:rPr>
          <w:rFonts w:ascii="Times New Roman" w:hAnsi="Times New Roman"/>
          <w:sz w:val="24"/>
          <w:szCs w:val="24"/>
          <w:u w:val="single"/>
        </w:rPr>
        <w:t>10 september</w:t>
      </w:r>
      <w:r w:rsidR="00EE1487" w:rsidRPr="00470C32">
        <w:rPr>
          <w:rFonts w:ascii="Times New Roman" w:hAnsi="Times New Roman"/>
          <w:sz w:val="24"/>
          <w:szCs w:val="24"/>
          <w:u w:val="single"/>
        </w:rPr>
        <w:t xml:space="preserve"> 2010</w:t>
      </w:r>
    </w:p>
    <w:p w:rsidR="00A1322C" w:rsidRPr="00470C32" w:rsidRDefault="00A1322C" w:rsidP="00A1322C">
      <w:pPr>
        <w:pStyle w:val="Rubrik1"/>
        <w:spacing w:before="0" w:after="0"/>
        <w:ind w:left="1418"/>
        <w:rPr>
          <w:rFonts w:ascii="Times New Roman" w:hAnsi="Times New Roman" w:cs="Times New Roman"/>
          <w:sz w:val="24"/>
          <w:szCs w:val="24"/>
        </w:rPr>
      </w:pPr>
      <w:bookmarkStart w:id="0" w:name="_Toc128393595"/>
    </w:p>
    <w:p w:rsidR="00A1322C" w:rsidRPr="00470C32" w:rsidRDefault="00A1322C" w:rsidP="00A1322C">
      <w:pPr>
        <w:rPr>
          <w:sz w:val="24"/>
          <w:szCs w:val="24"/>
        </w:rPr>
      </w:pPr>
    </w:p>
    <w:bookmarkEnd w:id="0"/>
    <w:p w:rsidR="00A1322C" w:rsidRPr="00470C32" w:rsidRDefault="00A1322C" w:rsidP="00A1322C">
      <w:pPr>
        <w:rPr>
          <w:b/>
          <w:sz w:val="24"/>
          <w:szCs w:val="24"/>
        </w:rPr>
      </w:pPr>
    </w:p>
    <w:p w:rsidR="00A1322C" w:rsidRPr="00470C32" w:rsidRDefault="008A6CFC" w:rsidP="00A1322C">
      <w:pPr>
        <w:rPr>
          <w:b/>
          <w:bCs/>
          <w:sz w:val="24"/>
          <w:szCs w:val="24"/>
          <w:u w:val="single"/>
        </w:rPr>
      </w:pPr>
      <w:bookmarkStart w:id="1" w:name="_Toc150232148"/>
      <w:bookmarkStart w:id="2" w:name="_Toc150242355"/>
      <w:r w:rsidRPr="00470C32">
        <w:rPr>
          <w:b/>
          <w:bCs/>
          <w:sz w:val="24"/>
          <w:szCs w:val="24"/>
          <w:u w:val="single"/>
        </w:rPr>
        <w:t>Handels</w:t>
      </w:r>
      <w:r w:rsidR="00CD7442" w:rsidRPr="00470C32">
        <w:rPr>
          <w:b/>
          <w:bCs/>
          <w:sz w:val="24"/>
          <w:szCs w:val="24"/>
          <w:u w:val="single"/>
        </w:rPr>
        <w:t>ministrarnas möte</w:t>
      </w:r>
    </w:p>
    <w:p w:rsidR="00CD7442" w:rsidRPr="00470C32" w:rsidRDefault="00CD7442" w:rsidP="00A1322C">
      <w:pPr>
        <w:rPr>
          <w:bCs/>
          <w:sz w:val="24"/>
          <w:szCs w:val="24"/>
        </w:rPr>
      </w:pPr>
    </w:p>
    <w:p w:rsidR="00A1322C" w:rsidRPr="00470C32" w:rsidRDefault="00A1322C" w:rsidP="00A1322C">
      <w:pPr>
        <w:rPr>
          <w:b/>
          <w:bCs/>
          <w:sz w:val="24"/>
          <w:szCs w:val="24"/>
        </w:rPr>
      </w:pPr>
      <w:r w:rsidRPr="00470C32">
        <w:rPr>
          <w:b/>
          <w:bCs/>
          <w:sz w:val="24"/>
          <w:szCs w:val="24"/>
        </w:rPr>
        <w:t>1. Godkännande av den preliminära dagordningen</w:t>
      </w:r>
      <w:bookmarkEnd w:id="1"/>
      <w:bookmarkEnd w:id="2"/>
    </w:p>
    <w:p w:rsidR="00A1322C" w:rsidRPr="00470C32" w:rsidRDefault="00A1322C" w:rsidP="00A1322C">
      <w:pPr>
        <w:rPr>
          <w:bCs/>
          <w:sz w:val="24"/>
          <w:szCs w:val="24"/>
        </w:rPr>
      </w:pPr>
    </w:p>
    <w:p w:rsidR="00215F37" w:rsidRPr="00470C32" w:rsidRDefault="005520C4" w:rsidP="00CD7442">
      <w:pPr>
        <w:rPr>
          <w:b/>
          <w:bCs/>
          <w:sz w:val="24"/>
          <w:szCs w:val="24"/>
        </w:rPr>
      </w:pPr>
      <w:r w:rsidRPr="00470C32">
        <w:rPr>
          <w:b/>
          <w:bCs/>
          <w:sz w:val="24"/>
          <w:szCs w:val="24"/>
        </w:rPr>
        <w:t>2</w:t>
      </w:r>
      <w:r w:rsidR="00CD7442" w:rsidRPr="00470C32">
        <w:rPr>
          <w:b/>
          <w:bCs/>
          <w:sz w:val="24"/>
          <w:szCs w:val="24"/>
        </w:rPr>
        <w:t xml:space="preserve">. </w:t>
      </w:r>
      <w:r w:rsidR="00215F37" w:rsidRPr="00470C32">
        <w:rPr>
          <w:b/>
          <w:bCs/>
          <w:sz w:val="24"/>
          <w:szCs w:val="24"/>
        </w:rPr>
        <w:t xml:space="preserve"> </w:t>
      </w:r>
      <w:r w:rsidR="00630D86" w:rsidRPr="00470C32">
        <w:rPr>
          <w:b/>
          <w:bCs/>
          <w:sz w:val="24"/>
          <w:szCs w:val="24"/>
        </w:rPr>
        <w:t>Frihandelsavtal med Sydkorea</w:t>
      </w:r>
    </w:p>
    <w:p w:rsidR="00215F37" w:rsidRPr="00470C32" w:rsidRDefault="00215F37" w:rsidP="00CD7442">
      <w:pPr>
        <w:rPr>
          <w:b/>
          <w:bCs/>
          <w:sz w:val="24"/>
          <w:szCs w:val="24"/>
        </w:rPr>
      </w:pPr>
    </w:p>
    <w:p w:rsidR="005520C4" w:rsidRPr="00470C32" w:rsidRDefault="005520C4" w:rsidP="005520C4">
      <w:pPr>
        <w:pStyle w:val="RKnormal"/>
        <w:spacing w:line="240" w:lineRule="auto"/>
        <w:ind w:right="-851"/>
        <w:rPr>
          <w:rFonts w:ascii="Times New Roman" w:hAnsi="Times New Roman"/>
          <w:bCs/>
          <w:i/>
          <w:szCs w:val="24"/>
        </w:rPr>
      </w:pPr>
      <w:r w:rsidRPr="00470C32">
        <w:rPr>
          <w:rFonts w:ascii="Times New Roman" w:hAnsi="Times New Roman"/>
          <w:bCs/>
          <w:i/>
          <w:szCs w:val="24"/>
        </w:rPr>
        <w:t>För diskussion och beslut</w:t>
      </w:r>
    </w:p>
    <w:p w:rsidR="005520C4" w:rsidRPr="00470C32" w:rsidRDefault="005520C4" w:rsidP="005520C4">
      <w:pPr>
        <w:pStyle w:val="RKnormal"/>
        <w:spacing w:line="240" w:lineRule="auto"/>
        <w:ind w:right="-851"/>
        <w:rPr>
          <w:rFonts w:ascii="Times New Roman" w:hAnsi="Times New Roman"/>
          <w:bCs/>
          <w:i/>
          <w:szCs w:val="24"/>
        </w:rPr>
      </w:pPr>
    </w:p>
    <w:p w:rsidR="005520C4" w:rsidRPr="00470C32" w:rsidRDefault="00D97567" w:rsidP="005520C4">
      <w:pPr>
        <w:pStyle w:val="RKnormal"/>
        <w:spacing w:line="240" w:lineRule="auto"/>
        <w:ind w:right="-851"/>
        <w:rPr>
          <w:rFonts w:ascii="Times New Roman" w:hAnsi="Times New Roman"/>
          <w:bCs/>
          <w:color w:val="000000"/>
          <w:szCs w:val="24"/>
          <w:lang w:eastAsia="sv-SE"/>
        </w:rPr>
      </w:pPr>
      <w:r w:rsidRPr="00470C32">
        <w:rPr>
          <w:rFonts w:ascii="Times New Roman" w:hAnsi="Times New Roman"/>
          <w:bCs/>
          <w:color w:val="000000"/>
          <w:szCs w:val="24"/>
          <w:lang w:eastAsia="sv-SE"/>
        </w:rPr>
        <w:t>K</w:t>
      </w:r>
      <w:r w:rsidR="005520C4" w:rsidRPr="00470C32">
        <w:rPr>
          <w:rFonts w:ascii="Times New Roman" w:hAnsi="Times New Roman"/>
          <w:bCs/>
          <w:color w:val="000000"/>
          <w:szCs w:val="24"/>
          <w:lang w:eastAsia="sv-SE"/>
        </w:rPr>
        <w:t xml:space="preserve">ommissionen </w:t>
      </w:r>
      <w:r w:rsidRPr="00470C32">
        <w:rPr>
          <w:rFonts w:ascii="Times New Roman" w:hAnsi="Times New Roman"/>
          <w:bCs/>
          <w:color w:val="000000"/>
          <w:szCs w:val="24"/>
          <w:lang w:eastAsia="sv-SE"/>
        </w:rPr>
        <w:t xml:space="preserve">inledde </w:t>
      </w:r>
      <w:r w:rsidR="005520C4" w:rsidRPr="00470C32">
        <w:rPr>
          <w:rFonts w:ascii="Times New Roman" w:hAnsi="Times New Roman"/>
          <w:bCs/>
          <w:color w:val="000000"/>
          <w:szCs w:val="24"/>
          <w:lang w:eastAsia="sv-SE"/>
        </w:rPr>
        <w:t xml:space="preserve">i maj 2007 förhandlingar om ett frihandelsavtal mellan EU och Sydkorea. Förhandlingarna avslutades under det svenska EU-ordförandeskapet och avtalet kunde paraferas i oktober 2009. Vid FAC den 10 september ska beslut tas om att underteckna avtalet samt att provisoriskt tillämpa </w:t>
      </w:r>
      <w:r w:rsidR="005520C4" w:rsidRPr="00470C32">
        <w:rPr>
          <w:rFonts w:ascii="Times New Roman" w:hAnsi="Times New Roman"/>
          <w:lang w:eastAsia="sv-SE"/>
        </w:rPr>
        <w:t>de delar av avtalet där EU ens</w:t>
      </w:r>
      <w:r w:rsidR="00D56E22" w:rsidRPr="00470C32">
        <w:rPr>
          <w:rFonts w:ascii="Times New Roman" w:hAnsi="Times New Roman"/>
          <w:lang w:eastAsia="sv-SE"/>
        </w:rPr>
        <w:t>am är part i förhållandet till Sydk</w:t>
      </w:r>
      <w:r w:rsidR="005520C4" w:rsidRPr="00470C32">
        <w:rPr>
          <w:rFonts w:ascii="Times New Roman" w:hAnsi="Times New Roman"/>
          <w:lang w:eastAsia="sv-SE"/>
        </w:rPr>
        <w:t>orea</w:t>
      </w:r>
      <w:r w:rsidR="005520C4" w:rsidRPr="00470C32">
        <w:rPr>
          <w:rFonts w:ascii="Times New Roman" w:hAnsi="Times New Roman"/>
          <w:bCs/>
          <w:color w:val="000000"/>
          <w:szCs w:val="24"/>
          <w:lang w:eastAsia="sv-SE"/>
        </w:rPr>
        <w:t>. Tillämpning av hela avtalet kommer att ske först då samtliga medlemsstater har slutfört sina interna beredningsprocesser.</w:t>
      </w:r>
    </w:p>
    <w:p w:rsidR="005520C4" w:rsidRPr="00470C32" w:rsidRDefault="005520C4" w:rsidP="005520C4">
      <w:pPr>
        <w:pStyle w:val="RKnormal"/>
        <w:spacing w:line="240" w:lineRule="auto"/>
        <w:ind w:right="-851"/>
        <w:rPr>
          <w:rFonts w:ascii="Times New Roman" w:hAnsi="Times New Roman"/>
          <w:bCs/>
          <w:color w:val="000000"/>
          <w:szCs w:val="24"/>
          <w:lang w:eastAsia="sv-SE"/>
        </w:rPr>
      </w:pPr>
    </w:p>
    <w:p w:rsidR="005520C4" w:rsidRPr="00470C32" w:rsidRDefault="005520C4" w:rsidP="005520C4">
      <w:pPr>
        <w:pStyle w:val="RKnormal"/>
        <w:spacing w:line="240" w:lineRule="auto"/>
        <w:ind w:right="-851"/>
        <w:rPr>
          <w:rFonts w:ascii="Times New Roman" w:hAnsi="Times New Roman"/>
          <w:bCs/>
          <w:color w:val="000000"/>
          <w:szCs w:val="24"/>
          <w:lang w:eastAsia="sv-SE"/>
        </w:rPr>
      </w:pPr>
      <w:r w:rsidRPr="00470C32">
        <w:rPr>
          <w:rFonts w:ascii="Times New Roman" w:hAnsi="Times New Roman"/>
          <w:bCs/>
          <w:color w:val="000000"/>
          <w:szCs w:val="24"/>
          <w:lang w:eastAsia="sv-SE"/>
        </w:rPr>
        <w:t xml:space="preserve">Frihandelsavtalet mellan EU och Sydkorea är det mest omfattande frihandelsavtal som EU har förhandlat fram med ett land utanför Europa. Avtalet omfattar ett brett spektrum av handelspolitiska frågor och går på vissa områden längre än andra avtal EU tidigare slutit. Regeringen gör en positiv bedömning av avtalsinnehållet i sin helhet. Sydkorea är en viktig och växande ekonomi och avtalet bedöms vara av stort ekonomiskt intresse för EU och gynnsamt för svenska konsumenter och producenter. Utöver de ekonomiska vinster som ett avtal bedöms medföra för Sveriges och EU:s vidkommande skulle ikraftträdandet av avtalet sända viktiga politiska signaler om att EU fäster vikt vid öppna marknader och frihandel. </w:t>
      </w:r>
    </w:p>
    <w:p w:rsidR="005520C4" w:rsidRPr="00470C32" w:rsidRDefault="005520C4" w:rsidP="005520C4">
      <w:pPr>
        <w:pStyle w:val="RKnormal"/>
        <w:spacing w:line="240" w:lineRule="auto"/>
        <w:ind w:right="-851"/>
        <w:rPr>
          <w:rFonts w:ascii="Times New Roman" w:hAnsi="Times New Roman"/>
          <w:lang w:eastAsia="sv-SE"/>
        </w:rPr>
      </w:pPr>
    </w:p>
    <w:p w:rsidR="005520C4" w:rsidRPr="00470C32" w:rsidRDefault="005520C4" w:rsidP="005520C4">
      <w:pPr>
        <w:pStyle w:val="RKnormal"/>
        <w:spacing w:line="240" w:lineRule="auto"/>
        <w:ind w:left="-567" w:right="-851"/>
        <w:rPr>
          <w:rFonts w:ascii="Times New Roman" w:hAnsi="Times New Roman"/>
          <w:lang w:eastAsia="sv-SE"/>
        </w:rPr>
      </w:pPr>
    </w:p>
    <w:p w:rsidR="005520C4" w:rsidRPr="00470C32" w:rsidRDefault="005520C4" w:rsidP="00215F37">
      <w:pPr>
        <w:rPr>
          <w:b/>
          <w:bCs/>
          <w:sz w:val="24"/>
          <w:szCs w:val="24"/>
        </w:rPr>
      </w:pPr>
      <w:r w:rsidRPr="00470C32">
        <w:rPr>
          <w:b/>
          <w:bCs/>
          <w:sz w:val="24"/>
          <w:szCs w:val="24"/>
        </w:rPr>
        <w:t>3</w:t>
      </w:r>
      <w:r w:rsidR="00CD7442" w:rsidRPr="00470C32">
        <w:rPr>
          <w:b/>
          <w:bCs/>
          <w:sz w:val="24"/>
          <w:szCs w:val="24"/>
        </w:rPr>
        <w:t xml:space="preserve">. </w:t>
      </w:r>
      <w:r w:rsidRPr="00470C32">
        <w:rPr>
          <w:b/>
          <w:bCs/>
          <w:sz w:val="24"/>
          <w:szCs w:val="24"/>
        </w:rPr>
        <w:t>Investeringspaket</w:t>
      </w:r>
    </w:p>
    <w:p w:rsidR="005520C4" w:rsidRPr="00470C32" w:rsidRDefault="005520C4" w:rsidP="00215F37">
      <w:pPr>
        <w:rPr>
          <w:sz w:val="24"/>
          <w:szCs w:val="24"/>
        </w:rPr>
      </w:pPr>
    </w:p>
    <w:p w:rsidR="00215F37" w:rsidRPr="00470C32" w:rsidRDefault="005520C4" w:rsidP="00215F37">
      <w:pPr>
        <w:rPr>
          <w:bCs/>
          <w:i/>
          <w:sz w:val="24"/>
          <w:szCs w:val="24"/>
        </w:rPr>
      </w:pPr>
      <w:r w:rsidRPr="00470C32">
        <w:rPr>
          <w:bCs/>
          <w:i/>
          <w:sz w:val="24"/>
          <w:szCs w:val="24"/>
        </w:rPr>
        <w:t>Inledande diskussion</w:t>
      </w:r>
    </w:p>
    <w:p w:rsidR="008A6CFC" w:rsidRPr="00470C32" w:rsidRDefault="008A6CFC" w:rsidP="00215F37">
      <w:pPr>
        <w:rPr>
          <w:bCs/>
          <w:i/>
          <w:sz w:val="24"/>
          <w:szCs w:val="24"/>
        </w:rPr>
      </w:pPr>
    </w:p>
    <w:p w:rsidR="008A6CFC" w:rsidRPr="00470C32" w:rsidRDefault="008A6CFC" w:rsidP="008A6CFC">
      <w:pPr>
        <w:pStyle w:val="RKnormal"/>
        <w:rPr>
          <w:rFonts w:ascii="Times New Roman" w:hAnsi="Times New Roman"/>
          <w:lang w:eastAsia="sv-SE"/>
        </w:rPr>
      </w:pPr>
      <w:r w:rsidRPr="00470C32">
        <w:rPr>
          <w:rFonts w:ascii="Times New Roman" w:hAnsi="Times New Roman"/>
          <w:lang w:eastAsia="sv-SE"/>
        </w:rPr>
        <w:t xml:space="preserve">Genom Lissabonfördragets ikraftträdande har </w:t>
      </w:r>
      <w:r w:rsidR="00B617C9" w:rsidRPr="00470C32">
        <w:rPr>
          <w:rFonts w:ascii="Times New Roman" w:hAnsi="Times New Roman"/>
          <w:lang w:eastAsia="sv-SE"/>
        </w:rPr>
        <w:t xml:space="preserve">de huvudsakliga </w:t>
      </w:r>
      <w:r w:rsidR="00AA0B75" w:rsidRPr="00470C32">
        <w:rPr>
          <w:rFonts w:ascii="Times New Roman" w:hAnsi="Times New Roman"/>
          <w:lang w:eastAsia="sv-SE"/>
        </w:rPr>
        <w:t>beslutsbefogenheterna</w:t>
      </w:r>
      <w:r w:rsidRPr="00470C32">
        <w:rPr>
          <w:rFonts w:ascii="Times New Roman" w:hAnsi="Times New Roman"/>
          <w:lang w:eastAsia="sv-SE"/>
        </w:rPr>
        <w:t xml:space="preserve"> på investeringsområdet </w:t>
      </w:r>
      <w:r w:rsidR="00B617C9" w:rsidRPr="00470C32">
        <w:rPr>
          <w:rFonts w:ascii="Times New Roman" w:hAnsi="Times New Roman"/>
          <w:lang w:eastAsia="sv-SE"/>
        </w:rPr>
        <w:t>övergått</w:t>
      </w:r>
      <w:r w:rsidRPr="00470C32">
        <w:rPr>
          <w:rFonts w:ascii="Times New Roman" w:hAnsi="Times New Roman"/>
          <w:lang w:eastAsia="sv-SE"/>
        </w:rPr>
        <w:t xml:space="preserve"> från medlemsstaterna till EU. Denna förskjutning påverkar bl.a. medlemsstaternas bilaterala investeringsskyddsavtal (BITs) med tredjeländer. Kommissionen har med anledning av förändringarna i be</w:t>
      </w:r>
      <w:r w:rsidR="00B617C9" w:rsidRPr="00470C32">
        <w:rPr>
          <w:rFonts w:ascii="Times New Roman" w:hAnsi="Times New Roman"/>
          <w:lang w:eastAsia="sv-SE"/>
        </w:rPr>
        <w:t>slutsbefogenheten tagit fram ett förslag till</w:t>
      </w:r>
      <w:r w:rsidRPr="00470C32">
        <w:rPr>
          <w:rFonts w:ascii="Times New Roman" w:hAnsi="Times New Roman"/>
          <w:lang w:eastAsia="sv-SE"/>
        </w:rPr>
        <w:t xml:space="preserve"> </w:t>
      </w:r>
      <w:r w:rsidR="002E3C0C" w:rsidRPr="00470C32">
        <w:rPr>
          <w:rFonts w:ascii="Times New Roman" w:hAnsi="Times New Roman"/>
          <w:lang w:eastAsia="sv-SE"/>
        </w:rPr>
        <w:t>investeringspaket</w:t>
      </w:r>
      <w:r w:rsidRPr="00470C32">
        <w:rPr>
          <w:rFonts w:ascii="Times New Roman" w:hAnsi="Times New Roman"/>
          <w:lang w:eastAsia="sv-SE"/>
        </w:rPr>
        <w:t xml:space="preserve"> som omfattar mål och riktlinjer för en sam</w:t>
      </w:r>
      <w:r w:rsidRPr="00470C32">
        <w:rPr>
          <w:rFonts w:ascii="Times New Roman" w:hAnsi="Times New Roman"/>
          <w:lang w:eastAsia="sv-SE"/>
        </w:rPr>
        <w:lastRenderedPageBreak/>
        <w:t>lad EU-politik för internationella investeringar och investeringsavtal</w:t>
      </w:r>
      <w:r w:rsidR="003076A3" w:rsidRPr="00470C32">
        <w:rPr>
          <w:rFonts w:ascii="Times New Roman" w:hAnsi="Times New Roman"/>
          <w:lang w:eastAsia="sv-SE"/>
        </w:rPr>
        <w:t xml:space="preserve"> samt förslag på </w:t>
      </w:r>
      <w:r w:rsidRPr="00470C32">
        <w:rPr>
          <w:rFonts w:ascii="Times New Roman" w:hAnsi="Times New Roman"/>
          <w:lang w:eastAsia="sv-SE"/>
        </w:rPr>
        <w:t xml:space="preserve">övergångsregler för BITs mellan medlemsstaterna och tredjeländer. </w:t>
      </w:r>
    </w:p>
    <w:p w:rsidR="008A6CFC" w:rsidRPr="00470C32" w:rsidRDefault="008A6CFC" w:rsidP="008A6CFC">
      <w:pPr>
        <w:pStyle w:val="RKnormal"/>
        <w:rPr>
          <w:rFonts w:ascii="Times New Roman" w:hAnsi="Times New Roman"/>
          <w:lang w:eastAsia="sv-SE"/>
        </w:rPr>
      </w:pPr>
    </w:p>
    <w:p w:rsidR="008A6CFC" w:rsidRPr="00470C32" w:rsidRDefault="008A6CFC" w:rsidP="008A6CFC">
      <w:pPr>
        <w:pStyle w:val="RKnormal"/>
        <w:rPr>
          <w:rFonts w:ascii="Times New Roman" w:hAnsi="Times New Roman"/>
          <w:lang w:eastAsia="sv-SE"/>
        </w:rPr>
      </w:pPr>
      <w:r w:rsidRPr="00470C32">
        <w:rPr>
          <w:rFonts w:ascii="Times New Roman" w:hAnsi="Times New Roman"/>
          <w:lang w:eastAsia="sv-SE"/>
        </w:rPr>
        <w:t xml:space="preserve">Regeringen är positiv till en gemensam investeringspolicy för EU, som kan ge </w:t>
      </w:r>
      <w:r w:rsidR="00A03FCB" w:rsidRPr="00470C32">
        <w:rPr>
          <w:rFonts w:ascii="Times New Roman" w:hAnsi="Times New Roman"/>
          <w:lang w:eastAsia="sv-SE"/>
        </w:rPr>
        <w:t>förbättrad</w:t>
      </w:r>
      <w:r w:rsidRPr="00470C32">
        <w:rPr>
          <w:rFonts w:ascii="Times New Roman" w:hAnsi="Times New Roman"/>
          <w:lang w:eastAsia="sv-SE"/>
        </w:rPr>
        <w:t xml:space="preserve"> konkurrenskraft genom ökad transparens, </w:t>
      </w:r>
      <w:r w:rsidR="00A03FCB" w:rsidRPr="00470C32">
        <w:rPr>
          <w:rFonts w:ascii="Times New Roman" w:hAnsi="Times New Roman"/>
          <w:lang w:eastAsia="sv-SE"/>
        </w:rPr>
        <w:t>leda till</w:t>
      </w:r>
      <w:r w:rsidRPr="00470C32">
        <w:rPr>
          <w:rFonts w:ascii="Times New Roman" w:hAnsi="Times New Roman"/>
          <w:lang w:eastAsia="sv-SE"/>
        </w:rPr>
        <w:t xml:space="preserve"> mindre skillnader i skyddsnivå mellan medlemsstater, göra EU attraktivare för utländska investeringar, ge ökad förhandlingsstyrka och effektivitetsvinster. Det är samtidigt viktigt att säkerställa att medlemsstaternas investerare inte lider skada genom befogenhetsförskjutningen utan garanteras högsta </w:t>
      </w:r>
      <w:r w:rsidR="00A03FCB" w:rsidRPr="00470C32">
        <w:rPr>
          <w:rFonts w:ascii="Times New Roman" w:hAnsi="Times New Roman"/>
          <w:lang w:eastAsia="sv-SE"/>
        </w:rPr>
        <w:t>möjliga legala skydd och förutsäg</w:t>
      </w:r>
      <w:r w:rsidRPr="00470C32">
        <w:rPr>
          <w:rFonts w:ascii="Times New Roman" w:hAnsi="Times New Roman"/>
          <w:lang w:eastAsia="sv-SE"/>
        </w:rPr>
        <w:t>barhet för investeringar. De existerande medlemsstaternas BITs måste därför få leva kvar till dess att de ersatts av EU-BITs med minst samma nivå och omfång på investeringsskyddet</w:t>
      </w:r>
      <w:r w:rsidRPr="00470C32">
        <w:rPr>
          <w:lang w:eastAsia="sv-SE"/>
        </w:rPr>
        <w:t>.</w:t>
      </w:r>
    </w:p>
    <w:p w:rsidR="008A6CFC" w:rsidRPr="00470C32" w:rsidRDefault="008A6CFC" w:rsidP="00215F37">
      <w:pPr>
        <w:rPr>
          <w:sz w:val="24"/>
          <w:szCs w:val="24"/>
        </w:rPr>
      </w:pPr>
    </w:p>
    <w:p w:rsidR="00CD7442" w:rsidRPr="00470C32" w:rsidRDefault="00E159A4" w:rsidP="00CD7442">
      <w:pPr>
        <w:rPr>
          <w:b/>
          <w:bCs/>
          <w:sz w:val="24"/>
          <w:szCs w:val="24"/>
        </w:rPr>
      </w:pPr>
      <w:r w:rsidRPr="00470C32">
        <w:rPr>
          <w:b/>
          <w:bCs/>
          <w:sz w:val="24"/>
          <w:szCs w:val="24"/>
        </w:rPr>
        <w:t>4</w:t>
      </w:r>
      <w:r w:rsidR="00CD7442" w:rsidRPr="00470C32">
        <w:rPr>
          <w:b/>
          <w:bCs/>
          <w:sz w:val="24"/>
          <w:szCs w:val="24"/>
        </w:rPr>
        <w:t xml:space="preserve">. </w:t>
      </w:r>
      <w:r w:rsidRPr="00470C32">
        <w:rPr>
          <w:b/>
          <w:bCs/>
          <w:sz w:val="24"/>
          <w:szCs w:val="24"/>
        </w:rPr>
        <w:t>Avtal om ekonomiska partnerskap (EPA)</w:t>
      </w:r>
    </w:p>
    <w:p w:rsidR="00DD5AE0" w:rsidRPr="00470C32" w:rsidRDefault="00DD5AE0" w:rsidP="00215F37">
      <w:pPr>
        <w:rPr>
          <w:bCs/>
          <w:i/>
          <w:sz w:val="24"/>
          <w:szCs w:val="24"/>
        </w:rPr>
      </w:pPr>
    </w:p>
    <w:p w:rsidR="00215F37" w:rsidRPr="00470C32" w:rsidRDefault="00E159A4" w:rsidP="00215F37">
      <w:pPr>
        <w:rPr>
          <w:bCs/>
          <w:i/>
          <w:sz w:val="24"/>
          <w:szCs w:val="24"/>
        </w:rPr>
      </w:pPr>
      <w:r w:rsidRPr="00470C32">
        <w:rPr>
          <w:bCs/>
          <w:i/>
          <w:sz w:val="24"/>
          <w:szCs w:val="24"/>
        </w:rPr>
        <w:t xml:space="preserve">Lägesrapport – fortsatt arbete </w:t>
      </w:r>
    </w:p>
    <w:p w:rsidR="00CD7442" w:rsidRPr="00470C32" w:rsidRDefault="00CD7442" w:rsidP="00CD7442">
      <w:pPr>
        <w:rPr>
          <w:b/>
          <w:bCs/>
          <w:sz w:val="24"/>
          <w:szCs w:val="24"/>
        </w:rPr>
      </w:pPr>
    </w:p>
    <w:p w:rsidR="00A131FF" w:rsidRPr="00470C32" w:rsidRDefault="00DD5AE0" w:rsidP="00DD5AE0">
      <w:pPr>
        <w:rPr>
          <w:color w:val="000000"/>
          <w:sz w:val="24"/>
          <w:szCs w:val="24"/>
          <w:lang w:eastAsia="sv-SE"/>
        </w:rPr>
      </w:pPr>
      <w:r w:rsidRPr="00470C32">
        <w:rPr>
          <w:bCs/>
          <w:sz w:val="24"/>
          <w:szCs w:val="24"/>
        </w:rPr>
        <w:t>Förhandlingarna om de ekonomiska partnerskapsavtalen mellan AVS-länderna</w:t>
      </w:r>
      <w:r w:rsidRPr="00470C32">
        <w:rPr>
          <w:bCs/>
          <w:sz w:val="24"/>
          <w:szCs w:val="24"/>
          <w:vertAlign w:val="superscript"/>
        </w:rPr>
        <w:footnoteReference w:id="1"/>
      </w:r>
      <w:r w:rsidRPr="00470C32">
        <w:rPr>
          <w:bCs/>
          <w:sz w:val="24"/>
          <w:szCs w:val="24"/>
        </w:rPr>
        <w:t xml:space="preserve"> och EU pågår sedan flera år. AVS-länderna har grupperat sig i sju regionala grupper</w:t>
      </w:r>
      <w:r w:rsidRPr="00470C32">
        <w:rPr>
          <w:bCs/>
          <w:sz w:val="24"/>
          <w:szCs w:val="24"/>
          <w:vertAlign w:val="superscript"/>
        </w:rPr>
        <w:footnoteReference w:id="2"/>
      </w:r>
      <w:r w:rsidRPr="00470C32">
        <w:rPr>
          <w:bCs/>
          <w:sz w:val="24"/>
          <w:szCs w:val="24"/>
        </w:rPr>
        <w:t xml:space="preserve"> i för</w:t>
      </w:r>
      <w:r w:rsidR="00A131FF" w:rsidRPr="00470C32">
        <w:rPr>
          <w:bCs/>
          <w:sz w:val="24"/>
          <w:szCs w:val="24"/>
        </w:rPr>
        <w:t>handlingarna. Ett fullödigt EPA</w:t>
      </w:r>
      <w:r w:rsidR="008E5575" w:rsidRPr="00470C32">
        <w:rPr>
          <w:bCs/>
          <w:sz w:val="24"/>
          <w:szCs w:val="24"/>
        </w:rPr>
        <w:t xml:space="preserve"> har hittills slutits (</w:t>
      </w:r>
      <w:r w:rsidR="007260D3" w:rsidRPr="00470C32">
        <w:rPr>
          <w:bCs/>
          <w:sz w:val="24"/>
          <w:szCs w:val="24"/>
        </w:rPr>
        <w:t>Västindien (Cariforum)</w:t>
      </w:r>
      <w:r w:rsidR="008E5575" w:rsidRPr="00470C32">
        <w:rPr>
          <w:bCs/>
          <w:sz w:val="24"/>
          <w:szCs w:val="24"/>
        </w:rPr>
        <w:t xml:space="preserve"> 2007)</w:t>
      </w:r>
      <w:r w:rsidRPr="00470C32">
        <w:rPr>
          <w:bCs/>
          <w:sz w:val="24"/>
          <w:szCs w:val="24"/>
        </w:rPr>
        <w:t xml:space="preserve">. </w:t>
      </w:r>
      <w:r w:rsidR="00A131FF" w:rsidRPr="00470C32">
        <w:rPr>
          <w:color w:val="000000"/>
          <w:sz w:val="24"/>
          <w:szCs w:val="24"/>
          <w:lang w:eastAsia="sv-SE"/>
        </w:rPr>
        <w:t>För att undvika tullhöjningar för AVS-länderna, under förhandlingsperioden fram till dess fullödiga EPA har slutits mellan samtliga parter, har sex interimsavtal hittills ingåtts</w:t>
      </w:r>
      <w:r w:rsidR="00A131FF" w:rsidRPr="00470C32">
        <w:rPr>
          <w:rStyle w:val="Fotnotsreferens"/>
          <w:color w:val="000000"/>
          <w:sz w:val="24"/>
          <w:szCs w:val="24"/>
          <w:lang w:eastAsia="sv-SE"/>
        </w:rPr>
        <w:footnoteReference w:id="3"/>
      </w:r>
      <w:r w:rsidR="00A131FF" w:rsidRPr="00470C32">
        <w:rPr>
          <w:color w:val="000000"/>
          <w:sz w:val="24"/>
          <w:szCs w:val="24"/>
          <w:lang w:eastAsia="sv-SE"/>
        </w:rPr>
        <w:t>.</w:t>
      </w:r>
    </w:p>
    <w:p w:rsidR="00A131FF" w:rsidRPr="00470C32" w:rsidRDefault="00A131FF" w:rsidP="00DD5AE0">
      <w:pPr>
        <w:rPr>
          <w:color w:val="000000"/>
          <w:sz w:val="24"/>
          <w:szCs w:val="24"/>
          <w:lang w:eastAsia="sv-SE"/>
        </w:rPr>
      </w:pPr>
    </w:p>
    <w:p w:rsidR="00DD5AE0" w:rsidRPr="00470C32" w:rsidRDefault="00DD5AE0" w:rsidP="00DD5AE0">
      <w:pPr>
        <w:rPr>
          <w:bCs/>
          <w:sz w:val="24"/>
          <w:szCs w:val="24"/>
        </w:rPr>
      </w:pPr>
      <w:r w:rsidRPr="00470C32">
        <w:rPr>
          <w:bCs/>
          <w:sz w:val="24"/>
          <w:szCs w:val="24"/>
        </w:rPr>
        <w:t xml:space="preserve">Under 2010 har inga nya undertecknanden av avtal </w:t>
      </w:r>
      <w:r w:rsidR="00790D6D" w:rsidRPr="00470C32">
        <w:rPr>
          <w:bCs/>
          <w:sz w:val="24"/>
          <w:szCs w:val="24"/>
        </w:rPr>
        <w:t>skett</w:t>
      </w:r>
      <w:r w:rsidRPr="00470C32">
        <w:rPr>
          <w:bCs/>
          <w:sz w:val="24"/>
          <w:szCs w:val="24"/>
        </w:rPr>
        <w:t xml:space="preserve">. Kontakter sker löpande mellan EU och de övriga regionala grupperna för att nå fram till undertecknanden av de interimsavtal som fortfarande </w:t>
      </w:r>
      <w:r w:rsidR="000A587A" w:rsidRPr="00470C32">
        <w:rPr>
          <w:bCs/>
          <w:sz w:val="24"/>
          <w:szCs w:val="24"/>
        </w:rPr>
        <w:t>är utestående</w:t>
      </w:r>
      <w:r w:rsidRPr="00470C32">
        <w:rPr>
          <w:bCs/>
          <w:sz w:val="24"/>
          <w:szCs w:val="24"/>
        </w:rPr>
        <w:t xml:space="preserve"> samt parallellt fortsatta förhandlingar om slutliga EPA. Mot den bakgrunden vill KOM redovisa nuläget i förhandlingarna och diskutera det fortsatta arbetet.</w:t>
      </w:r>
    </w:p>
    <w:p w:rsidR="00DD5AE0" w:rsidRPr="00470C32" w:rsidRDefault="00DD5AE0" w:rsidP="00DD5AE0">
      <w:pPr>
        <w:rPr>
          <w:bCs/>
          <w:sz w:val="24"/>
          <w:szCs w:val="24"/>
        </w:rPr>
      </w:pPr>
    </w:p>
    <w:p w:rsidR="00FF03AA" w:rsidRPr="00470C32" w:rsidRDefault="00DD5AE0" w:rsidP="00DD5AE0">
      <w:pPr>
        <w:rPr>
          <w:bCs/>
          <w:sz w:val="24"/>
          <w:szCs w:val="24"/>
        </w:rPr>
      </w:pPr>
      <w:r w:rsidRPr="00470C32">
        <w:rPr>
          <w:bCs/>
          <w:sz w:val="24"/>
          <w:szCs w:val="24"/>
        </w:rPr>
        <w:t>Regeringens syn är att målsättningen med EPA är att förbättra AVS-ländernas möjligheter att delta i och dra nytta av internationell handel. Det är därför betydelsef</w:t>
      </w:r>
      <w:r w:rsidR="00FF03AA" w:rsidRPr="00470C32">
        <w:rPr>
          <w:bCs/>
          <w:sz w:val="24"/>
          <w:szCs w:val="24"/>
        </w:rPr>
        <w:t xml:space="preserve">ullt att förhandlingarna </w:t>
      </w:r>
      <w:r w:rsidRPr="00470C32">
        <w:rPr>
          <w:bCs/>
          <w:sz w:val="24"/>
          <w:szCs w:val="24"/>
        </w:rPr>
        <w:t>om EPA-avtalen fortsätter i syfte att formellt underteckna interims-EPA, men också för att uppnå det slutliga målet: fullödiga breda avtal som täcker mer än varuhandel och är förenliga med internationella handelsregler.</w:t>
      </w:r>
      <w:r w:rsidR="00FF03AA" w:rsidRPr="00470C32">
        <w:rPr>
          <w:bCs/>
          <w:sz w:val="24"/>
          <w:szCs w:val="24"/>
        </w:rPr>
        <w:t xml:space="preserve"> </w:t>
      </w:r>
      <w:r w:rsidR="007F6DCB" w:rsidRPr="00470C32">
        <w:rPr>
          <w:sz w:val="24"/>
          <w:szCs w:val="24"/>
        </w:rPr>
        <w:t>Ambitionen i förhandlingarna ska anpassas till respektive förhandlingsparts utvecklingsnivå.</w:t>
      </w:r>
    </w:p>
    <w:p w:rsidR="00FF03AA" w:rsidRPr="00470C32" w:rsidRDefault="00FF03AA" w:rsidP="00DD5AE0">
      <w:pPr>
        <w:rPr>
          <w:bCs/>
          <w:sz w:val="24"/>
          <w:szCs w:val="24"/>
        </w:rPr>
      </w:pPr>
    </w:p>
    <w:p w:rsidR="00DD5AE0" w:rsidRPr="00470C32" w:rsidRDefault="00FF03AA" w:rsidP="00DD5AE0">
      <w:pPr>
        <w:rPr>
          <w:bCs/>
          <w:sz w:val="24"/>
          <w:szCs w:val="24"/>
        </w:rPr>
      </w:pPr>
      <w:r w:rsidRPr="00470C32">
        <w:rPr>
          <w:bCs/>
          <w:sz w:val="24"/>
          <w:szCs w:val="24"/>
        </w:rPr>
        <w:t>Utvecklingsländerna behöver  inte bara utökat marknadstillträde. De behöver även förbättra sin kapacitet för att tillvarata de nya möjligheterna. Det är därför viktigt att EU stöttar AVS-länderna med bistånd för att utveckla denna kapacitet.</w:t>
      </w:r>
    </w:p>
    <w:p w:rsidR="00B2667F" w:rsidRPr="00470C32" w:rsidRDefault="00B2667F" w:rsidP="00CD7442">
      <w:pPr>
        <w:jc w:val="both"/>
        <w:outlineLvl w:val="0"/>
        <w:rPr>
          <w:b/>
          <w:bCs/>
          <w:sz w:val="24"/>
          <w:szCs w:val="24"/>
        </w:rPr>
      </w:pPr>
    </w:p>
    <w:p w:rsidR="00CD7442" w:rsidRPr="00470C32" w:rsidRDefault="00DD5AE0" w:rsidP="00CD7442">
      <w:pPr>
        <w:jc w:val="both"/>
        <w:outlineLvl w:val="0"/>
        <w:rPr>
          <w:b/>
          <w:bCs/>
          <w:sz w:val="24"/>
          <w:szCs w:val="24"/>
        </w:rPr>
      </w:pPr>
      <w:r w:rsidRPr="00470C32">
        <w:rPr>
          <w:b/>
          <w:bCs/>
          <w:sz w:val="24"/>
          <w:szCs w:val="24"/>
        </w:rPr>
        <w:t>5</w:t>
      </w:r>
      <w:r w:rsidR="00CD7442" w:rsidRPr="00470C32">
        <w:rPr>
          <w:b/>
          <w:bCs/>
          <w:sz w:val="24"/>
          <w:szCs w:val="24"/>
        </w:rPr>
        <w:t xml:space="preserve">. </w:t>
      </w:r>
      <w:r w:rsidRPr="00470C32">
        <w:rPr>
          <w:b/>
          <w:bCs/>
          <w:sz w:val="24"/>
          <w:szCs w:val="24"/>
        </w:rPr>
        <w:t>(ev) Frihandelsavtal mellan EU och Malaysia inom ramen för ASEAN</w:t>
      </w:r>
    </w:p>
    <w:p w:rsidR="00B2667F" w:rsidRPr="00470C32" w:rsidRDefault="00B2667F" w:rsidP="00B2667F">
      <w:pPr>
        <w:jc w:val="both"/>
        <w:outlineLvl w:val="0"/>
        <w:rPr>
          <w:bCs/>
          <w:sz w:val="24"/>
          <w:szCs w:val="24"/>
        </w:rPr>
      </w:pPr>
    </w:p>
    <w:p w:rsidR="00B2667F" w:rsidRPr="00470C32" w:rsidRDefault="00B2667F" w:rsidP="00B2667F">
      <w:pPr>
        <w:jc w:val="both"/>
        <w:outlineLvl w:val="0"/>
        <w:rPr>
          <w:bCs/>
          <w:i/>
          <w:sz w:val="24"/>
          <w:szCs w:val="24"/>
        </w:rPr>
      </w:pPr>
      <w:r w:rsidRPr="00470C32">
        <w:rPr>
          <w:bCs/>
          <w:i/>
          <w:sz w:val="24"/>
          <w:szCs w:val="24"/>
        </w:rPr>
        <w:t>Inledande diskussion</w:t>
      </w:r>
    </w:p>
    <w:p w:rsidR="00B2667F" w:rsidRPr="00470C32" w:rsidRDefault="00B2667F" w:rsidP="00B2667F">
      <w:pPr>
        <w:jc w:val="both"/>
        <w:outlineLvl w:val="0"/>
        <w:rPr>
          <w:bCs/>
          <w:sz w:val="24"/>
          <w:szCs w:val="24"/>
        </w:rPr>
      </w:pPr>
    </w:p>
    <w:p w:rsidR="00B2667F" w:rsidRPr="00470C32" w:rsidRDefault="00B2667F" w:rsidP="00B2667F">
      <w:pPr>
        <w:jc w:val="both"/>
        <w:outlineLvl w:val="0"/>
        <w:rPr>
          <w:bCs/>
          <w:sz w:val="24"/>
          <w:szCs w:val="24"/>
        </w:rPr>
      </w:pPr>
      <w:r w:rsidRPr="00470C32">
        <w:rPr>
          <w:bCs/>
          <w:sz w:val="24"/>
          <w:szCs w:val="24"/>
        </w:rPr>
        <w:t xml:space="preserve">EU inledde 2007 frihandelsförhandlingar med ASEAN. </w:t>
      </w:r>
      <w:r w:rsidR="00790D6D" w:rsidRPr="00470C32">
        <w:rPr>
          <w:bCs/>
          <w:sz w:val="24"/>
          <w:szCs w:val="24"/>
        </w:rPr>
        <w:t>D</w:t>
      </w:r>
      <w:r w:rsidRPr="00470C32">
        <w:rPr>
          <w:bCs/>
          <w:sz w:val="24"/>
          <w:szCs w:val="24"/>
        </w:rPr>
        <w:t xml:space="preserve">iskussionerna </w:t>
      </w:r>
      <w:r w:rsidR="005E5675" w:rsidRPr="00470C32">
        <w:rPr>
          <w:bCs/>
          <w:sz w:val="24"/>
          <w:szCs w:val="24"/>
        </w:rPr>
        <w:t>gick</w:t>
      </w:r>
      <w:r w:rsidR="00790D6D" w:rsidRPr="00470C32">
        <w:rPr>
          <w:bCs/>
          <w:sz w:val="24"/>
          <w:szCs w:val="24"/>
        </w:rPr>
        <w:t xml:space="preserve"> trögt</w:t>
      </w:r>
      <w:r w:rsidR="005E5675" w:rsidRPr="00470C32">
        <w:rPr>
          <w:bCs/>
          <w:sz w:val="24"/>
          <w:szCs w:val="24"/>
        </w:rPr>
        <w:t xml:space="preserve"> och lades därför på is 2009</w:t>
      </w:r>
      <w:r w:rsidR="00790D6D" w:rsidRPr="00470C32">
        <w:rPr>
          <w:bCs/>
          <w:sz w:val="24"/>
          <w:szCs w:val="24"/>
        </w:rPr>
        <w:t xml:space="preserve">. </w:t>
      </w:r>
      <w:r w:rsidR="005E5675" w:rsidRPr="00470C32">
        <w:rPr>
          <w:bCs/>
          <w:sz w:val="24"/>
          <w:szCs w:val="24"/>
        </w:rPr>
        <w:t xml:space="preserve">I början av 2010 </w:t>
      </w:r>
      <w:r w:rsidRPr="00470C32">
        <w:rPr>
          <w:bCs/>
          <w:sz w:val="24"/>
          <w:szCs w:val="24"/>
        </w:rPr>
        <w:t xml:space="preserve">inleddes </w:t>
      </w:r>
      <w:r w:rsidR="005E5675" w:rsidRPr="00470C32">
        <w:rPr>
          <w:bCs/>
          <w:sz w:val="24"/>
          <w:szCs w:val="24"/>
        </w:rPr>
        <w:t xml:space="preserve">istället </w:t>
      </w:r>
      <w:r w:rsidRPr="00470C32">
        <w:rPr>
          <w:bCs/>
          <w:sz w:val="24"/>
          <w:szCs w:val="24"/>
        </w:rPr>
        <w:t xml:space="preserve">bilaterala förhandlingar med Singapore. Förhoppningen är att andra ASEAN-länder ska följa efter. </w:t>
      </w:r>
    </w:p>
    <w:p w:rsidR="00B2667F" w:rsidRPr="00470C32" w:rsidRDefault="00B2667F" w:rsidP="00B2667F">
      <w:pPr>
        <w:jc w:val="both"/>
        <w:outlineLvl w:val="0"/>
        <w:rPr>
          <w:bCs/>
          <w:sz w:val="24"/>
          <w:szCs w:val="24"/>
        </w:rPr>
      </w:pPr>
    </w:p>
    <w:p w:rsidR="00B2667F" w:rsidRPr="00470C32" w:rsidRDefault="00723DA0" w:rsidP="00B2667F">
      <w:pPr>
        <w:jc w:val="both"/>
        <w:outlineLvl w:val="0"/>
        <w:rPr>
          <w:bCs/>
          <w:sz w:val="24"/>
          <w:szCs w:val="24"/>
        </w:rPr>
      </w:pPr>
      <w:r w:rsidRPr="00470C32">
        <w:rPr>
          <w:bCs/>
          <w:sz w:val="24"/>
          <w:szCs w:val="24"/>
        </w:rPr>
        <w:t>EU-kommissionen har under senare tid fått</w:t>
      </w:r>
      <w:r w:rsidR="00B2667F" w:rsidRPr="00470C32">
        <w:rPr>
          <w:bCs/>
          <w:sz w:val="24"/>
          <w:szCs w:val="24"/>
        </w:rPr>
        <w:t xml:space="preserve"> </w:t>
      </w:r>
      <w:r w:rsidRPr="00470C32">
        <w:rPr>
          <w:bCs/>
          <w:sz w:val="24"/>
          <w:szCs w:val="24"/>
        </w:rPr>
        <w:t>positiva signaler från</w:t>
      </w:r>
      <w:r w:rsidR="00B2667F" w:rsidRPr="00470C32">
        <w:rPr>
          <w:bCs/>
          <w:sz w:val="24"/>
          <w:szCs w:val="24"/>
        </w:rPr>
        <w:t xml:space="preserve"> Malaysia om landets ambition och intresse av att inleda frihandelsförhandlingar med EU. </w:t>
      </w:r>
      <w:r w:rsidR="00166921" w:rsidRPr="00470C32">
        <w:rPr>
          <w:bCs/>
          <w:sz w:val="24"/>
          <w:szCs w:val="24"/>
        </w:rPr>
        <w:t>Parterna har under juli för</w:t>
      </w:r>
      <w:r w:rsidR="007701A8" w:rsidRPr="00470C32">
        <w:rPr>
          <w:bCs/>
          <w:sz w:val="24"/>
          <w:szCs w:val="24"/>
        </w:rPr>
        <w:t xml:space="preserve">t diskussioner om mål och principer för förhandlingarna om ett frihandelsavtal. </w:t>
      </w:r>
      <w:r w:rsidR="00B2667F" w:rsidRPr="00470C32">
        <w:rPr>
          <w:bCs/>
          <w:sz w:val="24"/>
          <w:szCs w:val="24"/>
        </w:rPr>
        <w:t>Eventuellt skulle förhandlingar formellt kunna lanseras i samband med ASEM-toppmötet (Asia Europe Meeting) i oktober.</w:t>
      </w:r>
    </w:p>
    <w:p w:rsidR="00B2667F" w:rsidRPr="00470C32" w:rsidRDefault="00B2667F" w:rsidP="00B2667F">
      <w:pPr>
        <w:jc w:val="both"/>
        <w:outlineLvl w:val="0"/>
        <w:rPr>
          <w:bCs/>
          <w:sz w:val="24"/>
          <w:szCs w:val="24"/>
        </w:rPr>
      </w:pPr>
    </w:p>
    <w:p w:rsidR="00B2667F" w:rsidRPr="00470C32" w:rsidRDefault="00B2667F" w:rsidP="00B2667F">
      <w:pPr>
        <w:jc w:val="both"/>
        <w:outlineLvl w:val="0"/>
        <w:rPr>
          <w:bCs/>
          <w:sz w:val="24"/>
          <w:szCs w:val="24"/>
        </w:rPr>
      </w:pPr>
      <w:r w:rsidRPr="00470C32">
        <w:rPr>
          <w:bCs/>
          <w:sz w:val="24"/>
          <w:szCs w:val="24"/>
        </w:rPr>
        <w:t>Den svenska regeringen stödjer att FTA-förhandlingar inleds med Malaysia. Ett avtal vore ett viktigt steg i riktning mot den långsiktiga regionala ansatsen. Ett ambitiöst och omfattande avtal skulle även resultera i ekonomiska fördelar för EU. Malaysia är en viktig handelspartner för EU – den näst största i ASEAN-regionen.</w:t>
      </w:r>
    </w:p>
    <w:p w:rsidR="00B2667F" w:rsidRPr="00470C32" w:rsidRDefault="00B2667F" w:rsidP="00CD7442">
      <w:pPr>
        <w:jc w:val="both"/>
        <w:outlineLvl w:val="0"/>
        <w:rPr>
          <w:bCs/>
          <w:sz w:val="24"/>
          <w:szCs w:val="24"/>
        </w:rPr>
      </w:pPr>
    </w:p>
    <w:p w:rsidR="00DD5AE0" w:rsidRPr="00470C32" w:rsidRDefault="00DD5AE0" w:rsidP="00CD7442">
      <w:pPr>
        <w:jc w:val="both"/>
        <w:outlineLvl w:val="0"/>
        <w:rPr>
          <w:b/>
          <w:sz w:val="24"/>
          <w:szCs w:val="24"/>
        </w:rPr>
      </w:pPr>
    </w:p>
    <w:p w:rsidR="00CD7442" w:rsidRPr="00470C32" w:rsidRDefault="00CD7442" w:rsidP="00CD7442">
      <w:pPr>
        <w:rPr>
          <w:b/>
          <w:bCs/>
          <w:sz w:val="24"/>
          <w:szCs w:val="24"/>
        </w:rPr>
      </w:pPr>
    </w:p>
    <w:p w:rsidR="009F2927" w:rsidRPr="00470C32" w:rsidRDefault="009F2927" w:rsidP="008C169B">
      <w:pPr>
        <w:rPr>
          <w:b/>
          <w:sz w:val="24"/>
          <w:szCs w:val="24"/>
        </w:rPr>
      </w:pPr>
    </w:p>
    <w:p w:rsidR="00C67009" w:rsidRPr="00470C32" w:rsidRDefault="00C67009" w:rsidP="00C67009">
      <w:pPr>
        <w:pStyle w:val="Brdtext1"/>
        <w:rPr>
          <w:rFonts w:ascii="Times New Roman" w:hAnsi="Times New Roman"/>
          <w:szCs w:val="24"/>
        </w:rPr>
      </w:pPr>
    </w:p>
    <w:p w:rsidR="009F2927" w:rsidRPr="00470C32" w:rsidRDefault="009F2927" w:rsidP="00CD7442">
      <w:pPr>
        <w:jc w:val="both"/>
        <w:outlineLvl w:val="0"/>
        <w:rPr>
          <w:b/>
          <w:sz w:val="24"/>
          <w:szCs w:val="24"/>
        </w:rPr>
      </w:pPr>
    </w:p>
    <w:p w:rsidR="00CD7442" w:rsidRPr="00470C32" w:rsidRDefault="00CD7442" w:rsidP="00CD7442">
      <w:pPr>
        <w:jc w:val="both"/>
        <w:outlineLvl w:val="0"/>
        <w:rPr>
          <w:b/>
          <w:sz w:val="24"/>
          <w:szCs w:val="24"/>
        </w:rPr>
      </w:pPr>
    </w:p>
    <w:p w:rsidR="00CD7442" w:rsidRPr="00470C32" w:rsidRDefault="00CD7442" w:rsidP="00CD7442">
      <w:pPr>
        <w:jc w:val="both"/>
        <w:outlineLvl w:val="0"/>
        <w:rPr>
          <w:sz w:val="24"/>
          <w:szCs w:val="24"/>
        </w:rPr>
      </w:pPr>
    </w:p>
    <w:p w:rsidR="00CD7442" w:rsidRPr="00470C32" w:rsidRDefault="00CD7442" w:rsidP="00CD7442">
      <w:pPr>
        <w:jc w:val="both"/>
        <w:outlineLvl w:val="0"/>
        <w:rPr>
          <w:sz w:val="24"/>
          <w:szCs w:val="24"/>
        </w:rPr>
      </w:pPr>
    </w:p>
    <w:p w:rsidR="00CD7442" w:rsidRPr="00470C32" w:rsidRDefault="00CD7442" w:rsidP="00CD7442">
      <w:pPr>
        <w:jc w:val="both"/>
        <w:outlineLvl w:val="0"/>
        <w:rPr>
          <w:sz w:val="24"/>
          <w:szCs w:val="24"/>
        </w:rPr>
      </w:pPr>
    </w:p>
    <w:p w:rsidR="00CD7442" w:rsidRPr="00470C32" w:rsidRDefault="00CD7442" w:rsidP="00CD7442">
      <w:pPr>
        <w:jc w:val="both"/>
        <w:outlineLvl w:val="0"/>
        <w:rPr>
          <w:sz w:val="24"/>
          <w:szCs w:val="24"/>
        </w:rPr>
      </w:pPr>
    </w:p>
    <w:p w:rsidR="00CD7442" w:rsidRPr="00470C32" w:rsidRDefault="00CD7442" w:rsidP="00CD7442">
      <w:pPr>
        <w:jc w:val="both"/>
        <w:outlineLvl w:val="0"/>
        <w:rPr>
          <w:sz w:val="24"/>
          <w:szCs w:val="24"/>
        </w:rPr>
      </w:pPr>
    </w:p>
    <w:p w:rsidR="00CD7442" w:rsidRPr="00470C32" w:rsidRDefault="00CD7442" w:rsidP="00CD7442">
      <w:pPr>
        <w:jc w:val="both"/>
        <w:outlineLvl w:val="0"/>
        <w:rPr>
          <w:b/>
          <w:sz w:val="24"/>
          <w:szCs w:val="24"/>
          <w:u w:val="single"/>
        </w:rPr>
      </w:pPr>
    </w:p>
    <w:p w:rsidR="00CD7442" w:rsidRPr="00470C32" w:rsidRDefault="00CD7442" w:rsidP="00CD7442">
      <w:pPr>
        <w:jc w:val="both"/>
        <w:outlineLvl w:val="0"/>
        <w:rPr>
          <w:b/>
          <w:i/>
          <w:sz w:val="24"/>
          <w:szCs w:val="24"/>
        </w:rPr>
      </w:pPr>
    </w:p>
    <w:p w:rsidR="003B6D4F" w:rsidRPr="00470C32" w:rsidRDefault="003B6D4F" w:rsidP="00CD7442">
      <w:pPr>
        <w:rPr>
          <w:rFonts w:ascii="OrigGarmnd BT" w:hAnsi="OrigGarmnd BT"/>
          <w:sz w:val="24"/>
          <w:szCs w:val="24"/>
        </w:rPr>
      </w:pPr>
    </w:p>
    <w:sectPr w:rsidR="003B6D4F" w:rsidRPr="00470C32">
      <w:footerReference w:type="even" r:id="rId7"/>
      <w:footerReference w:type="default" r:id="rId8"/>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7C18" w:rsidRPr="00470C32" w:rsidRDefault="00687C18">
      <w:r w:rsidRPr="00470C32">
        <w:separator/>
      </w:r>
    </w:p>
  </w:endnote>
  <w:endnote w:type="continuationSeparator" w:id="0">
    <w:p w:rsidR="00687C18" w:rsidRPr="00470C32" w:rsidRDefault="00687C18">
      <w:r w:rsidRPr="00470C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5309" w:rsidRPr="00470C32" w:rsidRDefault="002B5309" w:rsidP="00A1322C">
    <w:pPr>
      <w:pStyle w:val="Sidfot"/>
      <w:framePr w:wrap="around" w:vAnchor="text" w:hAnchor="margin" w:xAlign="right" w:y="1"/>
      <w:rPr>
        <w:rStyle w:val="Sidnummer"/>
      </w:rPr>
    </w:pPr>
    <w:r w:rsidRPr="00470C32">
      <w:rPr>
        <w:rStyle w:val="Sidnummer"/>
      </w:rPr>
      <w:fldChar w:fldCharType="begin" w:fldLock="1"/>
    </w:r>
    <w:r w:rsidRPr="00470C32">
      <w:rPr>
        <w:rStyle w:val="Sidnummer"/>
      </w:rPr>
      <w:instrText xml:space="preserve">PAGE  </w:instrText>
    </w:r>
    <w:r w:rsidRPr="00470C32">
      <w:rPr>
        <w:rStyle w:val="Sidnummer"/>
      </w:rPr>
      <w:fldChar w:fldCharType="end"/>
    </w:r>
  </w:p>
  <w:p w:rsidR="002B5309" w:rsidRPr="00470C32" w:rsidRDefault="002B5309" w:rsidP="00A1322C">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5309" w:rsidRPr="00470C32" w:rsidRDefault="002B5309" w:rsidP="00A1322C">
    <w:pPr>
      <w:pStyle w:val="Sidfot"/>
      <w:ind w:right="360"/>
    </w:pPr>
    <w:r w:rsidRPr="00470C32">
      <w:rPr>
        <w:rStyle w:val="Sidnummer"/>
      </w:rPr>
      <w:tab/>
    </w:r>
    <w:r w:rsidRPr="00470C32">
      <w:rPr>
        <w:rStyle w:val="Sidnummer"/>
      </w:rPr>
      <w:tab/>
    </w:r>
    <w:r w:rsidRPr="00470C32">
      <w:rPr>
        <w:rStyle w:val="Sidnummer"/>
      </w:rPr>
      <w:fldChar w:fldCharType="begin" w:fldLock="1"/>
    </w:r>
    <w:r w:rsidRPr="00470C32">
      <w:rPr>
        <w:rStyle w:val="Sidnummer"/>
      </w:rPr>
      <w:instrText xml:space="preserve"> PAGE </w:instrText>
    </w:r>
    <w:r w:rsidRPr="00470C32">
      <w:rPr>
        <w:rStyle w:val="Sidnummer"/>
      </w:rPr>
      <w:fldChar w:fldCharType="separate"/>
    </w:r>
    <w:r w:rsidR="001D4071" w:rsidRPr="00470C32">
      <w:rPr>
        <w:rStyle w:val="Sidnummer"/>
      </w:rPr>
      <w:t>1</w:t>
    </w:r>
    <w:r w:rsidRPr="00470C32">
      <w:rPr>
        <w:rStyle w:val="Sid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7C18" w:rsidRPr="00470C32" w:rsidRDefault="00687C18">
      <w:r w:rsidRPr="00470C32">
        <w:separator/>
      </w:r>
    </w:p>
  </w:footnote>
  <w:footnote w:type="continuationSeparator" w:id="0">
    <w:p w:rsidR="00687C18" w:rsidRPr="00470C32" w:rsidRDefault="00687C18">
      <w:r w:rsidRPr="00470C32">
        <w:continuationSeparator/>
      </w:r>
    </w:p>
  </w:footnote>
  <w:footnote w:id="1">
    <w:p w:rsidR="002B5309" w:rsidRPr="00470C32" w:rsidRDefault="002B5309" w:rsidP="00DD5AE0">
      <w:pPr>
        <w:pStyle w:val="Fotnotstext"/>
        <w:rPr>
          <w:rFonts w:ascii="Garamond" w:hAnsi="Garamond"/>
        </w:rPr>
      </w:pPr>
      <w:r w:rsidRPr="00470C32">
        <w:rPr>
          <w:rStyle w:val="Fotnotsreferens"/>
          <w:rFonts w:ascii="Garamond" w:hAnsi="Garamond"/>
        </w:rPr>
        <w:footnoteRef/>
      </w:r>
      <w:r w:rsidRPr="00470C32">
        <w:rPr>
          <w:rFonts w:ascii="Garamond" w:hAnsi="Garamond"/>
        </w:rPr>
        <w:t xml:space="preserve"> AVS-länderna omfattar ett 70-tal utvecklingsländer i Afrika, Västindien och Stillahavsregi</w:t>
      </w:r>
      <w:r w:rsidRPr="00470C32">
        <w:rPr>
          <w:rFonts w:ascii="Garamond" w:hAnsi="Garamond"/>
        </w:rPr>
        <w:t>o</w:t>
      </w:r>
      <w:r w:rsidRPr="00470C32">
        <w:rPr>
          <w:rFonts w:ascii="Garamond" w:hAnsi="Garamond"/>
        </w:rPr>
        <w:t>nen</w:t>
      </w:r>
    </w:p>
  </w:footnote>
  <w:footnote w:id="2">
    <w:p w:rsidR="002B5309" w:rsidRPr="00470C32" w:rsidRDefault="002B5309" w:rsidP="00DD5AE0">
      <w:pPr>
        <w:pStyle w:val="Fotnotstext"/>
        <w:rPr>
          <w:rFonts w:ascii="Garamond" w:hAnsi="Garamond"/>
        </w:rPr>
      </w:pPr>
      <w:r w:rsidRPr="00470C32">
        <w:rPr>
          <w:rStyle w:val="Fotnotsreferens"/>
          <w:rFonts w:ascii="Garamond" w:hAnsi="Garamond"/>
        </w:rPr>
        <w:footnoteRef/>
      </w:r>
      <w:r w:rsidRPr="00470C32">
        <w:rPr>
          <w:rFonts w:ascii="Garamond" w:hAnsi="Garamond"/>
        </w:rPr>
        <w:t xml:space="preserve"> Västra Afrika, Centralafrika, Västra och södra Afrika, Östafrikanska gemenskapen, Södra Afrika, Västindien och, Sti</w:t>
      </w:r>
      <w:r w:rsidRPr="00470C32">
        <w:rPr>
          <w:rFonts w:ascii="Garamond" w:hAnsi="Garamond"/>
        </w:rPr>
        <w:t>l</w:t>
      </w:r>
      <w:r w:rsidRPr="00470C32">
        <w:rPr>
          <w:rFonts w:ascii="Garamond" w:hAnsi="Garamond"/>
        </w:rPr>
        <w:t>lahavsregionen</w:t>
      </w:r>
    </w:p>
  </w:footnote>
  <w:footnote w:id="3">
    <w:p w:rsidR="002B5309" w:rsidRPr="00470C32" w:rsidRDefault="002B5309">
      <w:pPr>
        <w:pStyle w:val="Fotnotstext"/>
        <w:rPr>
          <w:rFonts w:ascii="Garamond" w:hAnsi="Garamond"/>
        </w:rPr>
      </w:pPr>
      <w:r w:rsidRPr="00470C32">
        <w:rPr>
          <w:rStyle w:val="Fotnotsreferens"/>
        </w:rPr>
        <w:footnoteRef/>
      </w:r>
      <w:r w:rsidRPr="00470C32">
        <w:t xml:space="preserve"> </w:t>
      </w:r>
      <w:r w:rsidRPr="00470C32">
        <w:rPr>
          <w:rFonts w:ascii="Garamond" w:hAnsi="Garamond"/>
        </w:rPr>
        <w:t>Interimsavtal har ingåtts med  Kamerun (Centralafrika), Elfenbenskusten (Västafrika), Södra Afrika, Östra och södra Afrika. Östafrikanska gemenskapen och Stillahavsregionen.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316E3"/>
    <w:multiLevelType w:val="hybridMultilevel"/>
    <w:tmpl w:val="7B107FD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97477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22C"/>
    <w:rsid w:val="00001121"/>
    <w:rsid w:val="0006144E"/>
    <w:rsid w:val="00086F95"/>
    <w:rsid w:val="000A3E06"/>
    <w:rsid w:val="000A587A"/>
    <w:rsid w:val="000C1274"/>
    <w:rsid w:val="000C5E0C"/>
    <w:rsid w:val="000C7EDD"/>
    <w:rsid w:val="000F1733"/>
    <w:rsid w:val="00120E4C"/>
    <w:rsid w:val="001328CC"/>
    <w:rsid w:val="0014017D"/>
    <w:rsid w:val="00166921"/>
    <w:rsid w:val="001803B3"/>
    <w:rsid w:val="0019071D"/>
    <w:rsid w:val="001A1264"/>
    <w:rsid w:val="001A333C"/>
    <w:rsid w:val="001C0606"/>
    <w:rsid w:val="001D4071"/>
    <w:rsid w:val="001F7DB4"/>
    <w:rsid w:val="00215F37"/>
    <w:rsid w:val="002331F3"/>
    <w:rsid w:val="00251785"/>
    <w:rsid w:val="002B24BF"/>
    <w:rsid w:val="002B5309"/>
    <w:rsid w:val="002E3C0C"/>
    <w:rsid w:val="002F7930"/>
    <w:rsid w:val="00302208"/>
    <w:rsid w:val="003076A3"/>
    <w:rsid w:val="0039238F"/>
    <w:rsid w:val="003B6D4F"/>
    <w:rsid w:val="00412BC0"/>
    <w:rsid w:val="00420E8C"/>
    <w:rsid w:val="00427E87"/>
    <w:rsid w:val="00470C32"/>
    <w:rsid w:val="00477E10"/>
    <w:rsid w:val="0048427F"/>
    <w:rsid w:val="004932F3"/>
    <w:rsid w:val="004B6956"/>
    <w:rsid w:val="004C62EA"/>
    <w:rsid w:val="004D0B99"/>
    <w:rsid w:val="004D56F4"/>
    <w:rsid w:val="004E5918"/>
    <w:rsid w:val="004E5D88"/>
    <w:rsid w:val="004F3887"/>
    <w:rsid w:val="00501829"/>
    <w:rsid w:val="005127CA"/>
    <w:rsid w:val="00524839"/>
    <w:rsid w:val="005520C4"/>
    <w:rsid w:val="005D27E4"/>
    <w:rsid w:val="005E5675"/>
    <w:rsid w:val="005F069C"/>
    <w:rsid w:val="00630D86"/>
    <w:rsid w:val="00686E7E"/>
    <w:rsid w:val="00687C18"/>
    <w:rsid w:val="00690570"/>
    <w:rsid w:val="0069352B"/>
    <w:rsid w:val="006C3E20"/>
    <w:rsid w:val="006D17ED"/>
    <w:rsid w:val="006D239B"/>
    <w:rsid w:val="00723DA0"/>
    <w:rsid w:val="007260D3"/>
    <w:rsid w:val="00734EA3"/>
    <w:rsid w:val="007701A8"/>
    <w:rsid w:val="007808D7"/>
    <w:rsid w:val="00783053"/>
    <w:rsid w:val="00790D6D"/>
    <w:rsid w:val="007C1F67"/>
    <w:rsid w:val="007D011D"/>
    <w:rsid w:val="007E69D4"/>
    <w:rsid w:val="007F6DCB"/>
    <w:rsid w:val="00836134"/>
    <w:rsid w:val="00875BAE"/>
    <w:rsid w:val="008854E3"/>
    <w:rsid w:val="008956C5"/>
    <w:rsid w:val="008A6CFC"/>
    <w:rsid w:val="008C0A43"/>
    <w:rsid w:val="008C169B"/>
    <w:rsid w:val="008C206B"/>
    <w:rsid w:val="008D6F11"/>
    <w:rsid w:val="008E5575"/>
    <w:rsid w:val="00920DBF"/>
    <w:rsid w:val="009649B0"/>
    <w:rsid w:val="009F2927"/>
    <w:rsid w:val="00A03FCB"/>
    <w:rsid w:val="00A131FF"/>
    <w:rsid w:val="00A1322C"/>
    <w:rsid w:val="00A41040"/>
    <w:rsid w:val="00A51759"/>
    <w:rsid w:val="00AA0B75"/>
    <w:rsid w:val="00AA5B65"/>
    <w:rsid w:val="00AC5682"/>
    <w:rsid w:val="00AE146B"/>
    <w:rsid w:val="00AF28F0"/>
    <w:rsid w:val="00B05E71"/>
    <w:rsid w:val="00B2667F"/>
    <w:rsid w:val="00B60265"/>
    <w:rsid w:val="00B617C9"/>
    <w:rsid w:val="00B931C6"/>
    <w:rsid w:val="00C203F0"/>
    <w:rsid w:val="00C67009"/>
    <w:rsid w:val="00CC5021"/>
    <w:rsid w:val="00CD7442"/>
    <w:rsid w:val="00D56E22"/>
    <w:rsid w:val="00D97567"/>
    <w:rsid w:val="00DA6CF3"/>
    <w:rsid w:val="00DC4C1B"/>
    <w:rsid w:val="00DD2793"/>
    <w:rsid w:val="00DD5AE0"/>
    <w:rsid w:val="00E159A4"/>
    <w:rsid w:val="00E31090"/>
    <w:rsid w:val="00E6471C"/>
    <w:rsid w:val="00EA10DF"/>
    <w:rsid w:val="00EA7A65"/>
    <w:rsid w:val="00EC555F"/>
    <w:rsid w:val="00EE1487"/>
    <w:rsid w:val="00EF315D"/>
    <w:rsid w:val="00EF4597"/>
    <w:rsid w:val="00F0103A"/>
    <w:rsid w:val="00F01C98"/>
    <w:rsid w:val="00F12310"/>
    <w:rsid w:val="00F47B4F"/>
    <w:rsid w:val="00F817ED"/>
    <w:rsid w:val="00FF03AA"/>
    <w:rsid w:val="00FF2ED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7D8F8FA-DA1C-4F4D-8CA3-8C0461654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322C"/>
    <w:pPr>
      <w:overflowPunct w:val="0"/>
      <w:autoSpaceDE w:val="0"/>
      <w:autoSpaceDN w:val="0"/>
      <w:adjustRightInd w:val="0"/>
      <w:textAlignment w:val="baseline"/>
    </w:pPr>
    <w:rPr>
      <w:lang w:val="sv-SE" w:eastAsia="en-US"/>
    </w:rPr>
  </w:style>
  <w:style w:type="paragraph" w:styleId="Rubrik1">
    <w:name w:val="heading 1"/>
    <w:basedOn w:val="Normal"/>
    <w:next w:val="Normal"/>
    <w:qFormat/>
    <w:rsid w:val="00A1322C"/>
    <w:pPr>
      <w:keepNext/>
      <w:spacing w:before="240" w:after="60"/>
      <w:outlineLvl w:val="0"/>
    </w:pPr>
    <w:rPr>
      <w:rFonts w:ascii="Arial" w:hAnsi="Arial" w:cs="Arial"/>
      <w:b/>
      <w:bCs/>
      <w:kern w:val="32"/>
      <w:sz w:val="32"/>
      <w:szCs w:val="32"/>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Sidnummer">
    <w:name w:val="page number"/>
    <w:basedOn w:val="Standardstycketeckensnitt"/>
    <w:rsid w:val="00A1322C"/>
  </w:style>
  <w:style w:type="paragraph" w:styleId="Sidfot">
    <w:name w:val="footer"/>
    <w:basedOn w:val="Normal"/>
    <w:rsid w:val="00A1322C"/>
    <w:pPr>
      <w:tabs>
        <w:tab w:val="center" w:pos="4153"/>
        <w:tab w:val="right" w:pos="8306"/>
      </w:tabs>
    </w:pPr>
    <w:rPr>
      <w:sz w:val="24"/>
    </w:rPr>
  </w:style>
  <w:style w:type="paragraph" w:customStyle="1" w:styleId="UDrubrik">
    <w:name w:val="UDrubrik"/>
    <w:basedOn w:val="Normal"/>
    <w:next w:val="Normal"/>
    <w:rsid w:val="00A1322C"/>
    <w:pPr>
      <w:spacing w:line="320" w:lineRule="exact"/>
    </w:pPr>
    <w:rPr>
      <w:rFonts w:ascii="Arial" w:hAnsi="Arial"/>
      <w:b/>
      <w:sz w:val="22"/>
    </w:rPr>
  </w:style>
  <w:style w:type="paragraph" w:customStyle="1" w:styleId="Brdtext1">
    <w:name w:val="Brödtext1"/>
    <w:basedOn w:val="Normal"/>
    <w:link w:val="Brdtext1Char"/>
    <w:rsid w:val="00A1322C"/>
    <w:pPr>
      <w:overflowPunct/>
      <w:autoSpaceDE/>
      <w:autoSpaceDN/>
      <w:adjustRightInd/>
      <w:spacing w:line="320" w:lineRule="exact"/>
      <w:textAlignment w:val="auto"/>
    </w:pPr>
    <w:rPr>
      <w:rFonts w:ascii="OrigGarmnd BT" w:hAnsi="OrigGarmnd BT"/>
      <w:sz w:val="24"/>
    </w:rPr>
  </w:style>
  <w:style w:type="character" w:customStyle="1" w:styleId="Brdtext1Char">
    <w:name w:val="Brödtext1 Char"/>
    <w:basedOn w:val="Standardstycketeckensnitt"/>
    <w:link w:val="Brdtext1"/>
    <w:rsid w:val="00A1322C"/>
    <w:rPr>
      <w:rFonts w:ascii="OrigGarmnd BT" w:hAnsi="OrigGarmnd BT"/>
      <w:sz w:val="24"/>
      <w:lang w:val="sv-SE" w:eastAsia="en-US" w:bidi="ar-SA"/>
    </w:rPr>
  </w:style>
  <w:style w:type="paragraph" w:customStyle="1" w:styleId="RKnormal">
    <w:name w:val="RKnormal"/>
    <w:basedOn w:val="Normal"/>
    <w:link w:val="RKnormalChar"/>
    <w:rsid w:val="00EA7A65"/>
    <w:pPr>
      <w:tabs>
        <w:tab w:val="left" w:pos="2835"/>
      </w:tabs>
      <w:spacing w:line="240" w:lineRule="atLeast"/>
    </w:pPr>
    <w:rPr>
      <w:rFonts w:ascii="OrigGarmnd BT" w:hAnsi="OrigGarmnd BT"/>
      <w:sz w:val="24"/>
    </w:rPr>
  </w:style>
  <w:style w:type="character" w:customStyle="1" w:styleId="RKnormalChar">
    <w:name w:val="RKnormal Char"/>
    <w:basedOn w:val="Standardstycketeckensnitt"/>
    <w:link w:val="RKnormal"/>
    <w:locked/>
    <w:rsid w:val="00EA7A65"/>
    <w:rPr>
      <w:rFonts w:ascii="OrigGarmnd BT" w:hAnsi="OrigGarmnd BT"/>
      <w:sz w:val="24"/>
      <w:lang w:val="sv-SE" w:eastAsia="en-US" w:bidi="ar-SA"/>
    </w:rPr>
  </w:style>
  <w:style w:type="paragraph" w:customStyle="1" w:styleId="Brdtexthuvud">
    <w:name w:val="Brödtext huvud"/>
    <w:basedOn w:val="Brdtext1"/>
    <w:rsid w:val="00EA7A65"/>
    <w:pPr>
      <w:framePr w:w="4570" w:h="1701" w:hRule="exact" w:hSpace="181" w:wrap="around" w:vAnchor="page" w:hAnchor="page" w:x="6697" w:y="681"/>
    </w:pPr>
  </w:style>
  <w:style w:type="paragraph" w:styleId="Fotnotstext">
    <w:name w:val="footnote text"/>
    <w:basedOn w:val="Normal"/>
    <w:semiHidden/>
    <w:rsid w:val="00DD5AE0"/>
    <w:pPr>
      <w:overflowPunct/>
      <w:autoSpaceDE/>
      <w:autoSpaceDN/>
      <w:adjustRightInd/>
      <w:textAlignment w:val="auto"/>
    </w:pPr>
    <w:rPr>
      <w:rFonts w:ascii="OrigGarmnd BT" w:hAnsi="OrigGarmnd BT"/>
    </w:rPr>
  </w:style>
  <w:style w:type="character" w:styleId="Fotnotsreferens">
    <w:name w:val="footnote reference"/>
    <w:basedOn w:val="Standardstycketeckensnitt"/>
    <w:semiHidden/>
    <w:rsid w:val="00DD5A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733</Words>
  <Characters>4758</Characters>
  <Application>Microsoft Office Word</Application>
  <DocSecurity>4</DocSecurity>
  <Lines>125</Lines>
  <Paragraphs>31</Paragraphs>
  <ScaleCrop>false</ScaleCrop>
  <HeadingPairs>
    <vt:vector size="2" baseType="variant">
      <vt:variant>
        <vt:lpstr>Rubrik</vt:lpstr>
      </vt:variant>
      <vt:variant>
        <vt:i4>1</vt:i4>
      </vt:variant>
    </vt:vector>
  </HeadingPairs>
  <TitlesOfParts>
    <vt:vector size="1" baseType="lpstr">
      <vt:lpstr>REGERINGSKANSLIET</vt:lpstr>
    </vt:vector>
  </TitlesOfParts>
  <Company>Regeringskansliet</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2010-08-27T09:32:00Z</cp:lastPrinted>
  <dcterms:created xsi:type="dcterms:W3CDTF">2025-12-18T00:05:00Z</dcterms:created>
  <dcterms:modified xsi:type="dcterms:W3CDTF">2025-12-18T00:05:00Z</dcterms:modified>
</cp:coreProperties>
</file>