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54" w:type="dxa"/>
        <w:tblInd w:w="58" w:type="dxa"/>
        <w:tblLayout w:type="fixed"/>
        <w:tblCellMar>
          <w:left w:w="70" w:type="dxa"/>
          <w:right w:w="70" w:type="dxa"/>
        </w:tblCellMar>
        <w:tblLook w:val="0000" w:firstRow="0" w:lastRow="0" w:firstColumn="0" w:lastColumn="0" w:noHBand="0" w:noVBand="0"/>
      </w:tblPr>
      <w:tblGrid>
        <w:gridCol w:w="1272"/>
        <w:gridCol w:w="720"/>
        <w:gridCol w:w="900"/>
        <w:gridCol w:w="1440"/>
        <w:gridCol w:w="4822"/>
      </w:tblGrid>
      <w:tr w:rsidR="008F2075" w:rsidRPr="000E2036" w:rsidTr="008F2075">
        <w:trPr>
          <w:trHeight w:val="348"/>
        </w:trPr>
        <w:tc>
          <w:tcPr>
            <w:tcW w:w="1992" w:type="dxa"/>
            <w:gridSpan w:val="2"/>
            <w:tcBorders>
              <w:top w:val="nil"/>
              <w:left w:val="nil"/>
              <w:bottom w:val="nil"/>
              <w:right w:val="nil"/>
            </w:tcBorders>
            <w:noWrap/>
            <w:vAlign w:val="bottom"/>
          </w:tcPr>
          <w:p w:rsidR="008F2075" w:rsidRPr="000E2036" w:rsidRDefault="008F2075">
            <w:pPr>
              <w:rPr>
                <w:rFonts w:ascii="Arial" w:hAnsi="Arial" w:cs="Arial"/>
                <w:b/>
                <w:bCs/>
                <w:sz w:val="28"/>
                <w:szCs w:val="28"/>
              </w:rPr>
            </w:pPr>
            <w:r w:rsidRPr="000E2036">
              <w:rPr>
                <w:rFonts w:ascii="Arial" w:hAnsi="Arial" w:cs="Arial"/>
                <w:b/>
                <w:bCs/>
                <w:sz w:val="28"/>
                <w:szCs w:val="28"/>
              </w:rPr>
              <w:t>JuU</w:t>
            </w:r>
          </w:p>
        </w:tc>
        <w:tc>
          <w:tcPr>
            <w:tcW w:w="7162" w:type="dxa"/>
            <w:gridSpan w:val="3"/>
            <w:tcBorders>
              <w:top w:val="nil"/>
              <w:left w:val="nil"/>
              <w:bottom w:val="nil"/>
              <w:right w:val="nil"/>
            </w:tcBorders>
            <w:noWrap/>
            <w:vAlign w:val="bottom"/>
          </w:tcPr>
          <w:p w:rsidR="008F2075" w:rsidRPr="000E2036" w:rsidRDefault="008F2075">
            <w:pPr>
              <w:rPr>
                <w:rFonts w:ascii="Arial" w:hAnsi="Arial" w:cs="Arial"/>
                <w:b/>
                <w:bCs/>
                <w:sz w:val="28"/>
                <w:szCs w:val="28"/>
              </w:rPr>
            </w:pPr>
            <w:r w:rsidRPr="000E2036">
              <w:rPr>
                <w:rFonts w:ascii="Arial" w:hAnsi="Arial" w:cs="Arial"/>
                <w:b/>
                <w:bCs/>
                <w:sz w:val="28"/>
                <w:szCs w:val="28"/>
              </w:rPr>
              <w:t>Inkomna EU-dokument 24 jan - 14 feb 2013</w:t>
            </w:r>
          </w:p>
        </w:tc>
      </w:tr>
      <w:tr w:rsidR="008F2075" w:rsidRPr="000E2036" w:rsidTr="008F2075">
        <w:trPr>
          <w:trHeight w:val="264"/>
        </w:trPr>
        <w:tc>
          <w:tcPr>
            <w:tcW w:w="1992" w:type="dxa"/>
            <w:gridSpan w:val="2"/>
            <w:tcBorders>
              <w:top w:val="nil"/>
              <w:left w:val="nil"/>
              <w:bottom w:val="nil"/>
              <w:right w:val="nil"/>
            </w:tcBorders>
            <w:noWrap/>
            <w:vAlign w:val="bottom"/>
          </w:tcPr>
          <w:p w:rsidR="008F2075" w:rsidRPr="000E2036" w:rsidRDefault="008F2075">
            <w:pPr>
              <w:rPr>
                <w:rFonts w:ascii="Arial" w:hAnsi="Arial" w:cs="Arial"/>
                <w:sz w:val="20"/>
                <w:szCs w:val="20"/>
              </w:rPr>
            </w:pPr>
          </w:p>
        </w:tc>
        <w:tc>
          <w:tcPr>
            <w:tcW w:w="2340" w:type="dxa"/>
            <w:gridSpan w:val="2"/>
            <w:tcBorders>
              <w:top w:val="nil"/>
              <w:left w:val="nil"/>
              <w:bottom w:val="nil"/>
              <w:right w:val="nil"/>
            </w:tcBorders>
            <w:noWrap/>
            <w:vAlign w:val="bottom"/>
          </w:tcPr>
          <w:p w:rsidR="008F2075" w:rsidRPr="000E2036" w:rsidRDefault="008F2075">
            <w:pPr>
              <w:rPr>
                <w:rFonts w:ascii="Arial" w:hAnsi="Arial" w:cs="Arial"/>
                <w:sz w:val="20"/>
                <w:szCs w:val="20"/>
              </w:rPr>
            </w:pPr>
          </w:p>
        </w:tc>
        <w:tc>
          <w:tcPr>
            <w:tcW w:w="4822" w:type="dxa"/>
            <w:tcBorders>
              <w:top w:val="nil"/>
              <w:left w:val="nil"/>
              <w:bottom w:val="nil"/>
              <w:right w:val="nil"/>
            </w:tcBorders>
            <w:noWrap/>
            <w:vAlign w:val="bottom"/>
          </w:tcPr>
          <w:p w:rsidR="008F2075" w:rsidRPr="000E2036" w:rsidRDefault="008F2075">
            <w:pPr>
              <w:rPr>
                <w:rFonts w:ascii="Arial" w:hAnsi="Arial" w:cs="Arial"/>
                <w:sz w:val="20"/>
                <w:szCs w:val="20"/>
              </w:rPr>
            </w:pPr>
          </w:p>
        </w:tc>
      </w:tr>
      <w:tr w:rsidR="008F2075" w:rsidRPr="000E2036" w:rsidTr="008F2075">
        <w:trPr>
          <w:trHeight w:val="312"/>
        </w:trPr>
        <w:tc>
          <w:tcPr>
            <w:tcW w:w="9154" w:type="dxa"/>
            <w:gridSpan w:val="5"/>
            <w:tcBorders>
              <w:top w:val="single" w:sz="4" w:space="0" w:color="auto"/>
              <w:left w:val="single" w:sz="4" w:space="0" w:color="auto"/>
              <w:bottom w:val="nil"/>
              <w:right w:val="single" w:sz="4" w:space="0" w:color="auto"/>
            </w:tcBorders>
            <w:noWrap/>
            <w:vAlign w:val="bottom"/>
          </w:tcPr>
          <w:p w:rsidR="008F2075" w:rsidRPr="000E2036" w:rsidRDefault="008F2075">
            <w:pPr>
              <w:rPr>
                <w:rFonts w:ascii="Arial" w:hAnsi="Arial" w:cs="Arial"/>
                <w:sz w:val="20"/>
                <w:szCs w:val="20"/>
              </w:rPr>
            </w:pPr>
            <w:r w:rsidRPr="000E2036">
              <w:rPr>
                <w:rFonts w:ascii="Arial" w:hAnsi="Arial" w:cs="Arial"/>
                <w:b/>
                <w:bCs/>
              </w:rPr>
              <w:t>Dokument från EU-kommissionen (KOM, K, SWD)</w:t>
            </w:r>
            <w:r w:rsidRPr="000E2036">
              <w:rPr>
                <w:rFonts w:ascii="Arial" w:hAnsi="Arial" w:cs="Arial"/>
                <w:sz w:val="20"/>
                <w:szCs w:val="20"/>
              </w:rPr>
              <w:t>  </w:t>
            </w:r>
          </w:p>
        </w:tc>
      </w:tr>
      <w:tr w:rsidR="008F2075" w:rsidRPr="000E2036" w:rsidTr="008F2075">
        <w:trPr>
          <w:trHeight w:val="264"/>
        </w:trPr>
        <w:tc>
          <w:tcPr>
            <w:tcW w:w="1272" w:type="dxa"/>
            <w:tcBorders>
              <w:top w:val="single" w:sz="4" w:space="0" w:color="auto"/>
              <w:left w:val="single" w:sz="4" w:space="0" w:color="auto"/>
              <w:bottom w:val="single" w:sz="4" w:space="0" w:color="auto"/>
              <w:right w:val="single" w:sz="4" w:space="0" w:color="auto"/>
            </w:tcBorders>
            <w:shd w:val="clear" w:color="auto" w:fill="A9A9A9"/>
            <w:noWrap/>
            <w:vAlign w:val="bottom"/>
          </w:tcPr>
          <w:p w:rsidR="008F2075" w:rsidRPr="000E2036" w:rsidRDefault="008F2075">
            <w:pPr>
              <w:rPr>
                <w:rFonts w:ascii="Arial" w:hAnsi="Arial" w:cs="Arial"/>
                <w:sz w:val="20"/>
                <w:szCs w:val="20"/>
              </w:rPr>
            </w:pPr>
            <w:r w:rsidRPr="000E2036">
              <w:rPr>
                <w:rFonts w:ascii="Arial" w:hAnsi="Arial" w:cs="Arial"/>
                <w:sz w:val="20"/>
                <w:szCs w:val="20"/>
              </w:rPr>
              <w:t>Inlämnat</w:t>
            </w:r>
          </w:p>
        </w:tc>
        <w:tc>
          <w:tcPr>
            <w:tcW w:w="1620" w:type="dxa"/>
            <w:gridSpan w:val="2"/>
            <w:tcBorders>
              <w:top w:val="single" w:sz="4" w:space="0" w:color="auto"/>
              <w:left w:val="nil"/>
              <w:bottom w:val="single" w:sz="4" w:space="0" w:color="auto"/>
              <w:right w:val="single" w:sz="4" w:space="0" w:color="auto"/>
            </w:tcBorders>
            <w:shd w:val="clear" w:color="auto" w:fill="A9A9A9"/>
            <w:noWrap/>
            <w:vAlign w:val="bottom"/>
          </w:tcPr>
          <w:p w:rsidR="008F2075" w:rsidRPr="000E2036" w:rsidRDefault="008F2075">
            <w:pPr>
              <w:rPr>
                <w:rFonts w:ascii="Arial" w:hAnsi="Arial" w:cs="Arial"/>
                <w:sz w:val="20"/>
                <w:szCs w:val="20"/>
              </w:rPr>
            </w:pPr>
            <w:r w:rsidRPr="000E2036">
              <w:rPr>
                <w:rFonts w:ascii="Arial" w:hAnsi="Arial" w:cs="Arial"/>
                <w:sz w:val="20"/>
                <w:szCs w:val="20"/>
              </w:rPr>
              <w:t>Beteckning</w:t>
            </w:r>
          </w:p>
        </w:tc>
        <w:tc>
          <w:tcPr>
            <w:tcW w:w="6262" w:type="dxa"/>
            <w:gridSpan w:val="2"/>
            <w:tcBorders>
              <w:top w:val="single" w:sz="4" w:space="0" w:color="auto"/>
              <w:left w:val="nil"/>
              <w:bottom w:val="single" w:sz="4" w:space="0" w:color="auto"/>
              <w:right w:val="single" w:sz="4" w:space="0" w:color="auto"/>
            </w:tcBorders>
            <w:shd w:val="clear" w:color="auto" w:fill="A9A9A9"/>
            <w:noWrap/>
            <w:vAlign w:val="bottom"/>
          </w:tcPr>
          <w:p w:rsidR="008F2075" w:rsidRPr="000E2036" w:rsidRDefault="008F2075">
            <w:pPr>
              <w:rPr>
                <w:rFonts w:ascii="Arial" w:hAnsi="Arial" w:cs="Arial"/>
                <w:sz w:val="20"/>
                <w:szCs w:val="20"/>
              </w:rPr>
            </w:pPr>
            <w:r w:rsidRPr="000E2036">
              <w:rPr>
                <w:rFonts w:ascii="Arial" w:hAnsi="Arial" w:cs="Arial"/>
                <w:sz w:val="20"/>
                <w:szCs w:val="20"/>
              </w:rPr>
              <w:t>Rubrik</w:t>
            </w:r>
          </w:p>
        </w:tc>
      </w:tr>
      <w:tr w:rsidR="008F2075" w:rsidRPr="000E2036" w:rsidTr="008F2075">
        <w:trPr>
          <w:trHeight w:val="1056"/>
        </w:trPr>
        <w:tc>
          <w:tcPr>
            <w:tcW w:w="1272" w:type="dxa"/>
            <w:tcBorders>
              <w:top w:val="single" w:sz="4" w:space="0" w:color="A9A9A9"/>
              <w:left w:val="single" w:sz="4" w:space="0" w:color="A9A9A9"/>
              <w:bottom w:val="single" w:sz="4" w:space="0" w:color="A9A9A9"/>
              <w:right w:val="single" w:sz="4" w:space="0" w:color="A9A9A9"/>
            </w:tcBorders>
            <w:vAlign w:val="center"/>
          </w:tcPr>
          <w:p w:rsidR="008F2075" w:rsidRPr="000E2036" w:rsidRDefault="008F2075">
            <w:pPr>
              <w:rPr>
                <w:rFonts w:ascii="Arial" w:hAnsi="Arial" w:cs="Arial"/>
                <w:sz w:val="20"/>
                <w:szCs w:val="20"/>
              </w:rPr>
            </w:pPr>
            <w:r w:rsidRPr="000E2036">
              <w:rPr>
                <w:rFonts w:ascii="Arial" w:hAnsi="Arial" w:cs="Arial"/>
                <w:sz w:val="20"/>
                <w:szCs w:val="20"/>
              </w:rPr>
              <w:t>2013-02-06</w:t>
            </w:r>
          </w:p>
        </w:tc>
        <w:tc>
          <w:tcPr>
            <w:tcW w:w="1620" w:type="dxa"/>
            <w:gridSpan w:val="2"/>
            <w:tcBorders>
              <w:top w:val="single" w:sz="4" w:space="0" w:color="A9A9A9"/>
              <w:left w:val="nil"/>
              <w:bottom w:val="single" w:sz="4" w:space="0" w:color="A9A9A9"/>
              <w:right w:val="single" w:sz="4" w:space="0" w:color="A9A9A9"/>
            </w:tcBorders>
            <w:vAlign w:val="center"/>
          </w:tcPr>
          <w:p w:rsidR="008F2075" w:rsidRPr="000E2036" w:rsidRDefault="008F2075">
            <w:pPr>
              <w:rPr>
                <w:rFonts w:ascii="Arial" w:hAnsi="Arial" w:cs="Arial"/>
                <w:sz w:val="20"/>
                <w:szCs w:val="20"/>
              </w:rPr>
            </w:pPr>
            <w:r w:rsidRPr="000E2036">
              <w:rPr>
                <w:rFonts w:ascii="Arial" w:hAnsi="Arial" w:cs="Arial"/>
                <w:sz w:val="20"/>
                <w:szCs w:val="20"/>
              </w:rPr>
              <w:t>KOM(2013) 42</w:t>
            </w:r>
          </w:p>
        </w:tc>
        <w:tc>
          <w:tcPr>
            <w:tcW w:w="6262" w:type="dxa"/>
            <w:gridSpan w:val="2"/>
            <w:tcBorders>
              <w:top w:val="single" w:sz="4" w:space="0" w:color="A9A9A9"/>
              <w:left w:val="nil"/>
              <w:bottom w:val="single" w:sz="4" w:space="0" w:color="A9A9A9"/>
              <w:right w:val="single" w:sz="4" w:space="0" w:color="A9A9A9"/>
            </w:tcBorders>
            <w:vAlign w:val="center"/>
          </w:tcPr>
          <w:p w:rsidR="008F2075" w:rsidRPr="000E2036" w:rsidRDefault="008F2075">
            <w:pPr>
              <w:rPr>
                <w:rFonts w:ascii="Arial" w:hAnsi="Arial" w:cs="Arial"/>
                <w:sz w:val="20"/>
                <w:szCs w:val="20"/>
              </w:rPr>
            </w:pPr>
            <w:r w:rsidRPr="000E2036">
              <w:rPr>
                <w:rFonts w:ascii="Arial" w:hAnsi="Arial" w:cs="Arial"/>
                <w:sz w:val="20"/>
                <w:szCs w:val="20"/>
              </w:rPr>
              <w:t xml:space="preserve">Förslag till Europaparlamentets och rådets direktiv om straffrättsligt skydd av euron och andra valutor mot penningförfalskning och om ersättning av rådets rambeslut 2000/383/RIF </w:t>
            </w:r>
          </w:p>
        </w:tc>
      </w:tr>
      <w:tr w:rsidR="008F2075" w:rsidRPr="000E2036" w:rsidTr="008F2075">
        <w:trPr>
          <w:trHeight w:val="1584"/>
        </w:trPr>
        <w:tc>
          <w:tcPr>
            <w:tcW w:w="1272" w:type="dxa"/>
            <w:tcBorders>
              <w:top w:val="nil"/>
              <w:left w:val="single" w:sz="4" w:space="0" w:color="A9A9A9"/>
              <w:bottom w:val="single" w:sz="4" w:space="0" w:color="A9A9A9"/>
              <w:right w:val="single" w:sz="4" w:space="0" w:color="A9A9A9"/>
            </w:tcBorders>
            <w:vAlign w:val="center"/>
          </w:tcPr>
          <w:p w:rsidR="008F2075" w:rsidRPr="000E2036" w:rsidRDefault="008F2075">
            <w:pPr>
              <w:rPr>
                <w:rFonts w:ascii="Arial" w:hAnsi="Arial" w:cs="Arial"/>
                <w:sz w:val="20"/>
                <w:szCs w:val="20"/>
              </w:rPr>
            </w:pPr>
            <w:r w:rsidRPr="000E2036">
              <w:rPr>
                <w:rFonts w:ascii="Arial" w:hAnsi="Arial" w:cs="Arial"/>
                <w:sz w:val="20"/>
                <w:szCs w:val="20"/>
              </w:rPr>
              <w:t>2013-02-06</w:t>
            </w:r>
          </w:p>
        </w:tc>
        <w:tc>
          <w:tcPr>
            <w:tcW w:w="1620" w:type="dxa"/>
            <w:gridSpan w:val="2"/>
            <w:tcBorders>
              <w:top w:val="nil"/>
              <w:left w:val="nil"/>
              <w:bottom w:val="single" w:sz="4" w:space="0" w:color="A9A9A9"/>
              <w:right w:val="single" w:sz="4" w:space="0" w:color="A9A9A9"/>
            </w:tcBorders>
            <w:vAlign w:val="center"/>
          </w:tcPr>
          <w:p w:rsidR="008F2075" w:rsidRPr="000E2036" w:rsidRDefault="008F2075">
            <w:pPr>
              <w:rPr>
                <w:rFonts w:ascii="Arial" w:hAnsi="Arial" w:cs="Arial"/>
                <w:sz w:val="20"/>
                <w:szCs w:val="20"/>
              </w:rPr>
            </w:pPr>
            <w:r w:rsidRPr="000E2036">
              <w:rPr>
                <w:rFonts w:ascii="Arial" w:hAnsi="Arial" w:cs="Arial"/>
                <w:sz w:val="20"/>
                <w:szCs w:val="20"/>
              </w:rPr>
              <w:t>SWD(2013) 19</w:t>
            </w:r>
          </w:p>
        </w:tc>
        <w:tc>
          <w:tcPr>
            <w:tcW w:w="6262" w:type="dxa"/>
            <w:gridSpan w:val="2"/>
            <w:tcBorders>
              <w:top w:val="nil"/>
              <w:left w:val="nil"/>
              <w:bottom w:val="single" w:sz="4" w:space="0" w:color="A9A9A9"/>
              <w:right w:val="single" w:sz="4" w:space="0" w:color="A9A9A9"/>
            </w:tcBorders>
            <w:vAlign w:val="center"/>
          </w:tcPr>
          <w:p w:rsidR="008F2075" w:rsidRPr="000E2036" w:rsidRDefault="008F2075">
            <w:pPr>
              <w:rPr>
                <w:rFonts w:ascii="Arial" w:hAnsi="Arial" w:cs="Arial"/>
                <w:sz w:val="20"/>
                <w:szCs w:val="20"/>
              </w:rPr>
            </w:pPr>
            <w:r w:rsidRPr="000E2036">
              <w:rPr>
                <w:rFonts w:ascii="Arial" w:hAnsi="Arial" w:cs="Arial"/>
                <w:sz w:val="20"/>
                <w:szCs w:val="20"/>
              </w:rPr>
              <w:t>Commission staff working paper Impact assessment accompanying the proposal for a Directive of the European Parliament and of the Council on the Protection of the Euro and other currencies against counterfeiting by criminal law, and replacing Council framework decision 2000/383/JHA</w:t>
            </w:r>
          </w:p>
        </w:tc>
      </w:tr>
      <w:tr w:rsidR="008F2075" w:rsidRPr="000E2036" w:rsidTr="008F2075">
        <w:trPr>
          <w:trHeight w:val="1584"/>
        </w:trPr>
        <w:tc>
          <w:tcPr>
            <w:tcW w:w="1272" w:type="dxa"/>
            <w:tcBorders>
              <w:top w:val="nil"/>
              <w:left w:val="single" w:sz="4" w:space="0" w:color="A9A9A9"/>
              <w:bottom w:val="single" w:sz="4" w:space="0" w:color="A9A9A9"/>
              <w:right w:val="single" w:sz="4" w:space="0" w:color="A9A9A9"/>
            </w:tcBorders>
            <w:vAlign w:val="center"/>
          </w:tcPr>
          <w:p w:rsidR="008F2075" w:rsidRPr="000E2036" w:rsidRDefault="008F2075">
            <w:pPr>
              <w:rPr>
                <w:rFonts w:ascii="Arial" w:hAnsi="Arial" w:cs="Arial"/>
                <w:sz w:val="20"/>
                <w:szCs w:val="20"/>
              </w:rPr>
            </w:pPr>
            <w:r w:rsidRPr="000E2036">
              <w:rPr>
                <w:rFonts w:ascii="Arial" w:hAnsi="Arial" w:cs="Arial"/>
                <w:sz w:val="20"/>
                <w:szCs w:val="20"/>
              </w:rPr>
              <w:t>2013-02-06</w:t>
            </w:r>
          </w:p>
        </w:tc>
        <w:tc>
          <w:tcPr>
            <w:tcW w:w="1620" w:type="dxa"/>
            <w:gridSpan w:val="2"/>
            <w:tcBorders>
              <w:top w:val="nil"/>
              <w:left w:val="nil"/>
              <w:bottom w:val="single" w:sz="4" w:space="0" w:color="A9A9A9"/>
              <w:right w:val="single" w:sz="4" w:space="0" w:color="A9A9A9"/>
            </w:tcBorders>
            <w:vAlign w:val="center"/>
          </w:tcPr>
          <w:p w:rsidR="008F2075" w:rsidRPr="000E2036" w:rsidRDefault="008F2075">
            <w:pPr>
              <w:rPr>
                <w:rFonts w:ascii="Arial" w:hAnsi="Arial" w:cs="Arial"/>
                <w:sz w:val="20"/>
                <w:szCs w:val="20"/>
              </w:rPr>
            </w:pPr>
            <w:r w:rsidRPr="000E2036">
              <w:rPr>
                <w:rFonts w:ascii="Arial" w:hAnsi="Arial" w:cs="Arial"/>
                <w:sz w:val="20"/>
                <w:szCs w:val="20"/>
              </w:rPr>
              <w:t>SWD(2013) 20</w:t>
            </w:r>
          </w:p>
        </w:tc>
        <w:tc>
          <w:tcPr>
            <w:tcW w:w="6262" w:type="dxa"/>
            <w:gridSpan w:val="2"/>
            <w:tcBorders>
              <w:top w:val="nil"/>
              <w:left w:val="nil"/>
              <w:bottom w:val="single" w:sz="4" w:space="0" w:color="A9A9A9"/>
              <w:right w:val="single" w:sz="4" w:space="0" w:color="A9A9A9"/>
            </w:tcBorders>
            <w:vAlign w:val="center"/>
          </w:tcPr>
          <w:p w:rsidR="008F2075" w:rsidRPr="000E2036" w:rsidRDefault="008F2075">
            <w:pPr>
              <w:rPr>
                <w:rFonts w:ascii="Arial" w:hAnsi="Arial" w:cs="Arial"/>
                <w:sz w:val="20"/>
                <w:szCs w:val="20"/>
              </w:rPr>
            </w:pPr>
            <w:r w:rsidRPr="000E2036">
              <w:rPr>
                <w:rFonts w:ascii="Arial" w:hAnsi="Arial" w:cs="Arial"/>
                <w:sz w:val="20"/>
                <w:szCs w:val="20"/>
              </w:rPr>
              <w:t>Arbetsdokument från kommissionen Sammanfattning av konsekvensbedömningen Följedokument till förslag till Europaparlamentets och rådets direktiv om straffrättsligt skydd av euron och andra valutor mot penningförfalskning och om ersättning av rådets rambeslut 2000/383/RIF</w:t>
            </w:r>
          </w:p>
        </w:tc>
      </w:tr>
      <w:tr w:rsidR="008F2075" w:rsidRPr="000E2036" w:rsidTr="008F2075">
        <w:trPr>
          <w:trHeight w:val="1056"/>
        </w:trPr>
        <w:tc>
          <w:tcPr>
            <w:tcW w:w="1272" w:type="dxa"/>
            <w:tcBorders>
              <w:top w:val="nil"/>
              <w:left w:val="single" w:sz="4" w:space="0" w:color="A9A9A9"/>
              <w:bottom w:val="single" w:sz="4" w:space="0" w:color="A9A9A9"/>
              <w:right w:val="single" w:sz="4" w:space="0" w:color="A9A9A9"/>
            </w:tcBorders>
            <w:vAlign w:val="center"/>
          </w:tcPr>
          <w:p w:rsidR="008F2075" w:rsidRPr="000E2036" w:rsidRDefault="008F2075">
            <w:pPr>
              <w:rPr>
                <w:rFonts w:ascii="Arial" w:hAnsi="Arial" w:cs="Arial"/>
                <w:sz w:val="20"/>
                <w:szCs w:val="20"/>
              </w:rPr>
            </w:pPr>
            <w:r w:rsidRPr="000E2036">
              <w:rPr>
                <w:rFonts w:ascii="Arial" w:hAnsi="Arial" w:cs="Arial"/>
                <w:sz w:val="20"/>
                <w:szCs w:val="20"/>
              </w:rPr>
              <w:t>2013-02-06</w:t>
            </w:r>
          </w:p>
        </w:tc>
        <w:tc>
          <w:tcPr>
            <w:tcW w:w="1620" w:type="dxa"/>
            <w:gridSpan w:val="2"/>
            <w:tcBorders>
              <w:top w:val="nil"/>
              <w:left w:val="nil"/>
              <w:bottom w:val="single" w:sz="4" w:space="0" w:color="A9A9A9"/>
              <w:right w:val="single" w:sz="4" w:space="0" w:color="A9A9A9"/>
            </w:tcBorders>
            <w:vAlign w:val="center"/>
          </w:tcPr>
          <w:p w:rsidR="008F2075" w:rsidRPr="000E2036" w:rsidRDefault="008F2075">
            <w:pPr>
              <w:rPr>
                <w:rFonts w:ascii="Arial" w:hAnsi="Arial" w:cs="Arial"/>
                <w:sz w:val="20"/>
                <w:szCs w:val="20"/>
              </w:rPr>
            </w:pPr>
            <w:r w:rsidRPr="000E2036">
              <w:rPr>
                <w:rFonts w:ascii="Arial" w:hAnsi="Arial" w:cs="Arial"/>
                <w:sz w:val="20"/>
                <w:szCs w:val="20"/>
              </w:rPr>
              <w:t>KOM(2013) 45</w:t>
            </w:r>
          </w:p>
        </w:tc>
        <w:tc>
          <w:tcPr>
            <w:tcW w:w="6262" w:type="dxa"/>
            <w:gridSpan w:val="2"/>
            <w:tcBorders>
              <w:top w:val="nil"/>
              <w:left w:val="nil"/>
              <w:bottom w:val="single" w:sz="4" w:space="0" w:color="A9A9A9"/>
              <w:right w:val="single" w:sz="4" w:space="0" w:color="A9A9A9"/>
            </w:tcBorders>
            <w:vAlign w:val="center"/>
          </w:tcPr>
          <w:p w:rsidR="008F2075" w:rsidRPr="000E2036" w:rsidRDefault="008F2075">
            <w:pPr>
              <w:rPr>
                <w:rFonts w:ascii="Arial" w:hAnsi="Arial" w:cs="Arial"/>
                <w:sz w:val="20"/>
                <w:szCs w:val="20"/>
              </w:rPr>
            </w:pPr>
            <w:r w:rsidRPr="000E2036">
              <w:rPr>
                <w:rFonts w:ascii="Arial" w:hAnsi="Arial" w:cs="Arial"/>
                <w:sz w:val="20"/>
                <w:szCs w:val="20"/>
              </w:rPr>
              <w:t xml:space="preserve">Förslag till Europaparlamentets och rådets direktiv om förhindrande av att det finansiella systemet används för penningtvätt och finansiering av terrorism </w:t>
            </w:r>
          </w:p>
        </w:tc>
      </w:tr>
      <w:tr w:rsidR="008F2075" w:rsidRPr="000E2036" w:rsidTr="008F2075">
        <w:trPr>
          <w:trHeight w:val="2376"/>
        </w:trPr>
        <w:tc>
          <w:tcPr>
            <w:tcW w:w="1272" w:type="dxa"/>
            <w:tcBorders>
              <w:top w:val="nil"/>
              <w:left w:val="single" w:sz="4" w:space="0" w:color="A9A9A9"/>
              <w:bottom w:val="single" w:sz="4" w:space="0" w:color="A9A9A9"/>
              <w:right w:val="single" w:sz="4" w:space="0" w:color="A9A9A9"/>
            </w:tcBorders>
            <w:vAlign w:val="center"/>
          </w:tcPr>
          <w:p w:rsidR="008F2075" w:rsidRPr="000E2036" w:rsidRDefault="008F2075">
            <w:pPr>
              <w:rPr>
                <w:rFonts w:ascii="Arial" w:hAnsi="Arial" w:cs="Arial"/>
                <w:sz w:val="20"/>
                <w:szCs w:val="20"/>
              </w:rPr>
            </w:pPr>
            <w:r w:rsidRPr="000E2036">
              <w:rPr>
                <w:rFonts w:ascii="Arial" w:hAnsi="Arial" w:cs="Arial"/>
                <w:sz w:val="20"/>
                <w:szCs w:val="20"/>
              </w:rPr>
              <w:t>2013-02-06</w:t>
            </w:r>
          </w:p>
        </w:tc>
        <w:tc>
          <w:tcPr>
            <w:tcW w:w="1620" w:type="dxa"/>
            <w:gridSpan w:val="2"/>
            <w:tcBorders>
              <w:top w:val="nil"/>
              <w:left w:val="nil"/>
              <w:bottom w:val="single" w:sz="4" w:space="0" w:color="A9A9A9"/>
              <w:right w:val="single" w:sz="4" w:space="0" w:color="A9A9A9"/>
            </w:tcBorders>
            <w:vAlign w:val="center"/>
          </w:tcPr>
          <w:p w:rsidR="008F2075" w:rsidRPr="000E2036" w:rsidRDefault="008F2075">
            <w:pPr>
              <w:rPr>
                <w:rFonts w:ascii="Arial" w:hAnsi="Arial" w:cs="Arial"/>
                <w:sz w:val="20"/>
                <w:szCs w:val="20"/>
              </w:rPr>
            </w:pPr>
            <w:r w:rsidRPr="000E2036">
              <w:rPr>
                <w:rFonts w:ascii="Arial" w:hAnsi="Arial" w:cs="Arial"/>
                <w:sz w:val="20"/>
                <w:szCs w:val="20"/>
              </w:rPr>
              <w:t>SWD(2013) 21</w:t>
            </w:r>
          </w:p>
        </w:tc>
        <w:tc>
          <w:tcPr>
            <w:tcW w:w="6262" w:type="dxa"/>
            <w:gridSpan w:val="2"/>
            <w:tcBorders>
              <w:top w:val="nil"/>
              <w:left w:val="nil"/>
              <w:bottom w:val="single" w:sz="4" w:space="0" w:color="A9A9A9"/>
              <w:right w:val="single" w:sz="4" w:space="0" w:color="A9A9A9"/>
            </w:tcBorders>
            <w:vAlign w:val="center"/>
          </w:tcPr>
          <w:p w:rsidR="008F2075" w:rsidRPr="000E2036" w:rsidRDefault="008F2075">
            <w:pPr>
              <w:rPr>
                <w:rFonts w:ascii="Arial" w:hAnsi="Arial" w:cs="Arial"/>
                <w:sz w:val="20"/>
                <w:szCs w:val="20"/>
              </w:rPr>
            </w:pPr>
            <w:r w:rsidRPr="000E2036">
              <w:rPr>
                <w:rFonts w:ascii="Arial" w:hAnsi="Arial" w:cs="Arial"/>
                <w:sz w:val="20"/>
                <w:szCs w:val="20"/>
              </w:rPr>
              <w:t>Commission staff working document Impact assessment Accompanying the document Proposal for a Directive of the European Parliament and of the Council on the prevention of the use of the financial system for the purpose of money laundering, including terrorist financing and Proposal for a Regulation of the European Parliament and of the Council on information accompanying transfers of funds</w:t>
            </w:r>
          </w:p>
        </w:tc>
      </w:tr>
      <w:tr w:rsidR="008F2075" w:rsidRPr="000E2036" w:rsidTr="008F2075">
        <w:trPr>
          <w:trHeight w:val="1848"/>
        </w:trPr>
        <w:tc>
          <w:tcPr>
            <w:tcW w:w="1272" w:type="dxa"/>
            <w:tcBorders>
              <w:top w:val="nil"/>
              <w:left w:val="single" w:sz="4" w:space="0" w:color="A9A9A9"/>
              <w:bottom w:val="single" w:sz="4" w:space="0" w:color="A9A9A9"/>
              <w:right w:val="single" w:sz="4" w:space="0" w:color="A9A9A9"/>
            </w:tcBorders>
            <w:vAlign w:val="center"/>
          </w:tcPr>
          <w:p w:rsidR="008F2075" w:rsidRPr="000E2036" w:rsidRDefault="008F2075">
            <w:pPr>
              <w:rPr>
                <w:rFonts w:ascii="Arial" w:hAnsi="Arial" w:cs="Arial"/>
                <w:sz w:val="20"/>
                <w:szCs w:val="20"/>
              </w:rPr>
            </w:pPr>
            <w:r w:rsidRPr="000E2036">
              <w:rPr>
                <w:rFonts w:ascii="Arial" w:hAnsi="Arial" w:cs="Arial"/>
                <w:sz w:val="20"/>
                <w:szCs w:val="20"/>
              </w:rPr>
              <w:t>2013-02-06</w:t>
            </w:r>
          </w:p>
        </w:tc>
        <w:tc>
          <w:tcPr>
            <w:tcW w:w="1620" w:type="dxa"/>
            <w:gridSpan w:val="2"/>
            <w:tcBorders>
              <w:top w:val="nil"/>
              <w:left w:val="nil"/>
              <w:bottom w:val="single" w:sz="4" w:space="0" w:color="A9A9A9"/>
              <w:right w:val="single" w:sz="4" w:space="0" w:color="A9A9A9"/>
            </w:tcBorders>
            <w:vAlign w:val="center"/>
          </w:tcPr>
          <w:p w:rsidR="008F2075" w:rsidRPr="000E2036" w:rsidRDefault="008F2075">
            <w:pPr>
              <w:rPr>
                <w:rFonts w:ascii="Arial" w:hAnsi="Arial" w:cs="Arial"/>
                <w:sz w:val="20"/>
                <w:szCs w:val="20"/>
              </w:rPr>
            </w:pPr>
            <w:r w:rsidRPr="000E2036">
              <w:rPr>
                <w:rFonts w:ascii="Arial" w:hAnsi="Arial" w:cs="Arial"/>
                <w:sz w:val="20"/>
                <w:szCs w:val="20"/>
              </w:rPr>
              <w:t>SWD(2013) 22</w:t>
            </w:r>
          </w:p>
        </w:tc>
        <w:tc>
          <w:tcPr>
            <w:tcW w:w="6262" w:type="dxa"/>
            <w:gridSpan w:val="2"/>
            <w:tcBorders>
              <w:top w:val="nil"/>
              <w:left w:val="nil"/>
              <w:bottom w:val="single" w:sz="4" w:space="0" w:color="A9A9A9"/>
              <w:right w:val="single" w:sz="4" w:space="0" w:color="A9A9A9"/>
            </w:tcBorders>
            <w:vAlign w:val="center"/>
          </w:tcPr>
          <w:p w:rsidR="008F2075" w:rsidRPr="000E2036" w:rsidRDefault="008F2075">
            <w:pPr>
              <w:rPr>
                <w:rFonts w:ascii="Arial" w:hAnsi="Arial" w:cs="Arial"/>
                <w:sz w:val="20"/>
                <w:szCs w:val="20"/>
              </w:rPr>
            </w:pPr>
            <w:r w:rsidRPr="000E2036">
              <w:rPr>
                <w:rFonts w:ascii="Arial" w:hAnsi="Arial" w:cs="Arial"/>
                <w:sz w:val="20"/>
                <w:szCs w:val="20"/>
              </w:rPr>
              <w:t xml:space="preserve">Arbetsdokument från kommissionen Sammanfattning av konsekvensbedömningen Följedokument till förslag till Europaparlamentets och rådets direktiv om förhindrande av att det finansiella systemet används för penningtvätt och finansiering av terrorism och om uppgifter som ska åtfölja överföringar av medel </w:t>
            </w:r>
          </w:p>
        </w:tc>
      </w:tr>
      <w:tr w:rsidR="008F2075" w:rsidRPr="000E2036" w:rsidTr="008F2075">
        <w:trPr>
          <w:trHeight w:val="792"/>
        </w:trPr>
        <w:tc>
          <w:tcPr>
            <w:tcW w:w="1272" w:type="dxa"/>
            <w:tcBorders>
              <w:top w:val="nil"/>
              <w:left w:val="single" w:sz="4" w:space="0" w:color="A9A9A9"/>
              <w:bottom w:val="single" w:sz="4" w:space="0" w:color="A9A9A9"/>
              <w:right w:val="single" w:sz="4" w:space="0" w:color="A9A9A9"/>
            </w:tcBorders>
            <w:vAlign w:val="center"/>
          </w:tcPr>
          <w:p w:rsidR="008F2075" w:rsidRPr="000E2036" w:rsidRDefault="008F2075">
            <w:pPr>
              <w:rPr>
                <w:rFonts w:ascii="Arial" w:hAnsi="Arial" w:cs="Arial"/>
                <w:sz w:val="20"/>
                <w:szCs w:val="20"/>
              </w:rPr>
            </w:pPr>
            <w:r w:rsidRPr="000E2036">
              <w:rPr>
                <w:rFonts w:ascii="Arial" w:hAnsi="Arial" w:cs="Arial"/>
                <w:sz w:val="20"/>
                <w:szCs w:val="20"/>
              </w:rPr>
              <w:t>2013-01-31</w:t>
            </w:r>
          </w:p>
        </w:tc>
        <w:tc>
          <w:tcPr>
            <w:tcW w:w="1620" w:type="dxa"/>
            <w:gridSpan w:val="2"/>
            <w:tcBorders>
              <w:top w:val="nil"/>
              <w:left w:val="nil"/>
              <w:bottom w:val="single" w:sz="4" w:space="0" w:color="A9A9A9"/>
              <w:right w:val="single" w:sz="4" w:space="0" w:color="A9A9A9"/>
            </w:tcBorders>
            <w:vAlign w:val="center"/>
          </w:tcPr>
          <w:p w:rsidR="008F2075" w:rsidRPr="000E2036" w:rsidRDefault="008F2075">
            <w:pPr>
              <w:rPr>
                <w:rFonts w:ascii="Arial" w:hAnsi="Arial" w:cs="Arial"/>
                <w:sz w:val="20"/>
                <w:szCs w:val="20"/>
              </w:rPr>
            </w:pPr>
            <w:r w:rsidRPr="000E2036">
              <w:rPr>
                <w:rFonts w:ascii="Arial" w:hAnsi="Arial" w:cs="Arial"/>
                <w:sz w:val="20"/>
                <w:szCs w:val="20"/>
              </w:rPr>
              <w:t>KOM(2013) 47</w:t>
            </w:r>
          </w:p>
        </w:tc>
        <w:tc>
          <w:tcPr>
            <w:tcW w:w="6262" w:type="dxa"/>
            <w:gridSpan w:val="2"/>
            <w:tcBorders>
              <w:top w:val="nil"/>
              <w:left w:val="nil"/>
              <w:bottom w:val="single" w:sz="4" w:space="0" w:color="A9A9A9"/>
              <w:right w:val="single" w:sz="4" w:space="0" w:color="A9A9A9"/>
            </w:tcBorders>
            <w:vAlign w:val="center"/>
          </w:tcPr>
          <w:p w:rsidR="008F2075" w:rsidRPr="000E2036" w:rsidRDefault="008F2075">
            <w:pPr>
              <w:rPr>
                <w:rFonts w:ascii="Arial" w:hAnsi="Arial" w:cs="Arial"/>
                <w:sz w:val="20"/>
                <w:szCs w:val="20"/>
              </w:rPr>
            </w:pPr>
            <w:r w:rsidRPr="000E2036">
              <w:rPr>
                <w:rFonts w:ascii="Arial" w:hAnsi="Arial" w:cs="Arial"/>
                <w:sz w:val="20"/>
                <w:szCs w:val="20"/>
              </w:rPr>
              <w:t>Rapport från kommissionen till Europaparlamentet och rådet om Rumäniens framsteg inom ramen för samarbets- och kontrollmekanismen</w:t>
            </w:r>
          </w:p>
        </w:tc>
      </w:tr>
      <w:tr w:rsidR="008F2075" w:rsidRPr="000E2036" w:rsidTr="008F2075">
        <w:trPr>
          <w:trHeight w:val="264"/>
        </w:trPr>
        <w:tc>
          <w:tcPr>
            <w:tcW w:w="1272" w:type="dxa"/>
            <w:tcBorders>
              <w:top w:val="nil"/>
              <w:left w:val="nil"/>
              <w:bottom w:val="nil"/>
              <w:right w:val="nil"/>
            </w:tcBorders>
            <w:vAlign w:val="center"/>
          </w:tcPr>
          <w:p w:rsidR="008F2075" w:rsidRPr="000E2036" w:rsidRDefault="008F2075">
            <w:pPr>
              <w:rPr>
                <w:sz w:val="18"/>
                <w:szCs w:val="18"/>
              </w:rPr>
            </w:pPr>
          </w:p>
        </w:tc>
        <w:tc>
          <w:tcPr>
            <w:tcW w:w="1620" w:type="dxa"/>
            <w:gridSpan w:val="2"/>
            <w:tcBorders>
              <w:top w:val="nil"/>
              <w:left w:val="nil"/>
              <w:bottom w:val="nil"/>
              <w:right w:val="nil"/>
            </w:tcBorders>
            <w:vAlign w:val="center"/>
          </w:tcPr>
          <w:p w:rsidR="008F2075" w:rsidRPr="000E2036" w:rsidRDefault="008F2075">
            <w:pPr>
              <w:rPr>
                <w:sz w:val="18"/>
                <w:szCs w:val="18"/>
              </w:rPr>
            </w:pPr>
          </w:p>
        </w:tc>
        <w:tc>
          <w:tcPr>
            <w:tcW w:w="6262" w:type="dxa"/>
            <w:gridSpan w:val="2"/>
            <w:tcBorders>
              <w:top w:val="nil"/>
              <w:left w:val="nil"/>
              <w:bottom w:val="nil"/>
              <w:right w:val="nil"/>
            </w:tcBorders>
            <w:vAlign w:val="center"/>
          </w:tcPr>
          <w:p w:rsidR="008F2075" w:rsidRPr="000E2036" w:rsidRDefault="008F2075">
            <w:pPr>
              <w:rPr>
                <w:sz w:val="18"/>
                <w:szCs w:val="18"/>
              </w:rPr>
            </w:pPr>
          </w:p>
        </w:tc>
      </w:tr>
      <w:tr w:rsidR="008F2075" w:rsidRPr="000E2036" w:rsidTr="008F2075">
        <w:trPr>
          <w:trHeight w:val="312"/>
        </w:trPr>
        <w:tc>
          <w:tcPr>
            <w:tcW w:w="9154" w:type="dxa"/>
            <w:gridSpan w:val="5"/>
            <w:tcBorders>
              <w:top w:val="single" w:sz="4" w:space="0" w:color="auto"/>
              <w:left w:val="single" w:sz="4" w:space="0" w:color="auto"/>
              <w:bottom w:val="single" w:sz="4" w:space="0" w:color="auto"/>
              <w:right w:val="single" w:sz="4" w:space="0" w:color="auto"/>
            </w:tcBorders>
            <w:noWrap/>
            <w:vAlign w:val="bottom"/>
          </w:tcPr>
          <w:p w:rsidR="008F2075" w:rsidRPr="000E2036" w:rsidRDefault="008F2075">
            <w:pPr>
              <w:rPr>
                <w:rFonts w:ascii="Arial" w:hAnsi="Arial" w:cs="Arial"/>
                <w:sz w:val="20"/>
                <w:szCs w:val="20"/>
              </w:rPr>
            </w:pPr>
            <w:r w:rsidRPr="000E2036">
              <w:rPr>
                <w:rFonts w:ascii="Arial" w:hAnsi="Arial" w:cs="Arial"/>
                <w:b/>
                <w:bCs/>
              </w:rPr>
              <w:t>Ministerrådet</w:t>
            </w:r>
            <w:r w:rsidRPr="000E2036">
              <w:rPr>
                <w:rFonts w:ascii="Arial" w:hAnsi="Arial" w:cs="Arial"/>
                <w:sz w:val="20"/>
                <w:szCs w:val="20"/>
              </w:rPr>
              <w:t> </w:t>
            </w:r>
          </w:p>
        </w:tc>
      </w:tr>
      <w:tr w:rsidR="008F2075" w:rsidRPr="000E2036" w:rsidTr="008F2075">
        <w:trPr>
          <w:trHeight w:val="264"/>
        </w:trPr>
        <w:tc>
          <w:tcPr>
            <w:tcW w:w="1272" w:type="dxa"/>
            <w:tcBorders>
              <w:top w:val="nil"/>
              <w:left w:val="single" w:sz="4" w:space="0" w:color="auto"/>
              <w:bottom w:val="single" w:sz="4" w:space="0" w:color="auto"/>
              <w:right w:val="single" w:sz="4" w:space="0" w:color="auto"/>
            </w:tcBorders>
            <w:shd w:val="clear" w:color="auto" w:fill="A9A9A9"/>
            <w:noWrap/>
            <w:vAlign w:val="bottom"/>
          </w:tcPr>
          <w:p w:rsidR="008F2075" w:rsidRPr="000E2036" w:rsidRDefault="008F2075">
            <w:pPr>
              <w:rPr>
                <w:rFonts w:ascii="Arial" w:hAnsi="Arial" w:cs="Arial"/>
                <w:sz w:val="20"/>
                <w:szCs w:val="20"/>
              </w:rPr>
            </w:pPr>
            <w:r w:rsidRPr="000E2036">
              <w:rPr>
                <w:rFonts w:ascii="Arial" w:hAnsi="Arial" w:cs="Arial"/>
                <w:sz w:val="20"/>
                <w:szCs w:val="20"/>
              </w:rPr>
              <w:t>Inlämnat</w:t>
            </w:r>
          </w:p>
        </w:tc>
        <w:tc>
          <w:tcPr>
            <w:tcW w:w="1620" w:type="dxa"/>
            <w:gridSpan w:val="2"/>
            <w:tcBorders>
              <w:top w:val="nil"/>
              <w:left w:val="nil"/>
              <w:bottom w:val="single" w:sz="4" w:space="0" w:color="auto"/>
              <w:right w:val="single" w:sz="4" w:space="0" w:color="auto"/>
            </w:tcBorders>
            <w:shd w:val="clear" w:color="auto" w:fill="A9A9A9"/>
            <w:noWrap/>
            <w:vAlign w:val="bottom"/>
          </w:tcPr>
          <w:p w:rsidR="008F2075" w:rsidRPr="000E2036" w:rsidRDefault="008F2075">
            <w:pPr>
              <w:rPr>
                <w:rFonts w:ascii="Arial" w:hAnsi="Arial" w:cs="Arial"/>
                <w:sz w:val="20"/>
                <w:szCs w:val="20"/>
              </w:rPr>
            </w:pPr>
            <w:r w:rsidRPr="000E2036">
              <w:rPr>
                <w:rFonts w:ascii="Arial" w:hAnsi="Arial" w:cs="Arial"/>
                <w:sz w:val="20"/>
                <w:szCs w:val="20"/>
              </w:rPr>
              <w:t>Beteckning</w:t>
            </w:r>
          </w:p>
        </w:tc>
        <w:tc>
          <w:tcPr>
            <w:tcW w:w="6262" w:type="dxa"/>
            <w:gridSpan w:val="2"/>
            <w:tcBorders>
              <w:top w:val="nil"/>
              <w:left w:val="nil"/>
              <w:bottom w:val="single" w:sz="4" w:space="0" w:color="auto"/>
              <w:right w:val="single" w:sz="4" w:space="0" w:color="auto"/>
            </w:tcBorders>
            <w:shd w:val="clear" w:color="auto" w:fill="A9A9A9"/>
            <w:noWrap/>
            <w:vAlign w:val="bottom"/>
          </w:tcPr>
          <w:p w:rsidR="008F2075" w:rsidRPr="000E2036" w:rsidRDefault="008F2075">
            <w:pPr>
              <w:rPr>
                <w:rFonts w:ascii="Arial" w:hAnsi="Arial" w:cs="Arial"/>
                <w:sz w:val="20"/>
                <w:szCs w:val="20"/>
              </w:rPr>
            </w:pPr>
            <w:r w:rsidRPr="000E2036">
              <w:rPr>
                <w:rFonts w:ascii="Arial" w:hAnsi="Arial" w:cs="Arial"/>
                <w:sz w:val="20"/>
                <w:szCs w:val="20"/>
              </w:rPr>
              <w:t>Rubrik</w:t>
            </w:r>
          </w:p>
        </w:tc>
      </w:tr>
      <w:tr w:rsidR="008F2075" w:rsidRPr="000E2036" w:rsidTr="008F2075">
        <w:trPr>
          <w:trHeight w:val="792"/>
        </w:trPr>
        <w:tc>
          <w:tcPr>
            <w:tcW w:w="1272" w:type="dxa"/>
            <w:tcBorders>
              <w:top w:val="single" w:sz="4" w:space="0" w:color="A9A9A9"/>
              <w:left w:val="single" w:sz="4" w:space="0" w:color="A9A9A9"/>
              <w:bottom w:val="single" w:sz="4" w:space="0" w:color="A9A9A9"/>
              <w:right w:val="single" w:sz="4" w:space="0" w:color="A9A9A9"/>
            </w:tcBorders>
            <w:vAlign w:val="center"/>
          </w:tcPr>
          <w:p w:rsidR="008F2075" w:rsidRPr="000E2036" w:rsidRDefault="008F2075">
            <w:pPr>
              <w:rPr>
                <w:rFonts w:ascii="Arial" w:hAnsi="Arial" w:cs="Arial"/>
                <w:sz w:val="20"/>
                <w:szCs w:val="20"/>
              </w:rPr>
            </w:pPr>
            <w:r w:rsidRPr="000E2036">
              <w:rPr>
                <w:rFonts w:ascii="Arial" w:hAnsi="Arial" w:cs="Arial"/>
                <w:sz w:val="20"/>
                <w:szCs w:val="20"/>
              </w:rPr>
              <w:t>2013-01-31</w:t>
            </w:r>
          </w:p>
        </w:tc>
        <w:tc>
          <w:tcPr>
            <w:tcW w:w="1620" w:type="dxa"/>
            <w:gridSpan w:val="2"/>
            <w:tcBorders>
              <w:top w:val="single" w:sz="4" w:space="0" w:color="A9A9A9"/>
              <w:left w:val="nil"/>
              <w:bottom w:val="single" w:sz="4" w:space="0" w:color="A9A9A9"/>
              <w:right w:val="single" w:sz="4" w:space="0" w:color="A9A9A9"/>
            </w:tcBorders>
            <w:vAlign w:val="center"/>
          </w:tcPr>
          <w:p w:rsidR="008F2075" w:rsidRPr="000E2036" w:rsidRDefault="008F2075">
            <w:pPr>
              <w:rPr>
                <w:rFonts w:ascii="Arial" w:hAnsi="Arial" w:cs="Arial"/>
                <w:sz w:val="20"/>
                <w:szCs w:val="20"/>
              </w:rPr>
            </w:pPr>
            <w:r w:rsidRPr="000E2036">
              <w:rPr>
                <w:rFonts w:ascii="Arial" w:hAnsi="Arial" w:cs="Arial"/>
                <w:sz w:val="20"/>
                <w:szCs w:val="20"/>
              </w:rPr>
              <w:t>17591/12</w:t>
            </w:r>
          </w:p>
        </w:tc>
        <w:tc>
          <w:tcPr>
            <w:tcW w:w="6262" w:type="dxa"/>
            <w:gridSpan w:val="2"/>
            <w:tcBorders>
              <w:top w:val="single" w:sz="4" w:space="0" w:color="A9A9A9"/>
              <w:left w:val="nil"/>
              <w:bottom w:val="single" w:sz="4" w:space="0" w:color="A9A9A9"/>
              <w:right w:val="single" w:sz="4" w:space="0" w:color="A9A9A9"/>
            </w:tcBorders>
            <w:vAlign w:val="center"/>
          </w:tcPr>
          <w:p w:rsidR="008F2075" w:rsidRPr="000E2036" w:rsidRDefault="008F2075">
            <w:pPr>
              <w:rPr>
                <w:rFonts w:ascii="Arial" w:hAnsi="Arial" w:cs="Arial"/>
                <w:sz w:val="20"/>
                <w:szCs w:val="20"/>
              </w:rPr>
            </w:pPr>
            <w:r w:rsidRPr="000E2036">
              <w:rPr>
                <w:rFonts w:ascii="Arial" w:hAnsi="Arial" w:cs="Arial"/>
                <w:sz w:val="20"/>
                <w:szCs w:val="20"/>
              </w:rPr>
              <w:t>Pressmeddelande 3213:e mötet i rådet Transport, telekommunikation och energi Bryssel den 20 december 2012</w:t>
            </w:r>
          </w:p>
        </w:tc>
      </w:tr>
      <w:tr w:rsidR="008F2075" w:rsidRPr="000E2036" w:rsidTr="008F2075">
        <w:trPr>
          <w:trHeight w:val="528"/>
        </w:trPr>
        <w:tc>
          <w:tcPr>
            <w:tcW w:w="1272" w:type="dxa"/>
            <w:tcBorders>
              <w:top w:val="nil"/>
              <w:left w:val="single" w:sz="4" w:space="0" w:color="A9A9A9"/>
              <w:bottom w:val="single" w:sz="4" w:space="0" w:color="A9A9A9"/>
              <w:right w:val="single" w:sz="4" w:space="0" w:color="A9A9A9"/>
            </w:tcBorders>
            <w:vAlign w:val="center"/>
          </w:tcPr>
          <w:p w:rsidR="008F2075" w:rsidRPr="000E2036" w:rsidRDefault="008F2075">
            <w:pPr>
              <w:rPr>
                <w:rFonts w:ascii="Arial" w:hAnsi="Arial" w:cs="Arial"/>
                <w:sz w:val="20"/>
                <w:szCs w:val="20"/>
              </w:rPr>
            </w:pPr>
            <w:r w:rsidRPr="000E2036">
              <w:rPr>
                <w:rFonts w:ascii="Arial" w:hAnsi="Arial" w:cs="Arial"/>
                <w:sz w:val="20"/>
                <w:szCs w:val="20"/>
              </w:rPr>
              <w:t>2013-01-30</w:t>
            </w:r>
          </w:p>
        </w:tc>
        <w:tc>
          <w:tcPr>
            <w:tcW w:w="1620" w:type="dxa"/>
            <w:gridSpan w:val="2"/>
            <w:tcBorders>
              <w:top w:val="nil"/>
              <w:left w:val="nil"/>
              <w:bottom w:val="single" w:sz="4" w:space="0" w:color="A9A9A9"/>
              <w:right w:val="single" w:sz="4" w:space="0" w:color="A9A9A9"/>
            </w:tcBorders>
            <w:vAlign w:val="center"/>
          </w:tcPr>
          <w:p w:rsidR="008F2075" w:rsidRPr="000E2036" w:rsidRDefault="008F2075">
            <w:pPr>
              <w:rPr>
                <w:rFonts w:ascii="Arial" w:hAnsi="Arial" w:cs="Arial"/>
                <w:sz w:val="20"/>
                <w:szCs w:val="20"/>
              </w:rPr>
            </w:pPr>
            <w:r w:rsidRPr="000E2036">
              <w:rPr>
                <w:rFonts w:ascii="Arial" w:hAnsi="Arial" w:cs="Arial"/>
                <w:sz w:val="20"/>
                <w:szCs w:val="20"/>
              </w:rPr>
              <w:t>17439/12</w:t>
            </w:r>
          </w:p>
        </w:tc>
        <w:tc>
          <w:tcPr>
            <w:tcW w:w="6262" w:type="dxa"/>
            <w:gridSpan w:val="2"/>
            <w:tcBorders>
              <w:top w:val="nil"/>
              <w:left w:val="nil"/>
              <w:bottom w:val="single" w:sz="4" w:space="0" w:color="A9A9A9"/>
              <w:right w:val="single" w:sz="4" w:space="0" w:color="A9A9A9"/>
            </w:tcBorders>
            <w:vAlign w:val="center"/>
          </w:tcPr>
          <w:p w:rsidR="008F2075" w:rsidRPr="000E2036" w:rsidRDefault="008F2075">
            <w:pPr>
              <w:rPr>
                <w:rFonts w:ascii="Arial" w:hAnsi="Arial" w:cs="Arial"/>
                <w:sz w:val="20"/>
                <w:szCs w:val="20"/>
              </w:rPr>
            </w:pPr>
            <w:r w:rsidRPr="000E2036">
              <w:rPr>
                <w:rFonts w:ascii="Arial" w:hAnsi="Arial" w:cs="Arial"/>
                <w:sz w:val="20"/>
                <w:szCs w:val="20"/>
              </w:rPr>
              <w:t>Pressmeddelande 3210:e mötet i rådet Allmänna frågor Bryssel den 11 december 2012</w:t>
            </w:r>
          </w:p>
        </w:tc>
      </w:tr>
      <w:tr w:rsidR="008F2075" w:rsidRPr="000E2036" w:rsidTr="008F2075">
        <w:trPr>
          <w:trHeight w:val="1056"/>
        </w:trPr>
        <w:tc>
          <w:tcPr>
            <w:tcW w:w="1272" w:type="dxa"/>
            <w:tcBorders>
              <w:top w:val="nil"/>
              <w:left w:val="single" w:sz="4" w:space="0" w:color="A9A9A9"/>
              <w:bottom w:val="single" w:sz="4" w:space="0" w:color="A9A9A9"/>
              <w:right w:val="single" w:sz="4" w:space="0" w:color="A9A9A9"/>
            </w:tcBorders>
            <w:vAlign w:val="center"/>
          </w:tcPr>
          <w:p w:rsidR="008F2075" w:rsidRPr="000E2036" w:rsidRDefault="008F2075">
            <w:pPr>
              <w:rPr>
                <w:rFonts w:ascii="Arial" w:hAnsi="Arial" w:cs="Arial"/>
                <w:sz w:val="20"/>
                <w:szCs w:val="20"/>
              </w:rPr>
            </w:pPr>
            <w:r w:rsidRPr="000E2036">
              <w:rPr>
                <w:rFonts w:ascii="Arial" w:hAnsi="Arial" w:cs="Arial"/>
                <w:sz w:val="20"/>
                <w:szCs w:val="20"/>
              </w:rPr>
              <w:lastRenderedPageBreak/>
              <w:t>2013-01-28</w:t>
            </w:r>
          </w:p>
        </w:tc>
        <w:tc>
          <w:tcPr>
            <w:tcW w:w="1620" w:type="dxa"/>
            <w:gridSpan w:val="2"/>
            <w:tcBorders>
              <w:top w:val="nil"/>
              <w:left w:val="nil"/>
              <w:bottom w:val="single" w:sz="4" w:space="0" w:color="A9A9A9"/>
              <w:right w:val="single" w:sz="4" w:space="0" w:color="A9A9A9"/>
            </w:tcBorders>
            <w:vAlign w:val="center"/>
          </w:tcPr>
          <w:p w:rsidR="008F2075" w:rsidRPr="000E2036" w:rsidRDefault="008F2075">
            <w:pPr>
              <w:rPr>
                <w:rFonts w:ascii="Arial" w:hAnsi="Arial" w:cs="Arial"/>
                <w:sz w:val="20"/>
                <w:szCs w:val="20"/>
              </w:rPr>
            </w:pPr>
            <w:r w:rsidRPr="000E2036">
              <w:rPr>
                <w:rFonts w:ascii="Arial" w:hAnsi="Arial" w:cs="Arial"/>
                <w:sz w:val="20"/>
                <w:szCs w:val="20"/>
              </w:rPr>
              <w:t>Rapport informellt RIF 17-18 januari 2013</w:t>
            </w:r>
          </w:p>
        </w:tc>
        <w:tc>
          <w:tcPr>
            <w:tcW w:w="6262" w:type="dxa"/>
            <w:gridSpan w:val="2"/>
            <w:tcBorders>
              <w:top w:val="nil"/>
              <w:left w:val="nil"/>
              <w:bottom w:val="single" w:sz="4" w:space="0" w:color="A9A9A9"/>
              <w:right w:val="single" w:sz="4" w:space="0" w:color="A9A9A9"/>
            </w:tcBorders>
            <w:vAlign w:val="center"/>
          </w:tcPr>
          <w:p w:rsidR="008F2075" w:rsidRPr="000E2036" w:rsidRDefault="008F2075">
            <w:pPr>
              <w:rPr>
                <w:rFonts w:ascii="Arial" w:hAnsi="Arial" w:cs="Arial"/>
                <w:sz w:val="20"/>
                <w:szCs w:val="20"/>
              </w:rPr>
            </w:pPr>
            <w:r w:rsidRPr="000E2036">
              <w:rPr>
                <w:rFonts w:ascii="Arial" w:hAnsi="Arial" w:cs="Arial"/>
                <w:sz w:val="20"/>
                <w:szCs w:val="20"/>
              </w:rPr>
              <w:t>Rapport från informellt ministermöte (rättsliga och inrikes frågor) den 17-18 januari 2013 i Dublin</w:t>
            </w:r>
          </w:p>
        </w:tc>
      </w:tr>
      <w:tr w:rsidR="008F2075" w:rsidRPr="000E2036" w:rsidTr="008F2075">
        <w:trPr>
          <w:trHeight w:val="264"/>
        </w:trPr>
        <w:tc>
          <w:tcPr>
            <w:tcW w:w="1272" w:type="dxa"/>
            <w:tcBorders>
              <w:top w:val="nil"/>
              <w:left w:val="nil"/>
              <w:bottom w:val="nil"/>
              <w:right w:val="nil"/>
            </w:tcBorders>
            <w:noWrap/>
            <w:vAlign w:val="bottom"/>
          </w:tcPr>
          <w:p w:rsidR="008F2075" w:rsidRPr="000E2036" w:rsidRDefault="008F2075">
            <w:pPr>
              <w:rPr>
                <w:rFonts w:ascii="Arial" w:hAnsi="Arial" w:cs="Arial"/>
                <w:sz w:val="20"/>
                <w:szCs w:val="20"/>
              </w:rPr>
            </w:pPr>
          </w:p>
        </w:tc>
        <w:tc>
          <w:tcPr>
            <w:tcW w:w="1620" w:type="dxa"/>
            <w:gridSpan w:val="2"/>
            <w:tcBorders>
              <w:top w:val="nil"/>
              <w:left w:val="nil"/>
              <w:bottom w:val="nil"/>
              <w:right w:val="nil"/>
            </w:tcBorders>
            <w:noWrap/>
            <w:vAlign w:val="bottom"/>
          </w:tcPr>
          <w:p w:rsidR="008F2075" w:rsidRPr="000E2036" w:rsidRDefault="008F2075">
            <w:pPr>
              <w:rPr>
                <w:rFonts w:ascii="Arial" w:hAnsi="Arial" w:cs="Arial"/>
                <w:sz w:val="20"/>
                <w:szCs w:val="20"/>
              </w:rPr>
            </w:pPr>
          </w:p>
        </w:tc>
        <w:tc>
          <w:tcPr>
            <w:tcW w:w="6262" w:type="dxa"/>
            <w:gridSpan w:val="2"/>
            <w:tcBorders>
              <w:top w:val="nil"/>
              <w:left w:val="nil"/>
              <w:bottom w:val="nil"/>
              <w:right w:val="nil"/>
            </w:tcBorders>
            <w:noWrap/>
            <w:vAlign w:val="bottom"/>
          </w:tcPr>
          <w:p w:rsidR="008F2075" w:rsidRPr="000E2036" w:rsidRDefault="008F2075">
            <w:pPr>
              <w:rPr>
                <w:rFonts w:ascii="Arial" w:hAnsi="Arial" w:cs="Arial"/>
                <w:sz w:val="20"/>
                <w:szCs w:val="20"/>
              </w:rPr>
            </w:pPr>
          </w:p>
        </w:tc>
      </w:tr>
      <w:tr w:rsidR="008F2075" w:rsidRPr="000E2036" w:rsidTr="008F2075">
        <w:trPr>
          <w:trHeight w:val="312"/>
        </w:trPr>
        <w:tc>
          <w:tcPr>
            <w:tcW w:w="2892" w:type="dxa"/>
            <w:gridSpan w:val="3"/>
            <w:tcBorders>
              <w:top w:val="single" w:sz="4" w:space="0" w:color="auto"/>
              <w:left w:val="single" w:sz="4" w:space="0" w:color="auto"/>
              <w:bottom w:val="single" w:sz="4" w:space="0" w:color="auto"/>
              <w:right w:val="nil"/>
            </w:tcBorders>
            <w:noWrap/>
            <w:vAlign w:val="bottom"/>
          </w:tcPr>
          <w:p w:rsidR="008F2075" w:rsidRPr="000E2036" w:rsidRDefault="008F2075">
            <w:pPr>
              <w:rPr>
                <w:rFonts w:ascii="Arial" w:hAnsi="Arial" w:cs="Arial"/>
                <w:b/>
                <w:bCs/>
              </w:rPr>
            </w:pPr>
            <w:r w:rsidRPr="000E2036">
              <w:rPr>
                <w:rFonts w:ascii="Arial" w:hAnsi="Arial" w:cs="Arial"/>
                <w:b/>
                <w:bCs/>
              </w:rPr>
              <w:t>Övriga dokument</w:t>
            </w:r>
          </w:p>
        </w:tc>
        <w:tc>
          <w:tcPr>
            <w:tcW w:w="6262" w:type="dxa"/>
            <w:gridSpan w:val="2"/>
            <w:tcBorders>
              <w:top w:val="single" w:sz="4" w:space="0" w:color="auto"/>
              <w:left w:val="nil"/>
              <w:bottom w:val="single" w:sz="4" w:space="0" w:color="auto"/>
              <w:right w:val="single" w:sz="4" w:space="0" w:color="auto"/>
            </w:tcBorders>
            <w:noWrap/>
            <w:vAlign w:val="bottom"/>
          </w:tcPr>
          <w:p w:rsidR="008F2075" w:rsidRPr="000E2036" w:rsidRDefault="008F2075">
            <w:pPr>
              <w:rPr>
                <w:rFonts w:ascii="Arial" w:hAnsi="Arial" w:cs="Arial"/>
                <w:sz w:val="20"/>
                <w:szCs w:val="20"/>
              </w:rPr>
            </w:pPr>
            <w:r w:rsidRPr="000E2036">
              <w:rPr>
                <w:rFonts w:ascii="Arial" w:hAnsi="Arial" w:cs="Arial"/>
                <w:sz w:val="20"/>
                <w:szCs w:val="20"/>
              </w:rPr>
              <w:t> </w:t>
            </w:r>
          </w:p>
        </w:tc>
      </w:tr>
      <w:tr w:rsidR="008F2075" w:rsidRPr="000E2036" w:rsidTr="008F2075">
        <w:trPr>
          <w:trHeight w:val="264"/>
        </w:trPr>
        <w:tc>
          <w:tcPr>
            <w:tcW w:w="1272" w:type="dxa"/>
            <w:tcBorders>
              <w:top w:val="nil"/>
              <w:left w:val="single" w:sz="4" w:space="0" w:color="auto"/>
              <w:bottom w:val="single" w:sz="4" w:space="0" w:color="auto"/>
              <w:right w:val="single" w:sz="4" w:space="0" w:color="auto"/>
            </w:tcBorders>
            <w:shd w:val="clear" w:color="auto" w:fill="A9A9A9"/>
            <w:noWrap/>
            <w:vAlign w:val="bottom"/>
          </w:tcPr>
          <w:p w:rsidR="008F2075" w:rsidRPr="000E2036" w:rsidRDefault="008F2075">
            <w:pPr>
              <w:rPr>
                <w:rFonts w:ascii="Arial" w:hAnsi="Arial" w:cs="Arial"/>
                <w:sz w:val="20"/>
                <w:szCs w:val="20"/>
              </w:rPr>
            </w:pPr>
            <w:r w:rsidRPr="000E2036">
              <w:rPr>
                <w:rFonts w:ascii="Arial" w:hAnsi="Arial" w:cs="Arial"/>
                <w:sz w:val="20"/>
                <w:szCs w:val="20"/>
              </w:rPr>
              <w:t>Inlämnat</w:t>
            </w:r>
          </w:p>
        </w:tc>
        <w:tc>
          <w:tcPr>
            <w:tcW w:w="1620" w:type="dxa"/>
            <w:gridSpan w:val="2"/>
            <w:tcBorders>
              <w:top w:val="nil"/>
              <w:left w:val="nil"/>
              <w:bottom w:val="single" w:sz="4" w:space="0" w:color="auto"/>
              <w:right w:val="single" w:sz="4" w:space="0" w:color="auto"/>
            </w:tcBorders>
            <w:shd w:val="clear" w:color="auto" w:fill="A9A9A9"/>
            <w:noWrap/>
            <w:vAlign w:val="bottom"/>
          </w:tcPr>
          <w:p w:rsidR="008F2075" w:rsidRPr="000E2036" w:rsidRDefault="008F2075">
            <w:pPr>
              <w:rPr>
                <w:rFonts w:ascii="Arial" w:hAnsi="Arial" w:cs="Arial"/>
                <w:sz w:val="20"/>
                <w:szCs w:val="20"/>
              </w:rPr>
            </w:pPr>
            <w:r w:rsidRPr="000E2036">
              <w:rPr>
                <w:rFonts w:ascii="Arial" w:hAnsi="Arial" w:cs="Arial"/>
                <w:sz w:val="20"/>
                <w:szCs w:val="20"/>
              </w:rPr>
              <w:t>Beteckning</w:t>
            </w:r>
          </w:p>
        </w:tc>
        <w:tc>
          <w:tcPr>
            <w:tcW w:w="6262" w:type="dxa"/>
            <w:gridSpan w:val="2"/>
            <w:tcBorders>
              <w:top w:val="nil"/>
              <w:left w:val="nil"/>
              <w:bottom w:val="single" w:sz="4" w:space="0" w:color="auto"/>
              <w:right w:val="single" w:sz="4" w:space="0" w:color="auto"/>
            </w:tcBorders>
            <w:shd w:val="clear" w:color="auto" w:fill="A9A9A9"/>
            <w:noWrap/>
            <w:vAlign w:val="bottom"/>
          </w:tcPr>
          <w:p w:rsidR="008F2075" w:rsidRPr="000E2036" w:rsidRDefault="008F2075">
            <w:pPr>
              <w:rPr>
                <w:rFonts w:ascii="Arial" w:hAnsi="Arial" w:cs="Arial"/>
                <w:sz w:val="20"/>
                <w:szCs w:val="20"/>
              </w:rPr>
            </w:pPr>
            <w:r w:rsidRPr="000E2036">
              <w:rPr>
                <w:rFonts w:ascii="Arial" w:hAnsi="Arial" w:cs="Arial"/>
                <w:sz w:val="20"/>
                <w:szCs w:val="20"/>
              </w:rPr>
              <w:t>Rubrik</w:t>
            </w:r>
          </w:p>
        </w:tc>
      </w:tr>
      <w:tr w:rsidR="008F2075" w:rsidRPr="000E2036" w:rsidTr="008F2075">
        <w:trPr>
          <w:trHeight w:val="1320"/>
        </w:trPr>
        <w:tc>
          <w:tcPr>
            <w:tcW w:w="1272" w:type="dxa"/>
            <w:tcBorders>
              <w:top w:val="single" w:sz="4" w:space="0" w:color="A9A9A9"/>
              <w:left w:val="single" w:sz="4" w:space="0" w:color="A9A9A9"/>
              <w:bottom w:val="single" w:sz="4" w:space="0" w:color="A9A9A9"/>
              <w:right w:val="single" w:sz="4" w:space="0" w:color="A9A9A9"/>
            </w:tcBorders>
            <w:vAlign w:val="center"/>
          </w:tcPr>
          <w:p w:rsidR="008F2075" w:rsidRPr="000E2036" w:rsidRDefault="008F2075">
            <w:pPr>
              <w:rPr>
                <w:rFonts w:ascii="Arial" w:hAnsi="Arial" w:cs="Arial"/>
                <w:sz w:val="20"/>
                <w:szCs w:val="20"/>
              </w:rPr>
            </w:pPr>
            <w:r w:rsidRPr="000E2036">
              <w:rPr>
                <w:rFonts w:ascii="Arial" w:hAnsi="Arial" w:cs="Arial"/>
                <w:sz w:val="20"/>
                <w:szCs w:val="20"/>
              </w:rPr>
              <w:t>2013-01-25</w:t>
            </w:r>
          </w:p>
        </w:tc>
        <w:tc>
          <w:tcPr>
            <w:tcW w:w="1620" w:type="dxa"/>
            <w:gridSpan w:val="2"/>
            <w:tcBorders>
              <w:top w:val="single" w:sz="4" w:space="0" w:color="A9A9A9"/>
              <w:left w:val="nil"/>
              <w:bottom w:val="single" w:sz="4" w:space="0" w:color="A9A9A9"/>
              <w:right w:val="single" w:sz="4" w:space="0" w:color="A9A9A9"/>
            </w:tcBorders>
            <w:vAlign w:val="center"/>
          </w:tcPr>
          <w:p w:rsidR="008F2075" w:rsidRPr="000E2036" w:rsidRDefault="008F2075">
            <w:pPr>
              <w:rPr>
                <w:rFonts w:ascii="Arial" w:hAnsi="Arial" w:cs="Arial"/>
                <w:sz w:val="20"/>
                <w:szCs w:val="20"/>
              </w:rPr>
            </w:pPr>
            <w:r w:rsidRPr="000E2036">
              <w:rPr>
                <w:rFonts w:ascii="Arial" w:hAnsi="Arial" w:cs="Arial"/>
                <w:sz w:val="20"/>
                <w:szCs w:val="20"/>
              </w:rPr>
              <w:t>Dokument antagna av Europaparlamentet 10-13 december 2012</w:t>
            </w:r>
          </w:p>
        </w:tc>
        <w:tc>
          <w:tcPr>
            <w:tcW w:w="6262" w:type="dxa"/>
            <w:gridSpan w:val="2"/>
            <w:tcBorders>
              <w:top w:val="single" w:sz="4" w:space="0" w:color="A9A9A9"/>
              <w:left w:val="nil"/>
              <w:bottom w:val="single" w:sz="4" w:space="0" w:color="A9A9A9"/>
              <w:right w:val="single" w:sz="4" w:space="0" w:color="A9A9A9"/>
            </w:tcBorders>
            <w:vAlign w:val="center"/>
          </w:tcPr>
          <w:p w:rsidR="008F2075" w:rsidRPr="000E2036" w:rsidRDefault="008F2075">
            <w:pPr>
              <w:rPr>
                <w:rFonts w:ascii="Arial" w:hAnsi="Arial" w:cs="Arial"/>
                <w:sz w:val="20"/>
                <w:szCs w:val="20"/>
              </w:rPr>
            </w:pPr>
            <w:r w:rsidRPr="000E2036">
              <w:rPr>
                <w:rFonts w:ascii="Arial" w:hAnsi="Arial" w:cs="Arial"/>
                <w:sz w:val="20"/>
                <w:szCs w:val="20"/>
              </w:rPr>
              <w:t>Översändande av dokument som antogs av Europaparlamentet under sammanträdesperioden den 10-13 december 2012</w:t>
            </w:r>
          </w:p>
        </w:tc>
      </w:tr>
    </w:tbl>
    <w:p w:rsidR="008F2075" w:rsidRPr="000E2036" w:rsidRDefault="008F2075"/>
    <w:sectPr w:rsidR="008F2075" w:rsidRPr="000E20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075"/>
    <w:rsid w:val="000E2036"/>
    <w:rsid w:val="008F2075"/>
    <w:rsid w:val="00D341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651F91-197B-45E5-8734-F55B1E0F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68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2325</Characters>
  <Application>Microsoft Office Word</Application>
  <DocSecurity>4</DocSecurity>
  <Lines>93</Lines>
  <Paragraphs>54</Paragraphs>
  <ScaleCrop>false</ScaleCrop>
  <HeadingPairs>
    <vt:vector size="2" baseType="variant">
      <vt:variant>
        <vt:lpstr>Rubrik</vt:lpstr>
      </vt:variant>
      <vt:variant>
        <vt:i4>1</vt:i4>
      </vt:variant>
    </vt:vector>
  </HeadingPairs>
  <TitlesOfParts>
    <vt:vector size="1" baseType="lpstr">
      <vt:lpstr>JuU</vt:lpstr>
    </vt:vector>
  </TitlesOfParts>
  <Company>Riksdagen</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JuU</dc:title>
  <dc:subject>JuU</dc:subject>
  <dc:creator>Riksdagen</dc:creator>
  <cp:keywords>Riksdagen</cp:keywords>
  <dc:description/>
  <cp:lastModifiedBy>Lars Brink</cp:lastModifiedBy>
  <cp:revision>2</cp:revision>
  <dcterms:created xsi:type="dcterms:W3CDTF">2025-12-17T23:08:00Z</dcterms:created>
  <dcterms:modified xsi:type="dcterms:W3CDTF">2025-12-17T23:08:00Z</dcterms:modified>
</cp:coreProperties>
</file>