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BFF" w:rsidRPr="00BB2BFF" w:rsidRDefault="00BB2BFF">
      <w:pPr>
        <w:pStyle w:val="Frslagsrubrik"/>
      </w:pPr>
      <w:r w:rsidRPr="00BB2BFF">
        <w:t>Förslag till riksdagsbeslut</w:t>
      </w:r>
    </w:p>
    <w:p w:rsidR="00BB2BFF" w:rsidRPr="00BB2BFF" w:rsidRDefault="00BB2BFF">
      <w:pPr>
        <w:pStyle w:val="Hemstlatt"/>
        <w:numPr>
          <w:ilvl w:val="0"/>
          <w:numId w:val="0"/>
        </w:numPr>
      </w:pPr>
      <w:r w:rsidRPr="00BB2BFF">
        <w:t>Riksdagen anvisar med följande ändringar i förhålla</w:t>
      </w:r>
      <w:r w:rsidRPr="00BB2BFF">
        <w:t>n</w:t>
      </w:r>
      <w:r w:rsidRPr="00BB2BFF">
        <w:t>de till regeringens förslag anslagen 2011 under utgiftsområde 11 Ekonomisk trygghet vid ålderdom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95"/>
        <w:gridCol w:w="2160"/>
        <w:gridCol w:w="1920"/>
        <w:gridCol w:w="1379"/>
      </w:tblGrid>
      <w:tr w:rsidR="00000000" w:rsidRPr="00BB2BFF">
        <w:tc>
          <w:tcPr>
            <w:tcW w:w="495" w:type="dxa"/>
            <w:tcBorders>
              <w:top w:val="single" w:sz="4" w:space="0" w:color="auto"/>
              <w:left w:val="nil"/>
              <w:bottom w:val="single" w:sz="4" w:space="0" w:color="auto"/>
              <w:right w:val="nil"/>
            </w:tcBorders>
            <w:noWrap/>
          </w:tcPr>
          <w:p w:rsidR="00BB2BFF" w:rsidRPr="00BB2BFF" w:rsidRDefault="00BB2BFF">
            <w:pPr>
              <w:spacing w:before="60" w:line="200" w:lineRule="exact"/>
              <w:jc w:val="center"/>
              <w:rPr>
                <w:b/>
                <w:bCs/>
                <w:sz w:val="16"/>
                <w:szCs w:val="16"/>
              </w:rPr>
            </w:pPr>
            <w:r w:rsidRPr="00BB2BFF">
              <w:rPr>
                <w:b/>
                <w:bCs/>
                <w:sz w:val="16"/>
                <w:szCs w:val="16"/>
              </w:rPr>
              <w:t> </w:t>
            </w:r>
          </w:p>
        </w:tc>
        <w:tc>
          <w:tcPr>
            <w:tcW w:w="2160" w:type="dxa"/>
            <w:tcBorders>
              <w:top w:val="single" w:sz="4" w:space="0" w:color="auto"/>
              <w:left w:val="nil"/>
              <w:bottom w:val="single" w:sz="4" w:space="0" w:color="auto"/>
              <w:right w:val="nil"/>
            </w:tcBorders>
          </w:tcPr>
          <w:p w:rsidR="00BB2BFF" w:rsidRPr="00BB2BFF" w:rsidRDefault="00BB2BFF">
            <w:pPr>
              <w:spacing w:before="60" w:line="200" w:lineRule="exact"/>
              <w:rPr>
                <w:b/>
                <w:bCs/>
                <w:sz w:val="16"/>
                <w:szCs w:val="16"/>
              </w:rPr>
            </w:pPr>
            <w:r w:rsidRPr="00BB2BFF">
              <w:rPr>
                <w:b/>
                <w:bCs/>
                <w:sz w:val="16"/>
                <w:szCs w:val="16"/>
              </w:rPr>
              <w:t> Anslag</w:t>
            </w:r>
          </w:p>
        </w:tc>
        <w:tc>
          <w:tcPr>
            <w:tcW w:w="1920" w:type="dxa"/>
            <w:tcBorders>
              <w:top w:val="single" w:sz="4" w:space="0" w:color="auto"/>
              <w:left w:val="nil"/>
              <w:bottom w:val="single" w:sz="4" w:space="0" w:color="auto"/>
              <w:right w:val="nil"/>
            </w:tcBorders>
          </w:tcPr>
          <w:p w:rsidR="00BB2BFF" w:rsidRPr="00BB2BFF" w:rsidRDefault="00BB2BFF">
            <w:pPr>
              <w:spacing w:before="60" w:line="200" w:lineRule="exact"/>
              <w:jc w:val="right"/>
              <w:rPr>
                <w:b/>
                <w:bCs/>
                <w:sz w:val="16"/>
                <w:szCs w:val="16"/>
              </w:rPr>
            </w:pPr>
            <w:r w:rsidRPr="00BB2BFF">
              <w:rPr>
                <w:b/>
                <w:bCs/>
                <w:sz w:val="16"/>
                <w:szCs w:val="16"/>
              </w:rPr>
              <w:t>Regeringens förslag (tkr)</w:t>
            </w:r>
          </w:p>
        </w:tc>
        <w:tc>
          <w:tcPr>
            <w:tcW w:w="1379" w:type="dxa"/>
            <w:tcBorders>
              <w:top w:val="single" w:sz="4" w:space="0" w:color="auto"/>
              <w:left w:val="nil"/>
              <w:bottom w:val="single" w:sz="4" w:space="0" w:color="auto"/>
              <w:right w:val="nil"/>
            </w:tcBorders>
            <w:noWrap/>
          </w:tcPr>
          <w:p w:rsidR="00BB2BFF" w:rsidRPr="00BB2BFF" w:rsidRDefault="00BB2BFF">
            <w:pPr>
              <w:spacing w:before="60" w:line="200" w:lineRule="exact"/>
              <w:jc w:val="right"/>
              <w:rPr>
                <w:b/>
                <w:bCs/>
                <w:sz w:val="16"/>
                <w:szCs w:val="16"/>
              </w:rPr>
            </w:pPr>
            <w:r w:rsidRPr="00BB2BFF">
              <w:rPr>
                <w:b/>
                <w:bCs/>
                <w:sz w:val="16"/>
                <w:szCs w:val="16"/>
              </w:rPr>
              <w:t>Förändring (tkr)</w:t>
            </w:r>
          </w:p>
        </w:tc>
      </w:tr>
      <w:tr w:rsidR="00000000" w:rsidRPr="00BB2BFF">
        <w:tc>
          <w:tcPr>
            <w:tcW w:w="495" w:type="dxa"/>
            <w:tcBorders>
              <w:top w:val="nil"/>
              <w:left w:val="nil"/>
              <w:bottom w:val="nil"/>
              <w:right w:val="nil"/>
            </w:tcBorders>
            <w:noWrap/>
            <w:vAlign w:val="bottom"/>
          </w:tcPr>
          <w:p w:rsidR="00BB2BFF" w:rsidRPr="00BB2BFF" w:rsidRDefault="00BB2BFF">
            <w:pPr>
              <w:spacing w:before="60" w:line="200" w:lineRule="exact"/>
              <w:rPr>
                <w:sz w:val="16"/>
                <w:szCs w:val="16"/>
              </w:rPr>
            </w:pPr>
            <w:r w:rsidRPr="00BB2BFF">
              <w:rPr>
                <w:sz w:val="16"/>
                <w:szCs w:val="16"/>
              </w:rPr>
              <w:t>1:3</w:t>
            </w:r>
          </w:p>
        </w:tc>
        <w:tc>
          <w:tcPr>
            <w:tcW w:w="2160" w:type="dxa"/>
            <w:tcBorders>
              <w:top w:val="nil"/>
              <w:left w:val="nil"/>
              <w:bottom w:val="nil"/>
              <w:right w:val="nil"/>
            </w:tcBorders>
            <w:vAlign w:val="bottom"/>
          </w:tcPr>
          <w:p w:rsidR="00BB2BFF" w:rsidRPr="00BB2BFF" w:rsidRDefault="00BB2BFF">
            <w:pPr>
              <w:spacing w:before="60" w:line="200" w:lineRule="exact"/>
              <w:rPr>
                <w:sz w:val="16"/>
                <w:szCs w:val="16"/>
              </w:rPr>
            </w:pPr>
            <w:r w:rsidRPr="00BB2BFF">
              <w:rPr>
                <w:sz w:val="16"/>
                <w:szCs w:val="16"/>
              </w:rPr>
              <w:t>Bostadstillägg till pensionärer</w:t>
            </w:r>
          </w:p>
        </w:tc>
        <w:tc>
          <w:tcPr>
            <w:tcW w:w="1920" w:type="dxa"/>
            <w:tcBorders>
              <w:top w:val="nil"/>
              <w:left w:val="nil"/>
              <w:bottom w:val="nil"/>
              <w:right w:val="nil"/>
            </w:tcBorders>
            <w:noWrap/>
            <w:vAlign w:val="bottom"/>
          </w:tcPr>
          <w:p w:rsidR="00BB2BFF" w:rsidRPr="00BB2BFF" w:rsidRDefault="00BB2BFF">
            <w:pPr>
              <w:spacing w:before="60" w:line="200" w:lineRule="exact"/>
              <w:ind w:right="80"/>
              <w:jc w:val="right"/>
              <w:rPr>
                <w:sz w:val="16"/>
                <w:szCs w:val="16"/>
              </w:rPr>
            </w:pPr>
            <w:r w:rsidRPr="00BB2BFF">
              <w:rPr>
                <w:sz w:val="16"/>
                <w:szCs w:val="16"/>
              </w:rPr>
              <w:t>6 986 000</w:t>
            </w:r>
          </w:p>
        </w:tc>
        <w:tc>
          <w:tcPr>
            <w:tcW w:w="1379" w:type="dxa"/>
            <w:tcBorders>
              <w:top w:val="nil"/>
              <w:left w:val="nil"/>
              <w:bottom w:val="nil"/>
              <w:right w:val="nil"/>
            </w:tcBorders>
            <w:noWrap/>
            <w:vAlign w:val="bottom"/>
          </w:tcPr>
          <w:p w:rsidR="00BB2BFF" w:rsidRPr="00BB2BFF" w:rsidRDefault="00BB2BFF">
            <w:pPr>
              <w:spacing w:before="60" w:line="200" w:lineRule="exact"/>
              <w:ind w:right="80"/>
              <w:jc w:val="right"/>
              <w:rPr>
                <w:sz w:val="16"/>
                <w:szCs w:val="16"/>
              </w:rPr>
            </w:pPr>
            <w:r w:rsidRPr="00BB2BFF">
              <w:rPr>
                <w:sz w:val="16"/>
                <w:szCs w:val="16"/>
              </w:rPr>
              <w:t>267 000</w:t>
            </w:r>
          </w:p>
        </w:tc>
      </w:tr>
      <w:tr w:rsidR="00000000" w:rsidRPr="00BB2BFF">
        <w:tc>
          <w:tcPr>
            <w:tcW w:w="495" w:type="dxa"/>
            <w:tcBorders>
              <w:top w:val="nil"/>
              <w:left w:val="nil"/>
              <w:bottom w:val="nil"/>
              <w:right w:val="nil"/>
            </w:tcBorders>
            <w:noWrap/>
            <w:vAlign w:val="bottom"/>
          </w:tcPr>
          <w:p w:rsidR="00BB2BFF" w:rsidRPr="00BB2BFF" w:rsidRDefault="00BB2BFF">
            <w:pPr>
              <w:spacing w:before="60" w:line="200" w:lineRule="exact"/>
              <w:rPr>
                <w:sz w:val="16"/>
                <w:szCs w:val="16"/>
              </w:rPr>
            </w:pPr>
            <w:r w:rsidRPr="00BB2BFF">
              <w:rPr>
                <w:sz w:val="16"/>
                <w:szCs w:val="16"/>
              </w:rPr>
              <w:t>1:4</w:t>
            </w:r>
          </w:p>
        </w:tc>
        <w:tc>
          <w:tcPr>
            <w:tcW w:w="2160" w:type="dxa"/>
            <w:tcBorders>
              <w:top w:val="nil"/>
              <w:left w:val="nil"/>
              <w:bottom w:val="nil"/>
              <w:right w:val="nil"/>
            </w:tcBorders>
            <w:vAlign w:val="bottom"/>
          </w:tcPr>
          <w:p w:rsidR="00BB2BFF" w:rsidRPr="00BB2BFF" w:rsidRDefault="00BB2BFF">
            <w:pPr>
              <w:spacing w:before="60" w:line="200" w:lineRule="exact"/>
              <w:rPr>
                <w:bCs/>
                <w:sz w:val="16"/>
                <w:szCs w:val="16"/>
              </w:rPr>
            </w:pPr>
            <w:r w:rsidRPr="00BB2BFF">
              <w:rPr>
                <w:bCs/>
                <w:sz w:val="16"/>
                <w:szCs w:val="16"/>
              </w:rPr>
              <w:t>Äldreförsörjningsstöd</w:t>
            </w:r>
          </w:p>
        </w:tc>
        <w:tc>
          <w:tcPr>
            <w:tcW w:w="1920" w:type="dxa"/>
            <w:tcBorders>
              <w:top w:val="nil"/>
              <w:left w:val="nil"/>
              <w:bottom w:val="nil"/>
              <w:right w:val="nil"/>
            </w:tcBorders>
            <w:noWrap/>
            <w:vAlign w:val="bottom"/>
          </w:tcPr>
          <w:p w:rsidR="00BB2BFF" w:rsidRPr="00BB2BFF" w:rsidRDefault="00BB2BFF">
            <w:pPr>
              <w:spacing w:before="60" w:line="200" w:lineRule="exact"/>
              <w:ind w:right="80"/>
              <w:jc w:val="right"/>
              <w:rPr>
                <w:bCs/>
                <w:sz w:val="16"/>
                <w:szCs w:val="16"/>
              </w:rPr>
            </w:pPr>
            <w:r w:rsidRPr="00BB2BFF">
              <w:rPr>
                <w:bCs/>
                <w:sz w:val="16"/>
                <w:szCs w:val="16"/>
              </w:rPr>
              <w:t>523 000</w:t>
            </w:r>
          </w:p>
        </w:tc>
        <w:tc>
          <w:tcPr>
            <w:tcW w:w="1379" w:type="dxa"/>
            <w:tcBorders>
              <w:top w:val="nil"/>
              <w:left w:val="nil"/>
              <w:bottom w:val="nil"/>
              <w:right w:val="nil"/>
            </w:tcBorders>
            <w:noWrap/>
            <w:vAlign w:val="bottom"/>
          </w:tcPr>
          <w:p w:rsidR="00BB2BFF" w:rsidRPr="00BB2BFF" w:rsidRDefault="00BB2BFF">
            <w:pPr>
              <w:pStyle w:val="Normaltindrag"/>
              <w:spacing w:before="60" w:line="200" w:lineRule="exact"/>
              <w:ind w:right="80" w:firstLine="0"/>
              <w:jc w:val="right"/>
              <w:rPr>
                <w:b/>
                <w:sz w:val="16"/>
                <w:szCs w:val="16"/>
              </w:rPr>
            </w:pPr>
            <w:r w:rsidRPr="00BB2BFF">
              <w:rPr>
                <w:bCs/>
                <w:sz w:val="16"/>
                <w:szCs w:val="16"/>
              </w:rPr>
              <w:t>–4 000</w:t>
            </w:r>
          </w:p>
        </w:tc>
      </w:tr>
      <w:tr w:rsidR="00000000" w:rsidRPr="00BB2BFF">
        <w:tc>
          <w:tcPr>
            <w:tcW w:w="495" w:type="dxa"/>
            <w:tcBorders>
              <w:top w:val="nil"/>
              <w:left w:val="nil"/>
              <w:bottom w:val="single" w:sz="4" w:space="0" w:color="auto"/>
              <w:right w:val="nil"/>
            </w:tcBorders>
            <w:noWrap/>
            <w:vAlign w:val="bottom"/>
          </w:tcPr>
          <w:p w:rsidR="00BB2BFF" w:rsidRPr="00BB2BFF" w:rsidRDefault="00BB2BFF">
            <w:pPr>
              <w:spacing w:before="60" w:line="200" w:lineRule="exact"/>
              <w:rPr>
                <w:sz w:val="16"/>
                <w:szCs w:val="16"/>
              </w:rPr>
            </w:pPr>
          </w:p>
        </w:tc>
        <w:tc>
          <w:tcPr>
            <w:tcW w:w="2160" w:type="dxa"/>
            <w:tcBorders>
              <w:top w:val="nil"/>
              <w:left w:val="nil"/>
              <w:bottom w:val="single" w:sz="4" w:space="0" w:color="auto"/>
              <w:right w:val="nil"/>
            </w:tcBorders>
            <w:vAlign w:val="bottom"/>
          </w:tcPr>
          <w:p w:rsidR="00BB2BFF" w:rsidRPr="00BB2BFF" w:rsidRDefault="00BB2BFF">
            <w:pPr>
              <w:spacing w:before="60" w:line="200" w:lineRule="exact"/>
              <w:rPr>
                <w:bCs/>
                <w:sz w:val="16"/>
                <w:szCs w:val="16"/>
              </w:rPr>
            </w:pPr>
            <w:r w:rsidRPr="00BB2BFF">
              <w:rPr>
                <w:b/>
                <w:bCs/>
                <w:sz w:val="16"/>
                <w:szCs w:val="16"/>
              </w:rPr>
              <w:t>Summa</w:t>
            </w:r>
          </w:p>
        </w:tc>
        <w:tc>
          <w:tcPr>
            <w:tcW w:w="1920" w:type="dxa"/>
            <w:tcBorders>
              <w:top w:val="nil"/>
              <w:left w:val="nil"/>
              <w:bottom w:val="single" w:sz="4" w:space="0" w:color="auto"/>
              <w:right w:val="nil"/>
            </w:tcBorders>
            <w:noWrap/>
            <w:vAlign w:val="bottom"/>
          </w:tcPr>
          <w:p w:rsidR="00BB2BFF" w:rsidRPr="00BB2BFF" w:rsidRDefault="00BB2BFF">
            <w:pPr>
              <w:spacing w:before="60" w:line="200" w:lineRule="exact"/>
              <w:ind w:right="80"/>
              <w:jc w:val="right"/>
              <w:rPr>
                <w:b/>
                <w:bCs/>
                <w:sz w:val="16"/>
                <w:szCs w:val="16"/>
              </w:rPr>
            </w:pPr>
          </w:p>
        </w:tc>
        <w:tc>
          <w:tcPr>
            <w:tcW w:w="1379" w:type="dxa"/>
            <w:tcBorders>
              <w:top w:val="nil"/>
              <w:left w:val="nil"/>
              <w:bottom w:val="single" w:sz="4" w:space="0" w:color="auto"/>
              <w:right w:val="nil"/>
            </w:tcBorders>
            <w:noWrap/>
            <w:vAlign w:val="bottom"/>
          </w:tcPr>
          <w:p w:rsidR="00BB2BFF" w:rsidRPr="00BB2BFF" w:rsidRDefault="00BB2BFF">
            <w:pPr>
              <w:spacing w:before="60" w:line="200" w:lineRule="exact"/>
              <w:ind w:right="80"/>
              <w:jc w:val="right"/>
              <w:rPr>
                <w:bCs/>
                <w:sz w:val="16"/>
                <w:szCs w:val="16"/>
              </w:rPr>
            </w:pPr>
            <w:r w:rsidRPr="00BB2BFF">
              <w:rPr>
                <w:b/>
                <w:sz w:val="16"/>
                <w:szCs w:val="16"/>
              </w:rPr>
              <w:t>263 000</w:t>
            </w:r>
          </w:p>
        </w:tc>
      </w:tr>
    </w:tbl>
    <w:p w:rsidR="00BB2BFF" w:rsidRPr="00BB2BFF" w:rsidRDefault="00BB2BFF"/>
    <w:p w:rsidR="00BB2BFF" w:rsidRPr="00BB2BFF" w:rsidRDefault="00BB2BFF">
      <w:pPr>
        <w:pStyle w:val="Rubrik1"/>
        <w:spacing w:before="480"/>
      </w:pPr>
      <w:r w:rsidRPr="00BB2BFF">
        <w:t>Motivering</w:t>
      </w:r>
    </w:p>
    <w:p w:rsidR="00BB2BFF" w:rsidRPr="00BB2BFF" w:rsidRDefault="00BB2BFF">
      <w:r w:rsidRPr="00BB2BFF">
        <w:t>För att skapa bättre ekonomisk trygghet för dem med små marginaler vill vi förbättra bostadstillägget för pensionärer och förtidspensionärer. Vi föreslår att bostadstillägget för pensionärer höjs till 94,4 procent 2011. Detta kostar totalt 263 miljoner och påverkar såväl anslag 1:3 som anslag 1:4 (se RUT 2010:1529).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2BFF">
        <w:trPr>
          <w:cantSplit/>
        </w:trPr>
        <w:tc>
          <w:tcPr>
            <w:tcW w:w="3046" w:type="dxa"/>
          </w:tcPr>
          <w:p w:rsidR="00BB2BFF" w:rsidRPr="00BB2BFF" w:rsidRDefault="00BB2BFF">
            <w:pPr>
              <w:pStyle w:val="UnderskriftDatum"/>
              <w:spacing w:before="240"/>
            </w:pPr>
            <w:r w:rsidRPr="00BB2BFF">
              <w:t>Stockholm den 26 oktober 2010</w:t>
            </w:r>
          </w:p>
        </w:tc>
        <w:tc>
          <w:tcPr>
            <w:tcW w:w="3047" w:type="dxa"/>
          </w:tcPr>
          <w:p w:rsidR="00BB2BFF" w:rsidRPr="00BB2BFF" w:rsidRDefault="00BB2BFF">
            <w:pPr>
              <w:pStyle w:val="Underskrifter"/>
              <w:spacing w:before="240"/>
            </w:pPr>
          </w:p>
        </w:tc>
      </w:tr>
      <w:tr w:rsidR="00000000" w:rsidRPr="00BB2BFF">
        <w:trPr>
          <w:cantSplit/>
        </w:trPr>
        <w:tc>
          <w:tcPr>
            <w:tcW w:w="3046" w:type="dxa"/>
          </w:tcPr>
          <w:p w:rsidR="00BB2BFF" w:rsidRPr="00BB2BFF" w:rsidRDefault="00BB2BFF">
            <w:pPr>
              <w:pStyle w:val="Underskrifter"/>
            </w:pPr>
            <w:r w:rsidRPr="00BB2BFF">
              <w:t>Tomas Eneroth (S)</w:t>
            </w:r>
          </w:p>
        </w:tc>
        <w:tc>
          <w:tcPr>
            <w:tcW w:w="3046" w:type="dxa"/>
          </w:tcPr>
          <w:p w:rsidR="00BB2BFF" w:rsidRPr="00BB2BFF" w:rsidRDefault="00BB2BFF">
            <w:pPr>
              <w:pStyle w:val="Underskrifter"/>
            </w:pPr>
          </w:p>
        </w:tc>
      </w:tr>
      <w:tr w:rsidR="00000000" w:rsidRPr="00BB2BFF">
        <w:trPr>
          <w:cantSplit/>
        </w:trPr>
        <w:tc>
          <w:tcPr>
            <w:tcW w:w="3046" w:type="dxa"/>
          </w:tcPr>
          <w:p w:rsidR="00BB2BFF" w:rsidRPr="00BB2BFF" w:rsidRDefault="00BB2BFF">
            <w:pPr>
              <w:pStyle w:val="Underskrifter"/>
            </w:pPr>
            <w:r w:rsidRPr="00BB2BFF">
              <w:t>Gunvor G Ericson (MP)</w:t>
            </w:r>
          </w:p>
        </w:tc>
        <w:tc>
          <w:tcPr>
            <w:tcW w:w="3046" w:type="dxa"/>
          </w:tcPr>
          <w:p w:rsidR="00BB2BFF" w:rsidRPr="00BB2BFF" w:rsidRDefault="00BB2BFF">
            <w:pPr>
              <w:pStyle w:val="Underskrifter"/>
            </w:pPr>
            <w:r w:rsidRPr="00BB2BFF">
              <w:t>Wiwi-Anne Johansson (V)</w:t>
            </w:r>
          </w:p>
        </w:tc>
      </w:tr>
    </w:tbl>
    <w:p w:rsidR="00BB2BFF" w:rsidRPr="00BB2BFF" w:rsidRDefault="00BB2BFF">
      <w:pPr>
        <w:pStyle w:val="Normaltindrag"/>
      </w:pPr>
    </w:p>
    <w:sectPr w:rsidR="00000000" w:rsidRPr="00BB2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BFF" w:rsidRPr="00BB2BFF" w:rsidRDefault="00BB2BFF">
      <w:r w:rsidRPr="00BB2BFF">
        <w:separator/>
      </w:r>
    </w:p>
  </w:endnote>
  <w:endnote w:type="continuationSeparator" w:id="0">
    <w:p w:rsidR="00BB2BFF" w:rsidRPr="00BB2BFF" w:rsidRDefault="00BB2BFF">
      <w:r w:rsidRPr="00BB2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fot"/>
    </w:pPr>
    <w:r w:rsidRPr="00BB2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411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2BFF" w:rsidRDefault="00BB2B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fot"/>
    </w:pPr>
    <w:r w:rsidRPr="00BB2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829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fot"/>
    </w:pPr>
    <w:r w:rsidRPr="00BB2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652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2BFF" w:rsidRDefault="00BB2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BFF" w:rsidRPr="00BB2BFF" w:rsidRDefault="00BB2BFF">
      <w:r w:rsidRPr="00BB2BFF">
        <w:separator/>
      </w:r>
    </w:p>
  </w:footnote>
  <w:footnote w:type="continuationSeparator" w:id="0">
    <w:p w:rsidR="00BB2BFF" w:rsidRPr="00BB2BFF" w:rsidRDefault="00BB2BFF">
      <w:r w:rsidRPr="00BB2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huvud"/>
    </w:pPr>
    <w:r w:rsidRPr="00BB2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922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2BFF" w:rsidRDefault="00BB2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Sidhuvud"/>
    </w:pPr>
    <w:r w:rsidRPr="00BB2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388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FF" w:rsidRDefault="00BB2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2BFF" w:rsidRDefault="00BB2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FF" w:rsidRPr="00BB2BFF" w:rsidRDefault="00BB2BFF">
    <w:pPr>
      <w:pStyle w:val="FSHNormal"/>
      <w:tabs>
        <w:tab w:val="right" w:pos="5840"/>
      </w:tabs>
    </w:pPr>
    <w:r w:rsidRPr="00BB2BFF">
      <w:br/>
    </w:r>
    <w:r w:rsidRPr="00BB2BFF">
      <w:fldChar w:fldCharType="begin" w:fldLock="1"/>
    </w:r>
    <w:r w:rsidRPr="00BB2BFF">
      <w:instrText xml:space="preserve"> DOCPROPERTY</w:instrText>
    </w:r>
    <w:r w:rsidRPr="00BB2BFF">
      <w:rPr>
        <w:sz w:val="18"/>
      </w:rPr>
      <w:instrText xml:space="preserve"> "YearUser" *\charformat </w:instrText>
    </w:r>
    <w:r w:rsidRPr="00BB2BFF">
      <w:fldChar w:fldCharType="separate"/>
    </w:r>
    <w:r w:rsidRPr="00BB2BFF">
      <w:t>2010/11</w:t>
    </w:r>
    <w:r w:rsidRPr="00BB2BFF">
      <w:fldChar w:fldCharType="end"/>
    </w:r>
    <w:r w:rsidRPr="00BB2BFF">
      <w:t xml:space="preserve"> </w:t>
    </w:r>
    <w:r w:rsidRPr="00BB2BFF">
      <w:tab/>
      <w:t xml:space="preserve">mnr: </w:t>
    </w:r>
    <w:r w:rsidRPr="00BB2BFF">
      <w:fldChar w:fldCharType="begin" w:fldLock="1"/>
    </w:r>
    <w:r w:rsidRPr="00BB2BFF">
      <w:instrText xml:space="preserve"> DOCPROPERTY</w:instrText>
    </w:r>
    <w:r w:rsidRPr="00BB2BFF">
      <w:rPr>
        <w:sz w:val="18"/>
      </w:rPr>
      <w:instrText xml:space="preserve"> "Motionsnummer" *\charformat </w:instrText>
    </w:r>
    <w:r w:rsidRPr="00BB2BFF">
      <w:fldChar w:fldCharType="separate"/>
    </w:r>
    <w:r w:rsidRPr="00BB2BFF">
      <w:t>Sf348</w:t>
    </w:r>
    <w:r w:rsidRPr="00BB2BFF">
      <w:fldChar w:fldCharType="end"/>
    </w:r>
    <w:r w:rsidRPr="00BB2BFF">
      <w:br/>
    </w:r>
    <w:r w:rsidRPr="00BB2BFF">
      <w:fldChar w:fldCharType="begin" w:fldLock="1"/>
    </w:r>
    <w:r w:rsidRPr="00BB2BFF">
      <w:instrText xml:space="preserve"> DOCPROPERTY</w:instrText>
    </w:r>
    <w:r w:rsidRPr="00BB2BFF">
      <w:rPr>
        <w:sz w:val="18"/>
      </w:rPr>
      <w:instrText xml:space="preserve"> "Samling" *\charformat </w:instrText>
    </w:r>
    <w:r w:rsidRPr="00BB2BFF">
      <w:fldChar w:fldCharType="end"/>
    </w:r>
    <w:r w:rsidRPr="00BB2BFF">
      <w:tab/>
      <w:t xml:space="preserve">pnr: </w:t>
    </w:r>
    <w:r w:rsidRPr="00BB2BFF">
      <w:fldChar w:fldCharType="begin" w:fldLock="1"/>
    </w:r>
    <w:r w:rsidRPr="00BB2BFF">
      <w:instrText xml:space="preserve"> DOCPROPERTY</w:instrText>
    </w:r>
    <w:r w:rsidRPr="00BB2BFF">
      <w:rPr>
        <w:sz w:val="18"/>
      </w:rPr>
      <w:instrText xml:space="preserve"> "Partinummer" *\charformat </w:instrText>
    </w:r>
    <w:r w:rsidRPr="00BB2BFF">
      <w:fldChar w:fldCharType="separate"/>
    </w:r>
    <w:r w:rsidRPr="00BB2BFF">
      <w:t>-MP1018</w:t>
    </w:r>
    <w:r w:rsidRPr="00BB2BFF">
      <w:fldChar w:fldCharType="end"/>
    </w:r>
  </w:p>
  <w:p w:rsidR="00BB2BFF" w:rsidRPr="00BB2BFF" w:rsidRDefault="00BB2BFF">
    <w:pPr>
      <w:pStyle w:val="FSHRub1"/>
    </w:pPr>
    <w:r w:rsidRPr="00BB2BFF">
      <w:t>Motion till riksdagen</w:t>
    </w:r>
    <w:r w:rsidRPr="00BB2BFF">
      <w:br/>
    </w:r>
    <w:r w:rsidRPr="00BB2BFF">
      <w:fldChar w:fldCharType="begin" w:fldLock="1"/>
    </w:r>
    <w:r w:rsidRPr="00BB2BFF">
      <w:instrText xml:space="preserve"> DOCPROPERTY "YearUser" *\charformat </w:instrText>
    </w:r>
    <w:r w:rsidRPr="00BB2BFF">
      <w:fldChar w:fldCharType="separate"/>
    </w:r>
    <w:r w:rsidRPr="00BB2BFF">
      <w:t>2010/11</w:t>
    </w:r>
    <w:r w:rsidRPr="00BB2BFF">
      <w:fldChar w:fldCharType="end"/>
    </w:r>
    <w:r w:rsidRPr="00BB2BFF">
      <w:t>:</w:t>
    </w:r>
    <w:r w:rsidRPr="00BB2BFF">
      <w:fldChar w:fldCharType="begin" w:fldLock="1"/>
    </w:r>
    <w:r w:rsidRPr="00BB2BFF">
      <w:instrText xml:space="preserve"> DOCPROPERTY "Motionsnummer" *\charformat </w:instrText>
    </w:r>
    <w:r w:rsidRPr="00BB2BFF">
      <w:fldChar w:fldCharType="separate"/>
    </w:r>
    <w:r w:rsidRPr="00BB2BFF">
      <w:t>Sf348</w:t>
    </w:r>
    <w:r w:rsidRPr="00BB2BFF">
      <w:fldChar w:fldCharType="end"/>
    </w:r>
  </w:p>
  <w:p w:rsidR="00BB2BFF" w:rsidRPr="00BB2BFF" w:rsidRDefault="00BB2BFF">
    <w:pPr>
      <w:pStyle w:val="FSHNormalS5"/>
    </w:pPr>
    <w:r w:rsidRPr="00BB2BFF">
      <w:fldChar w:fldCharType="begin" w:fldLock="1"/>
    </w:r>
    <w:r w:rsidRPr="00BB2BFF">
      <w:instrText xml:space="preserve"> DOCPROPERTY "MotionarText" *\charformat </w:instrText>
    </w:r>
    <w:r w:rsidRPr="00BB2BFF">
      <w:fldChar w:fldCharType="separate"/>
    </w:r>
    <w:r w:rsidRPr="00BB2BFF">
      <w:t>av Tomas Eneroth m.fl. (S, MP, V)</w:t>
    </w:r>
    <w:r w:rsidRPr="00BB2BFF">
      <w:fldChar w:fldCharType="end"/>
    </w:r>
    <w:r w:rsidRPr="00BB2BFF">
      <w:br/>
    </w:r>
    <w:r w:rsidRPr="00BB2BFF">
      <w:fldChar w:fldCharType="begin" w:fldLock="1"/>
    </w:r>
    <w:r w:rsidRPr="00BB2BFF">
      <w:instrText xml:space="preserve"> DOCPROPERTY "SvarFrasKort" *\charformat </w:instrText>
    </w:r>
    <w:r w:rsidRPr="00BB2BFF">
      <w:fldChar w:fldCharType="end"/>
    </w:r>
  </w:p>
  <w:p w:rsidR="00BB2BFF" w:rsidRPr="00BB2BFF" w:rsidRDefault="00BB2BFF">
    <w:pPr>
      <w:pStyle w:val="FSHTitel"/>
    </w:pPr>
    <w:r w:rsidRPr="00BB2BFF">
      <w:fldChar w:fldCharType="begin" w:fldLock="1"/>
    </w:r>
    <w:r w:rsidRPr="00BB2BFF">
      <w:instrText xml:space="preserve"> DOCPROPERTY</w:instrText>
    </w:r>
    <w:r w:rsidRPr="00BB2BFF">
      <w:rPr>
        <w:sz w:val="18"/>
      </w:rPr>
      <w:instrText xml:space="preserve"> "RubrikSvar" *\charformat </w:instrText>
    </w:r>
    <w:r w:rsidRPr="00BB2BFF">
      <w:fldChar w:fldCharType="separate"/>
    </w:r>
    <w:r w:rsidRPr="00BB2BFF">
      <w:t>Utgiftsområde 11 Ekonomisk trygghet vid ålderdom</w:t>
    </w:r>
    <w:r w:rsidRPr="00BB2BFF">
      <w:fldChar w:fldCharType="end"/>
    </w:r>
  </w:p>
  <w:p w:rsidR="00BB2BFF" w:rsidRPr="00BB2BFF" w:rsidRDefault="00BB2BFF">
    <w:pPr>
      <w:pStyle w:val="Normal00"/>
    </w:pPr>
  </w:p>
  <w:p w:rsidR="00BB2BFF" w:rsidRPr="00BB2BFF" w:rsidRDefault="00BB2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3A82FB84"/>
    <w:lvl w:ilvl="0" w:tplc="BD166E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188761">
    <w:abstractNumId w:val="3"/>
  </w:num>
  <w:num w:numId="2" w16cid:durableId="2062509361">
    <w:abstractNumId w:val="2"/>
  </w:num>
  <w:num w:numId="3" w16cid:durableId="1558467725">
    <w:abstractNumId w:val="1"/>
  </w:num>
  <w:num w:numId="4" w16cid:durableId="2088183371">
    <w:abstractNumId w:val="0"/>
  </w:num>
  <w:num w:numId="5" w16cid:durableId="1357316652">
    <w:abstractNumId w:val="7"/>
  </w:num>
  <w:num w:numId="6" w16cid:durableId="73285769">
    <w:abstractNumId w:val="6"/>
  </w:num>
  <w:num w:numId="7" w16cid:durableId="1470583">
    <w:abstractNumId w:val="5"/>
  </w:num>
  <w:num w:numId="8" w16cid:durableId="1698310559">
    <w:abstractNumId w:val="4"/>
  </w:num>
  <w:num w:numId="9" w16cid:durableId="45224844">
    <w:abstractNumId w:val="8"/>
  </w:num>
  <w:num w:numId="10" w16cid:durableId="295529559">
    <w:abstractNumId w:val="9"/>
  </w:num>
  <w:num w:numId="11" w16cid:durableId="430664393">
    <w:abstractNumId w:val="10"/>
  </w:num>
  <w:num w:numId="12" w16cid:durableId="1821267770">
    <w:abstractNumId w:val="13"/>
  </w:num>
  <w:num w:numId="13" w16cid:durableId="154032963">
    <w:abstractNumId w:val="17"/>
  </w:num>
  <w:num w:numId="14" w16cid:durableId="1617324906">
    <w:abstractNumId w:val="18"/>
  </w:num>
  <w:num w:numId="15" w16cid:durableId="68895205">
    <w:abstractNumId w:val="11"/>
  </w:num>
  <w:num w:numId="16" w16cid:durableId="721560189">
    <w:abstractNumId w:val="20"/>
  </w:num>
  <w:num w:numId="17" w16cid:durableId="1448544003">
    <w:abstractNumId w:val="19"/>
  </w:num>
  <w:num w:numId="18" w16cid:durableId="985208505">
    <w:abstractNumId w:val="16"/>
  </w:num>
  <w:num w:numId="19" w16cid:durableId="1814760624">
    <w:abstractNumId w:val="12"/>
  </w:num>
  <w:num w:numId="20" w16cid:durableId="1717315541">
    <w:abstractNumId w:val="14"/>
  </w:num>
  <w:num w:numId="21" w16cid:durableId="1099914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8"/>
    <w:docVar w:name="PersonGUIDs" w:val="{8E50A6BB-1B02-4E38-A169-10816FCFD2E4},{5C5BCEFA-8F0A-4606-847B-565707F5EBB6},{8AB62037-4390-43A4-8774-82C1A5291ED3}"/>
  </w:docVars>
  <w:rsids>
    <w:rsidRoot w:val="00BE4201"/>
    <w:rsid w:val="00BB2BFF"/>
    <w:rsid w:val="00BE42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A4A8DDBB-211D-4819-9EA9-25AF540E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3891">
      <w:bodyDiv w:val="1"/>
      <w:marLeft w:val="0"/>
      <w:marRight w:val="0"/>
      <w:marTop w:val="0"/>
      <w:marBottom w:val="0"/>
      <w:divBdr>
        <w:top w:val="none" w:sz="0" w:space="0" w:color="auto"/>
        <w:left w:val="none" w:sz="0" w:space="0" w:color="auto"/>
        <w:bottom w:val="none" w:sz="0" w:space="0" w:color="auto"/>
        <w:right w:val="none" w:sz="0" w:space="0" w:color="auto"/>
      </w:divBdr>
    </w:div>
    <w:div w:id="1224366039">
      <w:bodyDiv w:val="1"/>
      <w:marLeft w:val="0"/>
      <w:marRight w:val="0"/>
      <w:marTop w:val="0"/>
      <w:marBottom w:val="0"/>
      <w:divBdr>
        <w:top w:val="none" w:sz="0" w:space="0" w:color="auto"/>
        <w:left w:val="none" w:sz="0" w:space="0" w:color="auto"/>
        <w:bottom w:val="none" w:sz="0" w:space="0" w:color="auto"/>
        <w:right w:val="none" w:sz="0" w:space="0" w:color="auto"/>
      </w:divBdr>
    </w:div>
    <w:div w:id="1554586484">
      <w:bodyDiv w:val="1"/>
      <w:marLeft w:val="0"/>
      <w:marRight w:val="0"/>
      <w:marTop w:val="0"/>
      <w:marBottom w:val="0"/>
      <w:divBdr>
        <w:top w:val="none" w:sz="0" w:space="0" w:color="auto"/>
        <w:left w:val="none" w:sz="0" w:space="0" w:color="auto"/>
        <w:bottom w:val="none" w:sz="0" w:space="0" w:color="auto"/>
        <w:right w:val="none" w:sz="0" w:space="0" w:color="auto"/>
      </w:divBdr>
    </w:div>
    <w:div w:id="1580602292">
      <w:bodyDiv w:val="1"/>
      <w:marLeft w:val="0"/>
      <w:marRight w:val="0"/>
      <w:marTop w:val="0"/>
      <w:marBottom w:val="0"/>
      <w:divBdr>
        <w:top w:val="none" w:sz="0" w:space="0" w:color="auto"/>
        <w:left w:val="none" w:sz="0" w:space="0" w:color="auto"/>
        <w:bottom w:val="none" w:sz="0" w:space="0" w:color="auto"/>
        <w:right w:val="none" w:sz="0" w:space="0" w:color="auto"/>
      </w:divBdr>
    </w:div>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684</Characters>
  <Application>Microsoft Office Word</Application>
  <DocSecurity>4</DocSecurity>
  <Lines>34</Lines>
  <Paragraphs>24</Paragraphs>
  <ScaleCrop>false</ScaleCrop>
  <HeadingPairs>
    <vt:vector size="2" baseType="variant">
      <vt:variant>
        <vt:lpstr>Rubrik</vt:lpstr>
      </vt:variant>
      <vt:variant>
        <vt:i4>1</vt:i4>
      </vt:variant>
    </vt:vector>
  </HeadingPairs>
  <TitlesOfParts>
    <vt:vector size="1" baseType="lpstr">
      <vt:lpstr>-MP1018</vt:lpstr>
    </vt:vector>
  </TitlesOfParts>
  <Company>Riksdagen</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-MP1018</dc:title>
  <dc:subject>-MP1018</dc:subject>
  <dc:creator>Riksdagen</dc:creator>
  <cp:keywords>Riksdagen</cp:keywords>
  <dc:description>Versal/gemen i partibeteckning. Gemen i tryck för 0910, versal för 1011 och nyare</dc:description>
  <cp:lastModifiedBy>Lars Brink</cp:lastModifiedBy>
  <cp:revision>2</cp:revision>
  <cp:lastPrinted>2010-11-12T07:25:00Z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Tomas Eneroth m.fl. (S, MP, V)</vt:lpwstr>
  </property>
  <property fmtid="{D5CDD505-2E9C-101B-9397-08002B2CF9AE}" pid="26" name="MotionarLista">
    <vt:lpwstr>Eneroth, Tomas (S)\Ericson, Gunvor G (MP)\Johansson,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Gunvor G Ericson (MP),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20102011000000770080000010180070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20102011000000770080000010180070</vt:lpwstr>
  </property>
  <property fmtid="{D5CDD505-2E9C-101B-9397-08002B2CF9AE}" pid="50" name="nummer">
    <vt:lpwstr>348</vt:lpwstr>
  </property>
  <property fmtid="{D5CDD505-2E9C-101B-9397-08002B2CF9AE}" pid="51" name="utskottsbeteckning">
    <vt:lpwstr>Sf</vt:lpwstr>
  </property>
  <property fmtid="{D5CDD505-2E9C-101B-9397-08002B2CF9AE}" pid="52" name="GlobalUID">
    <vt:lpwstr>{B82EA625-4237-4275-8910-B69D5F719B49}</vt:lpwstr>
  </property>
  <property fmtid="{D5CDD505-2E9C-101B-9397-08002B2CF9AE}" pid="53" name="Överföringar">
    <vt:i4>0</vt:i4>
  </property>
  <property fmtid="{D5CDD505-2E9C-101B-9397-08002B2CF9AE}" pid="54" name="Checksum">
    <vt:lpwstr>*0004396862655*</vt:lpwstr>
  </property>
  <property fmtid="{D5CDD505-2E9C-101B-9397-08002B2CF9AE}" pid="55" name="skuggnummer">
    <vt:lpwstr>2551</vt:lpwstr>
  </property>
  <property fmtid="{D5CDD505-2E9C-101B-9397-08002B2CF9AE}" pid="56" name="urixVersion">
    <vt:lpwstr>4.3.0.0</vt:lpwstr>
  </property>
  <property fmtid="{D5CDD505-2E9C-101B-9397-08002B2CF9AE}" pid="57" name="urixOrigin">
    <vt:lpwstr>101112 08:26:41.109</vt:lpwstr>
  </property>
  <property fmtid="{D5CDD505-2E9C-101B-9397-08002B2CF9AE}" pid="58" name="urixGuid">
    <vt:lpwstr>{AF5B3C3B-5F55-4934-A36C-85B0F5A2298F}</vt:lpwstr>
  </property>
</Properties>
</file>