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A5AF9" w:rsidTr="00CD7FE6">
        <w:tblPrEx>
          <w:tblCellMar>
            <w:top w:w="0" w:type="dxa"/>
            <w:bottom w:w="0" w:type="dxa"/>
          </w:tblCellMar>
        </w:tblPrEx>
        <w:tc>
          <w:tcPr>
            <w:tcW w:w="2268" w:type="dxa"/>
          </w:tcPr>
          <w:p w:rsidR="006E4E11" w:rsidRPr="002A5AF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A5AF9" w:rsidRDefault="006E4E11" w:rsidP="007242A3">
            <w:pPr>
              <w:framePr w:w="5035" w:h="1644" w:wrap="notBeside" w:vAnchor="page" w:hAnchor="page" w:x="6573" w:y="721"/>
              <w:rPr>
                <w:rFonts w:ascii="TradeGothic" w:hAnsi="TradeGothic"/>
                <w:i/>
                <w:sz w:val="18"/>
              </w:rPr>
            </w:pPr>
          </w:p>
        </w:tc>
      </w:tr>
      <w:tr w:rsidR="00CD7FE6" w:rsidRPr="002A5AF9" w:rsidTr="00CD7FE6">
        <w:tblPrEx>
          <w:tblCellMar>
            <w:top w:w="0" w:type="dxa"/>
            <w:bottom w:w="0" w:type="dxa"/>
          </w:tblCellMar>
        </w:tblPrEx>
        <w:tc>
          <w:tcPr>
            <w:tcW w:w="5267" w:type="dxa"/>
            <w:gridSpan w:val="3"/>
          </w:tcPr>
          <w:p w:rsidR="00CD7FE6" w:rsidRPr="002A5AF9" w:rsidRDefault="00CD7FE6" w:rsidP="007242A3">
            <w:pPr>
              <w:framePr w:w="5035" w:h="1644" w:wrap="notBeside" w:vAnchor="page" w:hAnchor="page" w:x="6573" w:y="721"/>
              <w:rPr>
                <w:rFonts w:ascii="TradeGothic" w:hAnsi="TradeGothic"/>
                <w:b/>
                <w:sz w:val="22"/>
              </w:rPr>
            </w:pPr>
            <w:r w:rsidRPr="002A5AF9">
              <w:rPr>
                <w:rFonts w:ascii="TradeGothic" w:hAnsi="TradeGothic"/>
                <w:b/>
                <w:sz w:val="22"/>
              </w:rPr>
              <w:t>Rådspromemoria</w:t>
            </w:r>
          </w:p>
        </w:tc>
      </w:tr>
      <w:tr w:rsidR="006E4E11" w:rsidRPr="002A5AF9" w:rsidTr="00CD7FE6">
        <w:tblPrEx>
          <w:tblCellMar>
            <w:top w:w="0" w:type="dxa"/>
            <w:bottom w:w="0" w:type="dxa"/>
          </w:tblCellMar>
        </w:tblPrEx>
        <w:tc>
          <w:tcPr>
            <w:tcW w:w="3402" w:type="dxa"/>
            <w:gridSpan w:val="2"/>
          </w:tcPr>
          <w:p w:rsidR="006E4E11" w:rsidRPr="002A5AF9" w:rsidRDefault="006E4E11" w:rsidP="007242A3">
            <w:pPr>
              <w:framePr w:w="5035" w:h="1644" w:wrap="notBeside" w:vAnchor="page" w:hAnchor="page" w:x="6573" w:y="721"/>
            </w:pPr>
          </w:p>
        </w:tc>
        <w:tc>
          <w:tcPr>
            <w:tcW w:w="1865" w:type="dxa"/>
          </w:tcPr>
          <w:p w:rsidR="006E4E11" w:rsidRPr="002A5AF9" w:rsidRDefault="006E4E11" w:rsidP="007242A3">
            <w:pPr>
              <w:framePr w:w="5035" w:h="1644" w:wrap="notBeside" w:vAnchor="page" w:hAnchor="page" w:x="6573" w:y="721"/>
            </w:pPr>
          </w:p>
        </w:tc>
      </w:tr>
      <w:tr w:rsidR="006E4E11" w:rsidRPr="002A5AF9" w:rsidTr="00CD7FE6">
        <w:tblPrEx>
          <w:tblCellMar>
            <w:top w:w="0" w:type="dxa"/>
            <w:bottom w:w="0" w:type="dxa"/>
          </w:tblCellMar>
        </w:tblPrEx>
        <w:tc>
          <w:tcPr>
            <w:tcW w:w="2268" w:type="dxa"/>
          </w:tcPr>
          <w:p w:rsidR="006E4E11" w:rsidRPr="002A5AF9" w:rsidRDefault="00CD7FE6" w:rsidP="007242A3">
            <w:pPr>
              <w:framePr w:w="5035" w:h="1644" w:wrap="notBeside" w:vAnchor="page" w:hAnchor="page" w:x="6573" w:y="721"/>
            </w:pPr>
            <w:r w:rsidRPr="002A5AF9">
              <w:t>2011-</w:t>
            </w:r>
            <w:r w:rsidR="00CA51E9" w:rsidRPr="002A5AF9">
              <w:t>12-0</w:t>
            </w:r>
            <w:r w:rsidR="00D6067D" w:rsidRPr="002A5AF9">
              <w:t>5</w:t>
            </w:r>
          </w:p>
        </w:tc>
        <w:tc>
          <w:tcPr>
            <w:tcW w:w="2999" w:type="dxa"/>
            <w:gridSpan w:val="2"/>
          </w:tcPr>
          <w:p w:rsidR="006E4E11" w:rsidRPr="002A5AF9" w:rsidRDefault="006E4E11" w:rsidP="007242A3">
            <w:pPr>
              <w:framePr w:w="5035" w:h="1644" w:wrap="notBeside" w:vAnchor="page" w:hAnchor="page" w:x="6573" w:y="721"/>
              <w:rPr>
                <w:sz w:val="20"/>
              </w:rPr>
            </w:pPr>
          </w:p>
        </w:tc>
      </w:tr>
      <w:tr w:rsidR="006E4E11" w:rsidRPr="002A5AF9" w:rsidTr="00CD7FE6">
        <w:tblPrEx>
          <w:tblCellMar>
            <w:top w:w="0" w:type="dxa"/>
            <w:bottom w:w="0" w:type="dxa"/>
          </w:tblCellMar>
        </w:tblPrEx>
        <w:tc>
          <w:tcPr>
            <w:tcW w:w="2268" w:type="dxa"/>
          </w:tcPr>
          <w:p w:rsidR="006E4E11" w:rsidRPr="002A5AF9" w:rsidRDefault="006E4E11" w:rsidP="007242A3">
            <w:pPr>
              <w:framePr w:w="5035" w:h="1644" w:wrap="notBeside" w:vAnchor="page" w:hAnchor="page" w:x="6573" w:y="721"/>
            </w:pPr>
          </w:p>
        </w:tc>
        <w:tc>
          <w:tcPr>
            <w:tcW w:w="2999" w:type="dxa"/>
            <w:gridSpan w:val="2"/>
          </w:tcPr>
          <w:p w:rsidR="006E4E11" w:rsidRPr="002A5AF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A5AF9">
        <w:tblPrEx>
          <w:tblCellMar>
            <w:top w:w="0" w:type="dxa"/>
            <w:bottom w:w="0" w:type="dxa"/>
          </w:tblCellMar>
        </w:tblPrEx>
        <w:trPr>
          <w:trHeight w:val="284"/>
        </w:trPr>
        <w:tc>
          <w:tcPr>
            <w:tcW w:w="4911" w:type="dxa"/>
          </w:tcPr>
          <w:p w:rsidR="006E4E11" w:rsidRPr="002A5AF9" w:rsidRDefault="00CD7FE6">
            <w:pPr>
              <w:pStyle w:val="Avsndare"/>
              <w:framePr w:h="2483" w:wrap="notBeside" w:x="1504"/>
              <w:rPr>
                <w:b/>
                <w:i w:val="0"/>
                <w:sz w:val="22"/>
              </w:rPr>
            </w:pPr>
            <w:r w:rsidRPr="002A5AF9">
              <w:rPr>
                <w:b/>
                <w:i w:val="0"/>
                <w:sz w:val="22"/>
              </w:rPr>
              <w:t>Justitiedepartementet</w:t>
            </w:r>
          </w:p>
        </w:tc>
      </w:tr>
      <w:tr w:rsidR="006E4E11" w:rsidRPr="002A5AF9">
        <w:tblPrEx>
          <w:tblCellMar>
            <w:top w:w="0" w:type="dxa"/>
            <w:bottom w:w="0" w:type="dxa"/>
          </w:tblCellMar>
        </w:tblPrEx>
        <w:trPr>
          <w:trHeight w:val="284"/>
        </w:trPr>
        <w:tc>
          <w:tcPr>
            <w:tcW w:w="4911" w:type="dxa"/>
          </w:tcPr>
          <w:p w:rsidR="006E4E11" w:rsidRPr="002A5AF9" w:rsidRDefault="006E4E11">
            <w:pPr>
              <w:pStyle w:val="Avsndare"/>
              <w:framePr w:h="2483" w:wrap="notBeside" w:x="1504"/>
              <w:rPr>
                <w:bCs/>
                <w:iCs/>
              </w:rPr>
            </w:pPr>
          </w:p>
        </w:tc>
      </w:tr>
      <w:tr w:rsidR="006E4E11" w:rsidRPr="002A5AF9">
        <w:tblPrEx>
          <w:tblCellMar>
            <w:top w:w="0" w:type="dxa"/>
            <w:bottom w:w="0" w:type="dxa"/>
          </w:tblCellMar>
        </w:tblPrEx>
        <w:trPr>
          <w:trHeight w:val="284"/>
        </w:trPr>
        <w:tc>
          <w:tcPr>
            <w:tcW w:w="4911" w:type="dxa"/>
          </w:tcPr>
          <w:p w:rsidR="00504EB4" w:rsidRPr="002A5AF9" w:rsidRDefault="00504EB4">
            <w:pPr>
              <w:pStyle w:val="Avsndare"/>
              <w:framePr w:h="2483" w:wrap="notBeside" w:x="1504"/>
              <w:rPr>
                <w:bCs/>
                <w:iCs/>
              </w:rPr>
            </w:pPr>
            <w:r w:rsidRPr="002A5AF9">
              <w:rPr>
                <w:bCs/>
                <w:iCs/>
              </w:rPr>
              <w:t>Polisenheten</w:t>
            </w:r>
          </w:p>
        </w:tc>
      </w:tr>
      <w:tr w:rsidR="006E4E11" w:rsidRPr="002A5AF9">
        <w:tblPrEx>
          <w:tblCellMar>
            <w:top w:w="0" w:type="dxa"/>
            <w:bottom w:w="0" w:type="dxa"/>
          </w:tblCellMar>
        </w:tblPrEx>
        <w:trPr>
          <w:trHeight w:val="284"/>
        </w:trPr>
        <w:tc>
          <w:tcPr>
            <w:tcW w:w="4911" w:type="dxa"/>
          </w:tcPr>
          <w:p w:rsidR="006E4E11" w:rsidRPr="002A5AF9" w:rsidRDefault="006E4E11">
            <w:pPr>
              <w:pStyle w:val="Avsndare"/>
              <w:framePr w:h="2483" w:wrap="notBeside" w:x="1504"/>
              <w:rPr>
                <w:bCs/>
                <w:iCs/>
              </w:rPr>
            </w:pPr>
          </w:p>
        </w:tc>
      </w:tr>
      <w:tr w:rsidR="006E4E11" w:rsidRPr="002A5AF9">
        <w:tblPrEx>
          <w:tblCellMar>
            <w:top w:w="0" w:type="dxa"/>
            <w:bottom w:w="0" w:type="dxa"/>
          </w:tblCellMar>
        </w:tblPrEx>
        <w:trPr>
          <w:trHeight w:val="284"/>
        </w:trPr>
        <w:tc>
          <w:tcPr>
            <w:tcW w:w="4911" w:type="dxa"/>
          </w:tcPr>
          <w:p w:rsidR="006E4E11" w:rsidRPr="002A5AF9" w:rsidRDefault="006E4E11">
            <w:pPr>
              <w:pStyle w:val="Avsndare"/>
              <w:framePr w:h="2483" w:wrap="notBeside" w:x="1504"/>
              <w:rPr>
                <w:bCs/>
                <w:iCs/>
              </w:rPr>
            </w:pPr>
          </w:p>
        </w:tc>
      </w:tr>
      <w:tr w:rsidR="006E4E11" w:rsidRPr="002A5AF9">
        <w:tblPrEx>
          <w:tblCellMar>
            <w:top w:w="0" w:type="dxa"/>
            <w:bottom w:w="0" w:type="dxa"/>
          </w:tblCellMar>
        </w:tblPrEx>
        <w:trPr>
          <w:trHeight w:val="284"/>
        </w:trPr>
        <w:tc>
          <w:tcPr>
            <w:tcW w:w="4911" w:type="dxa"/>
          </w:tcPr>
          <w:p w:rsidR="006E4E11" w:rsidRPr="002A5AF9" w:rsidRDefault="006E4E11">
            <w:pPr>
              <w:pStyle w:val="Avsndare"/>
              <w:framePr w:h="2483" w:wrap="notBeside" w:x="1504"/>
              <w:rPr>
                <w:bCs/>
                <w:iCs/>
              </w:rPr>
            </w:pPr>
          </w:p>
        </w:tc>
      </w:tr>
      <w:tr w:rsidR="006E4E11" w:rsidRPr="002A5AF9">
        <w:tblPrEx>
          <w:tblCellMar>
            <w:top w:w="0" w:type="dxa"/>
            <w:bottom w:w="0" w:type="dxa"/>
          </w:tblCellMar>
        </w:tblPrEx>
        <w:trPr>
          <w:trHeight w:val="284"/>
        </w:trPr>
        <w:tc>
          <w:tcPr>
            <w:tcW w:w="4911" w:type="dxa"/>
          </w:tcPr>
          <w:p w:rsidR="006E4E11" w:rsidRPr="002A5AF9" w:rsidRDefault="006E4E11">
            <w:pPr>
              <w:pStyle w:val="Avsndare"/>
              <w:framePr w:h="2483" w:wrap="notBeside" w:x="1504"/>
              <w:rPr>
                <w:bCs/>
                <w:iCs/>
              </w:rPr>
            </w:pPr>
          </w:p>
        </w:tc>
      </w:tr>
    </w:tbl>
    <w:p w:rsidR="006E4E11" w:rsidRPr="002A5AF9" w:rsidRDefault="006E4E11">
      <w:pPr>
        <w:framePr w:w="4400" w:h="2523" w:wrap="notBeside" w:vAnchor="page" w:hAnchor="page" w:x="6453" w:y="2445"/>
        <w:ind w:left="142"/>
        <w:rPr>
          <w:b/>
        </w:rPr>
      </w:pPr>
    </w:p>
    <w:p w:rsidR="00CD7FE6" w:rsidRPr="002A5AF9" w:rsidRDefault="00CD7FE6" w:rsidP="00504EB4">
      <w:pPr>
        <w:pStyle w:val="RKrubrik"/>
        <w:pBdr>
          <w:bottom w:val="single" w:sz="6" w:space="1" w:color="auto"/>
        </w:pBdr>
      </w:pPr>
      <w:bookmarkStart w:id="0" w:name="bRubrik"/>
      <w:bookmarkEnd w:id="0"/>
      <w:r w:rsidRPr="002A5AF9">
        <w:t>Rådets möte (</w:t>
      </w:r>
      <w:r w:rsidR="00CA51E9" w:rsidRPr="002A5AF9">
        <w:t>r</w:t>
      </w:r>
      <w:r w:rsidR="00504EB4" w:rsidRPr="002A5AF9">
        <w:t>ättsliga och inrikes frågor</w:t>
      </w:r>
      <w:r w:rsidRPr="002A5AF9">
        <w:t xml:space="preserve">) den </w:t>
      </w:r>
      <w:r w:rsidR="00183430" w:rsidRPr="002A5AF9">
        <w:t>13</w:t>
      </w:r>
      <w:r w:rsidR="00504EB4" w:rsidRPr="002A5AF9">
        <w:t>-</w:t>
      </w:r>
      <w:r w:rsidR="00183430" w:rsidRPr="002A5AF9">
        <w:t>14</w:t>
      </w:r>
      <w:r w:rsidR="00504EB4" w:rsidRPr="002A5AF9">
        <w:t xml:space="preserve"> </w:t>
      </w:r>
      <w:r w:rsidR="00183430" w:rsidRPr="002A5AF9">
        <w:t>december</w:t>
      </w:r>
      <w:r w:rsidR="00504EB4" w:rsidRPr="002A5AF9">
        <w:t xml:space="preserve"> 2011</w:t>
      </w:r>
    </w:p>
    <w:p w:rsidR="00CA51E9" w:rsidRPr="002A5AF9" w:rsidRDefault="00CA51E9">
      <w:pPr>
        <w:pStyle w:val="RKnormal"/>
      </w:pPr>
    </w:p>
    <w:p w:rsidR="00CD7FE6" w:rsidRPr="002A5AF9" w:rsidRDefault="00CD7FE6">
      <w:pPr>
        <w:pStyle w:val="RKnormal"/>
      </w:pPr>
      <w:r w:rsidRPr="002A5AF9">
        <w:t xml:space="preserve">Dagordningspunkt </w:t>
      </w:r>
      <w:r w:rsidR="00183430" w:rsidRPr="002A5AF9">
        <w:t>1</w:t>
      </w:r>
      <w:r w:rsidR="00CA51E9" w:rsidRPr="002A5AF9">
        <w:t>4</w:t>
      </w:r>
    </w:p>
    <w:p w:rsidR="00CD7FE6" w:rsidRPr="002A5AF9" w:rsidRDefault="00CD7FE6">
      <w:pPr>
        <w:pStyle w:val="RKnormal"/>
      </w:pPr>
    </w:p>
    <w:p w:rsidR="00CD7FE6" w:rsidRPr="002A5AF9" w:rsidRDefault="00CD7FE6">
      <w:pPr>
        <w:pStyle w:val="RKnormal"/>
      </w:pPr>
      <w:r w:rsidRPr="002A5AF9">
        <w:t>Rubrik:</w:t>
      </w:r>
      <w:r w:rsidR="00504EB4" w:rsidRPr="002A5AF9">
        <w:t xml:space="preserve"> </w:t>
      </w:r>
      <w:r w:rsidR="00183430" w:rsidRPr="002A5AF9">
        <w:t xml:space="preserve">Undertecknande av </w:t>
      </w:r>
      <w:r w:rsidR="00504EB4" w:rsidRPr="002A5AF9">
        <w:t>PNR-avtal</w:t>
      </w:r>
      <w:r w:rsidR="00183430" w:rsidRPr="002A5AF9">
        <w:t xml:space="preserve"> mellan EU och USA</w:t>
      </w:r>
    </w:p>
    <w:p w:rsidR="00CD7FE6" w:rsidRPr="002A5AF9" w:rsidRDefault="00CD7FE6">
      <w:pPr>
        <w:pStyle w:val="RKnormal"/>
      </w:pPr>
    </w:p>
    <w:p w:rsidR="00CD7FE6" w:rsidRPr="002A5AF9" w:rsidRDefault="00CD7FE6">
      <w:pPr>
        <w:pStyle w:val="RKnormal"/>
      </w:pPr>
      <w:r w:rsidRPr="002A5AF9">
        <w:t>Dokument:</w:t>
      </w:r>
      <w:r w:rsidR="00504EB4" w:rsidRPr="002A5AF9">
        <w:t xml:space="preserve"> </w:t>
      </w:r>
      <w:r w:rsidR="00017D7D" w:rsidRPr="002A5AF9">
        <w:t xml:space="preserve"> </w:t>
      </w:r>
      <w:r w:rsidR="00183430" w:rsidRPr="002A5AF9">
        <w:t>1</w:t>
      </w:r>
      <w:r w:rsidR="0046657C" w:rsidRPr="002A5AF9">
        <w:t>7429</w:t>
      </w:r>
      <w:r w:rsidR="00183430" w:rsidRPr="002A5AF9">
        <w:t>/11 JAI 8</w:t>
      </w:r>
      <w:r w:rsidR="0046657C" w:rsidRPr="002A5AF9">
        <w:t>58</w:t>
      </w:r>
      <w:r w:rsidR="00183430" w:rsidRPr="002A5AF9">
        <w:t xml:space="preserve"> USA </w:t>
      </w:r>
      <w:r w:rsidR="0046657C" w:rsidRPr="002A5AF9">
        <w:t>81</w:t>
      </w:r>
      <w:r w:rsidR="00183430" w:rsidRPr="002A5AF9">
        <w:t xml:space="preserve"> etc.</w:t>
      </w:r>
      <w:r w:rsidR="00CA51E9" w:rsidRPr="002A5AF9">
        <w:t xml:space="preserve"> (bifogas)</w:t>
      </w:r>
    </w:p>
    <w:p w:rsidR="00183430" w:rsidRPr="002A5AF9" w:rsidRDefault="00183430">
      <w:pPr>
        <w:pStyle w:val="RKnormal"/>
      </w:pPr>
    </w:p>
    <w:p w:rsidR="00CD7FE6" w:rsidRPr="002A5AF9" w:rsidRDefault="00CD7FE6">
      <w:pPr>
        <w:pStyle w:val="RKnormal"/>
      </w:pPr>
      <w:r w:rsidRPr="002A5AF9">
        <w:t xml:space="preserve">Tidigare dokument:    </w:t>
      </w:r>
      <w:r w:rsidR="00881AFF" w:rsidRPr="002A5AF9">
        <w:t>F</w:t>
      </w:r>
      <w:r w:rsidRPr="002A5AF9">
        <w:t xml:space="preserve">akta-PM </w:t>
      </w:r>
      <w:r w:rsidR="00017D7D" w:rsidRPr="002A5AF9">
        <w:t>Ju</w:t>
      </w:r>
      <w:r w:rsidRPr="002A5AF9">
        <w:t xml:space="preserve">-dep </w:t>
      </w:r>
      <w:r w:rsidR="005A2C55" w:rsidRPr="002A5AF9">
        <w:t>2010/11:FPM 18</w:t>
      </w:r>
    </w:p>
    <w:p w:rsidR="005A2C55" w:rsidRPr="002A5AF9" w:rsidRDefault="005A2C55">
      <w:pPr>
        <w:pStyle w:val="RKnormal"/>
      </w:pPr>
    </w:p>
    <w:p w:rsidR="00CD7FE6" w:rsidRPr="002A5AF9" w:rsidRDefault="00CD7FE6">
      <w:pPr>
        <w:pStyle w:val="RKnormal"/>
      </w:pPr>
      <w:r w:rsidRPr="002A5AF9">
        <w:t xml:space="preserve">Tidigare behandlad vid samråd med EU-nämnden: </w:t>
      </w:r>
      <w:r w:rsidR="00881AFF" w:rsidRPr="002A5AF9">
        <w:t>26 oktober 2011</w:t>
      </w:r>
    </w:p>
    <w:p w:rsidR="00CD7FE6" w:rsidRPr="002A5AF9" w:rsidRDefault="00CD7FE6">
      <w:pPr>
        <w:pStyle w:val="RKnormal"/>
      </w:pPr>
    </w:p>
    <w:p w:rsidR="00CD7FE6" w:rsidRPr="002A5AF9" w:rsidRDefault="00CD7FE6">
      <w:pPr>
        <w:pStyle w:val="RKnormal"/>
      </w:pPr>
      <w:r w:rsidRPr="002A5AF9">
        <w:t xml:space="preserve">Tidigare behandlad vid överläggning med eller information till riksdagsutskott: </w:t>
      </w:r>
      <w:r w:rsidR="0046657C" w:rsidRPr="002A5AF9">
        <w:t xml:space="preserve">Överläggning med </w:t>
      </w:r>
      <w:r w:rsidR="005A2C55" w:rsidRPr="002A5AF9">
        <w:t>JuU</w:t>
      </w:r>
      <w:r w:rsidR="0046657C" w:rsidRPr="002A5AF9">
        <w:t xml:space="preserve"> den</w:t>
      </w:r>
      <w:r w:rsidR="005A2C55" w:rsidRPr="002A5AF9">
        <w:t xml:space="preserve"> 19 oktober 201</w:t>
      </w:r>
      <w:r w:rsidR="00183430" w:rsidRPr="002A5AF9">
        <w:t>1</w:t>
      </w:r>
    </w:p>
    <w:p w:rsidR="00CD7FE6" w:rsidRPr="002A5AF9" w:rsidRDefault="00CD7FE6">
      <w:pPr>
        <w:pStyle w:val="RKrubrik"/>
      </w:pPr>
      <w:r w:rsidRPr="002A5AF9">
        <w:t>Bakgrund</w:t>
      </w:r>
    </w:p>
    <w:p w:rsidR="00183430" w:rsidRPr="002A5AF9" w:rsidRDefault="00017D7D">
      <w:pPr>
        <w:pStyle w:val="RKnormal"/>
      </w:pPr>
      <w:r w:rsidRPr="002A5AF9">
        <w:t xml:space="preserve">I december 2010 beslutade rådet att ge kommissionen formellt mandat att </w:t>
      </w:r>
      <w:r w:rsidR="00A2773E" w:rsidRPr="002A5AF9">
        <w:t>om</w:t>
      </w:r>
      <w:r w:rsidRPr="002A5AF9">
        <w:t xml:space="preserve">förhandla </w:t>
      </w:r>
      <w:r w:rsidR="00A2773E" w:rsidRPr="002A5AF9">
        <w:t>de</w:t>
      </w:r>
      <w:r w:rsidRPr="002A5AF9">
        <w:t xml:space="preserve"> t</w:t>
      </w:r>
      <w:r w:rsidR="004D756F" w:rsidRPr="002A5AF9">
        <w:t>re</w:t>
      </w:r>
      <w:r w:rsidRPr="002A5AF9">
        <w:t xml:space="preserve"> internationella avtal</w:t>
      </w:r>
      <w:r w:rsidR="00636A60" w:rsidRPr="002A5AF9">
        <w:t>en</w:t>
      </w:r>
      <w:r w:rsidRPr="002A5AF9">
        <w:t xml:space="preserve"> om utbyte av s.k. PNR-uppgifter </w:t>
      </w:r>
      <w:r w:rsidR="0046657C" w:rsidRPr="002A5AF9">
        <w:t xml:space="preserve">(Passenger Name Record) </w:t>
      </w:r>
      <w:r w:rsidRPr="002A5AF9">
        <w:t>med USA</w:t>
      </w:r>
      <w:r w:rsidR="004D756F" w:rsidRPr="002A5AF9">
        <w:t xml:space="preserve">, </w:t>
      </w:r>
      <w:r w:rsidRPr="002A5AF9">
        <w:t>Kanada</w:t>
      </w:r>
      <w:r w:rsidR="00A2773E" w:rsidRPr="002A5AF9">
        <w:t xml:space="preserve"> </w:t>
      </w:r>
      <w:r w:rsidR="004D756F" w:rsidRPr="002A5AF9">
        <w:t xml:space="preserve">och </w:t>
      </w:r>
      <w:r w:rsidR="00A2773E" w:rsidRPr="002A5AF9">
        <w:t>Australien.</w:t>
      </w:r>
      <w:r w:rsidRPr="002A5AF9">
        <w:t xml:space="preserve"> Förhandlingarna med Australien </w:t>
      </w:r>
      <w:r w:rsidR="00183430" w:rsidRPr="002A5AF9">
        <w:t xml:space="preserve">är avslutade och avtalet ingånget. </w:t>
      </w:r>
      <w:r w:rsidRPr="002A5AF9">
        <w:t xml:space="preserve">Beträffande förhandlingarna med Kanada har </w:t>
      </w:r>
      <w:r w:rsidR="00183430" w:rsidRPr="002A5AF9">
        <w:t>ä</w:t>
      </w:r>
      <w:r w:rsidR="006024BF" w:rsidRPr="002A5AF9">
        <w:t xml:space="preserve">nnu ingen </w:t>
      </w:r>
      <w:r w:rsidR="0046657C" w:rsidRPr="002A5AF9">
        <w:t>avtals</w:t>
      </w:r>
      <w:r w:rsidR="006024BF" w:rsidRPr="002A5AF9">
        <w:t xml:space="preserve">text presenterats. </w:t>
      </w:r>
    </w:p>
    <w:p w:rsidR="00183430" w:rsidRPr="002A5AF9" w:rsidRDefault="00183430">
      <w:pPr>
        <w:pStyle w:val="RKnormal"/>
      </w:pPr>
    </w:p>
    <w:p w:rsidR="00183430" w:rsidRPr="002A5AF9" w:rsidRDefault="00183430" w:rsidP="00183430">
      <w:pPr>
        <w:pStyle w:val="RKnormal"/>
      </w:pPr>
      <w:r w:rsidRPr="002A5AF9">
        <w:t>Vad gäller förhandlingarna med USA har förhandlingsa</w:t>
      </w:r>
      <w:r w:rsidR="00CA51E9" w:rsidRPr="002A5AF9">
        <w:t>rbetet avslutats och rådet ska</w:t>
      </w:r>
      <w:r w:rsidRPr="002A5AF9">
        <w:t xml:space="preserve"> nu besluta om undertecknande av avtalet, vilket</w:t>
      </w:r>
      <w:r w:rsidR="00CA51E9" w:rsidRPr="002A5AF9">
        <w:t xml:space="preserve"> ska</w:t>
      </w:r>
      <w:r w:rsidRPr="002A5AF9">
        <w:t xml:space="preserve"> beslutas med minst 2/</w:t>
      </w:r>
      <w:r w:rsidR="00CA51E9" w:rsidRPr="002A5AF9">
        <w:t xml:space="preserve">3-dels majoritet enligt rådets </w:t>
      </w:r>
      <w:r w:rsidRPr="002A5AF9">
        <w:t xml:space="preserve">röstviktningssystem. </w:t>
      </w:r>
    </w:p>
    <w:p w:rsidR="00183430" w:rsidRPr="002A5AF9" w:rsidRDefault="00183430" w:rsidP="00183430">
      <w:pPr>
        <w:pStyle w:val="RKnormal"/>
      </w:pPr>
    </w:p>
    <w:p w:rsidR="00183430" w:rsidRPr="002A5AF9" w:rsidRDefault="00183430" w:rsidP="00183430">
      <w:pPr>
        <w:pStyle w:val="RKnormal"/>
      </w:pPr>
      <w:r w:rsidRPr="002A5AF9">
        <w:t xml:space="preserve">När rådet fattat sitt beslut och parterna undertecknat </w:t>
      </w:r>
      <w:r w:rsidR="0046657C" w:rsidRPr="002A5AF9">
        <w:t>avtalet</w:t>
      </w:r>
      <w:r w:rsidR="00CA51E9" w:rsidRPr="002A5AF9">
        <w:t xml:space="preserve"> ska</w:t>
      </w:r>
      <w:r w:rsidRPr="002A5AF9">
        <w:t xml:space="preserve"> Europaparlamentet ge sitt godkänna</w:t>
      </w:r>
      <w:r w:rsidR="0046657C" w:rsidRPr="002A5AF9">
        <w:t>n</w:t>
      </w:r>
      <w:r w:rsidRPr="002A5AF9">
        <w:t xml:space="preserve">de med </w:t>
      </w:r>
      <w:r w:rsidR="00CA51E9" w:rsidRPr="002A5AF9">
        <w:t xml:space="preserve">enkel majoritet. Därefter ska </w:t>
      </w:r>
      <w:r w:rsidRPr="002A5AF9">
        <w:t xml:space="preserve">avtalet formellt ingås av rådet innan det formellt börjar gälla. </w:t>
      </w:r>
    </w:p>
    <w:p w:rsidR="00183430" w:rsidRPr="002A5AF9" w:rsidRDefault="00183430" w:rsidP="00183430">
      <w:pPr>
        <w:pStyle w:val="RKrubrik"/>
      </w:pPr>
      <w:r w:rsidRPr="002A5AF9">
        <w:t>Rättslig grund och beslutsförfarande</w:t>
      </w:r>
    </w:p>
    <w:p w:rsidR="00183430" w:rsidRPr="002A5AF9" w:rsidRDefault="0046657C" w:rsidP="00183430">
      <w:pPr>
        <w:pStyle w:val="RKnormal"/>
      </w:pPr>
      <w:r w:rsidRPr="002A5AF9">
        <w:t>De straffrättsliga och brottsbekämpande bestämmelserna återfinns i a</w:t>
      </w:r>
      <w:r w:rsidR="00183430" w:rsidRPr="002A5AF9">
        <w:t xml:space="preserve">rtiklarna 82.1 d och 87.2 a </w:t>
      </w:r>
      <w:r w:rsidRPr="002A5AF9">
        <w:t xml:space="preserve">i EUF-fördraget. Bestämmelserna om att anta avtalet finns i </w:t>
      </w:r>
      <w:r w:rsidR="00183430" w:rsidRPr="002A5AF9">
        <w:t>artik</w:t>
      </w:r>
      <w:r w:rsidRPr="002A5AF9">
        <w:t xml:space="preserve">larna </w:t>
      </w:r>
      <w:r w:rsidR="00183430" w:rsidRPr="002A5AF9">
        <w:t>218.5 och 218.6 a</w:t>
      </w:r>
      <w:r w:rsidR="00194A0D" w:rsidRPr="002A5AF9">
        <w:t xml:space="preserve"> i EUF-fördraget.</w:t>
      </w:r>
      <w:r w:rsidRPr="002A5AF9">
        <w:t xml:space="preserve"> Det ordinarie lagstiftningsförfarandet tillämpas, vilket innebär att både rådets och Europaparla</w:t>
      </w:r>
      <w:r w:rsidRPr="002A5AF9">
        <w:lastRenderedPageBreak/>
        <w:t>mentets godkännande krävs. Rådet fattar beslut med k</w:t>
      </w:r>
      <w:r w:rsidR="00183430" w:rsidRPr="002A5AF9">
        <w:t>valificerad majoritet</w:t>
      </w:r>
      <w:r w:rsidRPr="002A5AF9">
        <w:t xml:space="preserve"> och Europaparlamentet med enkel majoritet. </w:t>
      </w:r>
    </w:p>
    <w:p w:rsidR="00183430" w:rsidRPr="002A5AF9" w:rsidRDefault="00183430" w:rsidP="00183430">
      <w:pPr>
        <w:pStyle w:val="RKrubrik"/>
        <w:rPr>
          <w:i/>
          <w:iCs/>
        </w:rPr>
      </w:pPr>
      <w:r w:rsidRPr="002A5AF9">
        <w:rPr>
          <w:i/>
          <w:iCs/>
        </w:rPr>
        <w:t>Svensk ståndpunkt</w:t>
      </w:r>
    </w:p>
    <w:p w:rsidR="00183430" w:rsidRPr="002A5AF9" w:rsidRDefault="00183430" w:rsidP="00183430">
      <w:pPr>
        <w:pStyle w:val="RKnormal"/>
      </w:pPr>
      <w:r w:rsidRPr="002A5AF9">
        <w:t>S</w:t>
      </w:r>
      <w:r w:rsidR="0046657C" w:rsidRPr="002A5AF9">
        <w:t xml:space="preserve">verige </w:t>
      </w:r>
      <w:r w:rsidRPr="002A5AF9">
        <w:t xml:space="preserve">välkomnar att kommissionen fört förhandlingarna </w:t>
      </w:r>
      <w:r w:rsidR="0046657C" w:rsidRPr="002A5AF9">
        <w:t xml:space="preserve">om ett avtal mellan EU och USA om utbyte av passageraruppgifter </w:t>
      </w:r>
      <w:r w:rsidRPr="002A5AF9">
        <w:t xml:space="preserve">till ett avslut så att avtalet nu kan antas av rådet. </w:t>
      </w:r>
    </w:p>
    <w:p w:rsidR="00183430" w:rsidRPr="002A5AF9" w:rsidRDefault="00183430" w:rsidP="00183430">
      <w:pPr>
        <w:pStyle w:val="RKnormal"/>
      </w:pPr>
    </w:p>
    <w:p w:rsidR="00183430" w:rsidRPr="002A5AF9" w:rsidRDefault="00183430" w:rsidP="00183430">
      <w:pPr>
        <w:pStyle w:val="RKnormal"/>
      </w:pPr>
      <w:r w:rsidRPr="002A5AF9">
        <w:t>S</w:t>
      </w:r>
      <w:r w:rsidR="0046657C" w:rsidRPr="002A5AF9">
        <w:t xml:space="preserve">verige </w:t>
      </w:r>
      <w:r w:rsidRPr="002A5AF9">
        <w:t>anser att översändande, lagring och tillgång till PNR-uppgifter innebär ett intrång i den personliga integriteten som måste vägas mot behovet av tillgång till PNR-uppgifter för att kunna bekämpa grova brott, inklusive terrorism. S</w:t>
      </w:r>
      <w:r w:rsidR="0046657C" w:rsidRPr="002A5AF9">
        <w:t xml:space="preserve">verige </w:t>
      </w:r>
      <w:r w:rsidRPr="002A5AF9">
        <w:t xml:space="preserve">hade föredragit en kortare </w:t>
      </w:r>
      <w:r w:rsidR="00194A0D" w:rsidRPr="002A5AF9">
        <w:t>lagrings</w:t>
      </w:r>
      <w:r w:rsidRPr="002A5AF9">
        <w:t xml:space="preserve">tid </w:t>
      </w:r>
      <w:r w:rsidR="0046657C" w:rsidRPr="002A5AF9">
        <w:t xml:space="preserve">för persondata </w:t>
      </w:r>
      <w:r w:rsidRPr="002A5AF9">
        <w:t>men är samtidigt angeläge</w:t>
      </w:r>
      <w:r w:rsidR="00D03725" w:rsidRPr="002A5AF9">
        <w:t>t</w:t>
      </w:r>
      <w:r w:rsidRPr="002A5AF9">
        <w:t xml:space="preserve"> om att ett avtal kommer till stånd så snart som möjligt. </w:t>
      </w:r>
      <w:r w:rsidR="00FF6724" w:rsidRPr="002A5AF9">
        <w:t>Med</w:t>
      </w:r>
      <w:r w:rsidRPr="002A5AF9">
        <w:t xml:space="preserve"> beaktande av översynsklausulen kan S</w:t>
      </w:r>
      <w:r w:rsidR="0046657C" w:rsidRPr="002A5AF9">
        <w:t>verige</w:t>
      </w:r>
      <w:r w:rsidRPr="002A5AF9">
        <w:t xml:space="preserve"> godta avtalstexten i dess nuvarande utformning.</w:t>
      </w:r>
    </w:p>
    <w:p w:rsidR="00183430" w:rsidRPr="002A5AF9" w:rsidRDefault="00183430" w:rsidP="00183430">
      <w:pPr>
        <w:pStyle w:val="RKrubrik"/>
      </w:pPr>
      <w:r w:rsidRPr="002A5AF9">
        <w:t>Europaparlamentets inställning</w:t>
      </w:r>
    </w:p>
    <w:p w:rsidR="00183430" w:rsidRPr="002A5AF9" w:rsidRDefault="00183430" w:rsidP="00183430">
      <w:pPr>
        <w:pStyle w:val="RKnormal"/>
      </w:pPr>
      <w:r w:rsidRPr="002A5AF9">
        <w:t xml:space="preserve">Europaparlamentet har tidigare bland annat uttryckt att lagringstiden i EU-USA-avtalet är lång och därför behöver övervägas ytterligare. </w:t>
      </w:r>
    </w:p>
    <w:p w:rsidR="00183430" w:rsidRPr="002A5AF9" w:rsidRDefault="00183430" w:rsidP="00183430">
      <w:pPr>
        <w:pStyle w:val="RKrubrik"/>
        <w:rPr>
          <w:i/>
          <w:iCs/>
        </w:rPr>
      </w:pPr>
      <w:r w:rsidRPr="002A5AF9">
        <w:rPr>
          <w:i/>
          <w:iCs/>
        </w:rPr>
        <w:t>Förslaget</w:t>
      </w:r>
    </w:p>
    <w:p w:rsidR="00183430" w:rsidRPr="002A5AF9" w:rsidRDefault="00183430" w:rsidP="00183430">
      <w:pPr>
        <w:pStyle w:val="RKnormal"/>
      </w:pPr>
      <w:r w:rsidRPr="002A5AF9">
        <w:t xml:space="preserve">Avtalet har sin grund i tidigare existerande avtal mellan EU och USA som nu löpt ut. I huvudsak innehåller avtalstexten detaljerade bestämmelser om bland annat syfte, tillämpningsområde, insamlande, lagring, användning av uppgifter och vidaresändning av data till tredje land. Även dataskydds-, datasäkerhets- och integritetsaspekter samt den enskildes rättigheter att ta del av uppgifter behandlas ingående. </w:t>
      </w:r>
    </w:p>
    <w:p w:rsidR="00183430" w:rsidRPr="002A5AF9" w:rsidRDefault="00183430" w:rsidP="00183430">
      <w:pPr>
        <w:pStyle w:val="RKnormal"/>
      </w:pPr>
    </w:p>
    <w:p w:rsidR="00D03725" w:rsidRPr="002A5AF9" w:rsidRDefault="00183430" w:rsidP="00183430">
      <w:pPr>
        <w:pStyle w:val="RKnormal"/>
      </w:pPr>
      <w:r w:rsidRPr="002A5AF9">
        <w:t xml:space="preserve">Kommissionen har förhandlat avtalet för EU:s räkning och har under arbetets gång informerat Europaparlamentet och rådet om hur förhandlingarna fortskridit. </w:t>
      </w:r>
    </w:p>
    <w:p w:rsidR="00D03725" w:rsidRPr="002A5AF9" w:rsidRDefault="00D03725" w:rsidP="00183430">
      <w:pPr>
        <w:pStyle w:val="RKnormal"/>
      </w:pPr>
    </w:p>
    <w:p w:rsidR="00183430" w:rsidRPr="002A5AF9" w:rsidRDefault="00183430" w:rsidP="00183430">
      <w:pPr>
        <w:pStyle w:val="RKnormal"/>
      </w:pPr>
      <w:r w:rsidRPr="002A5AF9">
        <w:t>Uppgifter som överlämnats av flygbolagen får sparas och användas endast för utredning av grova brott (minst tre års fängelse i straffskalan). Lagringstiden för d</w:t>
      </w:r>
      <w:r w:rsidR="00D6067D" w:rsidRPr="002A5AF9">
        <w:t xml:space="preserve">ata är 5 år i en aktiv databas </w:t>
      </w:r>
      <w:r w:rsidRPr="002A5AF9">
        <w:t xml:space="preserve">och därefter ytterligare maximalt 5 år i en </w:t>
      </w:r>
      <w:r w:rsidR="0046657C" w:rsidRPr="002A5AF9">
        <w:t>maskerad</w:t>
      </w:r>
      <w:r w:rsidRPr="002A5AF9">
        <w:t xml:space="preserve"> databas, för vilken gäller högre åtkomstkrav. PNR-uppgifter som ska användas för utredning av terroristbrott får sparas i ytterligare maximalt 5 år i den </w:t>
      </w:r>
      <w:r w:rsidR="0046657C" w:rsidRPr="002A5AF9">
        <w:t>maskerade</w:t>
      </w:r>
      <w:r w:rsidRPr="002A5AF9">
        <w:t xml:space="preserve"> databasen.</w:t>
      </w:r>
    </w:p>
    <w:p w:rsidR="00183430" w:rsidRPr="002A5AF9" w:rsidRDefault="00183430" w:rsidP="00183430">
      <w:pPr>
        <w:pStyle w:val="RKnormal"/>
      </w:pPr>
    </w:p>
    <w:p w:rsidR="0046657C" w:rsidRPr="002A5AF9" w:rsidRDefault="0046657C" w:rsidP="0046657C">
      <w:pPr>
        <w:pStyle w:val="RKnormal"/>
      </w:pPr>
      <w:r w:rsidRPr="002A5AF9">
        <w:t>Den aktiva databasen innehåller personuppgifter som är tillgängliga för sökning av behöriga myndigheters tjänstemän. Personuppgifterna i den maskerade databasen är inte längre läsbara vid normal sökning och får endast avmaskeras vid behov av utredning av särskilt grova brott, t.ex. terroristbrott.</w:t>
      </w:r>
    </w:p>
    <w:p w:rsidR="00485BBB" w:rsidRPr="002A5AF9" w:rsidRDefault="00485BBB" w:rsidP="0046657C">
      <w:pPr>
        <w:pStyle w:val="RKnormal"/>
      </w:pPr>
    </w:p>
    <w:p w:rsidR="00485BBB" w:rsidRPr="002A5AF9" w:rsidRDefault="00485BBB" w:rsidP="0046657C">
      <w:pPr>
        <w:pStyle w:val="RKnormal"/>
      </w:pPr>
      <w:r w:rsidRPr="002A5AF9">
        <w:t>Avtalsparterna föreslås gemensamt se över genomförandet av detta avtal ett år efter dess ikraftträdande och därefter med jämna mellanrum enligt en gemensam överenskommelse. Parterna ska gemensamt utvärdera avtalet fyra år efter dess ikraftträdande.</w:t>
      </w:r>
    </w:p>
    <w:p w:rsidR="0046657C" w:rsidRPr="002A5AF9" w:rsidRDefault="0046657C" w:rsidP="00183430">
      <w:pPr>
        <w:pStyle w:val="RKnormal"/>
      </w:pPr>
    </w:p>
    <w:p w:rsidR="00183430" w:rsidRPr="002A5AF9" w:rsidRDefault="00183430" w:rsidP="00183430">
      <w:pPr>
        <w:pStyle w:val="RKrubrik"/>
        <w:rPr>
          <w:i/>
          <w:iCs/>
        </w:rPr>
      </w:pPr>
      <w:r w:rsidRPr="002A5AF9">
        <w:rPr>
          <w:i/>
          <w:iCs/>
        </w:rPr>
        <w:t>Gällande svenska regler och förslagets effekter på dessa</w:t>
      </w:r>
    </w:p>
    <w:p w:rsidR="00183430" w:rsidRPr="002A5AF9" w:rsidRDefault="00183430" w:rsidP="00183430">
      <w:pPr>
        <w:pStyle w:val="RKnormal"/>
      </w:pPr>
      <w:r w:rsidRPr="002A5AF9">
        <w:t>PNR-avtal me</w:t>
      </w:r>
      <w:r w:rsidR="007C7461" w:rsidRPr="002A5AF9">
        <w:t xml:space="preserve">llan EU och </w:t>
      </w:r>
      <w:r w:rsidRPr="002A5AF9">
        <w:t>USA har varit i kraft sedan flera år. De</w:t>
      </w:r>
      <w:r w:rsidR="007C7461" w:rsidRPr="002A5AF9">
        <w:t>t</w:t>
      </w:r>
      <w:r w:rsidRPr="002A5AF9">
        <w:t xml:space="preserve"> omförhandlade avtale</w:t>
      </w:r>
      <w:r w:rsidR="007C7461" w:rsidRPr="002A5AF9">
        <w:t>t</w:t>
      </w:r>
      <w:r w:rsidRPr="002A5AF9">
        <w:t xml:space="preserve"> ger inte någon ny påverkan på svenska regler.</w:t>
      </w:r>
    </w:p>
    <w:p w:rsidR="00183430" w:rsidRPr="002A5AF9" w:rsidRDefault="00183430" w:rsidP="00183430">
      <w:pPr>
        <w:pStyle w:val="RKrubrik"/>
      </w:pPr>
      <w:r w:rsidRPr="002A5AF9">
        <w:t>Ekonomiska konsekvenser</w:t>
      </w:r>
    </w:p>
    <w:p w:rsidR="00183430" w:rsidRPr="002A5AF9" w:rsidRDefault="00183430" w:rsidP="00183430">
      <w:pPr>
        <w:pStyle w:val="RKnormal"/>
      </w:pPr>
      <w:r w:rsidRPr="002A5AF9">
        <w:t>Avtale</w:t>
      </w:r>
      <w:r w:rsidR="007C7461" w:rsidRPr="002A5AF9">
        <w:t>t</w:t>
      </w:r>
      <w:r w:rsidRPr="002A5AF9">
        <w:t xml:space="preserve"> är </w:t>
      </w:r>
      <w:r w:rsidR="007C7461" w:rsidRPr="002A5AF9">
        <w:t xml:space="preserve">en </w:t>
      </w:r>
      <w:r w:rsidRPr="002A5AF9">
        <w:t xml:space="preserve">förlängning och vidareutveckling av </w:t>
      </w:r>
      <w:r w:rsidR="007C7461" w:rsidRPr="002A5AF9">
        <w:t xml:space="preserve">tidigare </w:t>
      </w:r>
      <w:r w:rsidRPr="002A5AF9">
        <w:t xml:space="preserve">existerande avtal och medför därför inte några ekonomiska konsekvenser för Sverige eller för EU. </w:t>
      </w:r>
    </w:p>
    <w:p w:rsidR="00183430" w:rsidRPr="002A5AF9" w:rsidRDefault="00183430" w:rsidP="00183430">
      <w:pPr>
        <w:pStyle w:val="RKrubrik"/>
      </w:pPr>
      <w:r w:rsidRPr="002A5AF9">
        <w:t>Övrigt</w:t>
      </w:r>
    </w:p>
    <w:p w:rsidR="006E4E11" w:rsidRPr="002A5AF9" w:rsidRDefault="006E4E11">
      <w:pPr>
        <w:pStyle w:val="RKrubrik"/>
        <w:spacing w:before="0" w:after="0"/>
      </w:pPr>
    </w:p>
    <w:p w:rsidR="006E4E11" w:rsidRPr="002A5AF9" w:rsidRDefault="006E4E11">
      <w:pPr>
        <w:pStyle w:val="RKnormal"/>
      </w:pPr>
    </w:p>
    <w:p w:rsidR="00CD7FE6" w:rsidRPr="002A5AF9" w:rsidRDefault="00CD7FE6">
      <w:pPr>
        <w:pStyle w:val="RKnormal"/>
      </w:pPr>
    </w:p>
    <w:sectPr w:rsidR="00CD7FE6" w:rsidRPr="002A5AF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627" w:rsidRPr="002A5AF9" w:rsidRDefault="00241627">
      <w:r w:rsidRPr="002A5AF9">
        <w:separator/>
      </w:r>
    </w:p>
  </w:endnote>
  <w:endnote w:type="continuationSeparator" w:id="0">
    <w:p w:rsidR="00241627" w:rsidRPr="002A5AF9" w:rsidRDefault="00241627">
      <w:r w:rsidRPr="002A5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627" w:rsidRPr="002A5AF9" w:rsidRDefault="00241627">
      <w:r w:rsidRPr="002A5AF9">
        <w:separator/>
      </w:r>
    </w:p>
  </w:footnote>
  <w:footnote w:type="continuationSeparator" w:id="0">
    <w:p w:rsidR="00241627" w:rsidRPr="002A5AF9" w:rsidRDefault="00241627">
      <w:r w:rsidRPr="002A5A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A0D" w:rsidRPr="002A5AF9" w:rsidRDefault="00194A0D">
    <w:pPr>
      <w:pStyle w:val="Sidhuvud"/>
      <w:framePr w:wrap="around" w:vAnchor="text" w:hAnchor="margin" w:xAlign="right" w:y="1"/>
      <w:rPr>
        <w:rStyle w:val="Sidnummer"/>
      </w:rPr>
    </w:pPr>
    <w:r w:rsidRPr="002A5AF9">
      <w:rPr>
        <w:rStyle w:val="Sidnummer"/>
      </w:rPr>
      <w:fldChar w:fldCharType="begin" w:fldLock="1"/>
    </w:r>
    <w:r w:rsidRPr="002A5AF9">
      <w:rPr>
        <w:rStyle w:val="Sidnummer"/>
      </w:rPr>
      <w:instrText xml:space="preserve">PAGE  </w:instrText>
    </w:r>
    <w:r w:rsidRPr="002A5AF9">
      <w:rPr>
        <w:rStyle w:val="Sidnummer"/>
      </w:rPr>
      <w:fldChar w:fldCharType="separate"/>
    </w:r>
    <w:r w:rsidR="00F57100" w:rsidRPr="002A5AF9">
      <w:rPr>
        <w:rStyle w:val="Sidnummer"/>
      </w:rPr>
      <w:t>2</w:t>
    </w:r>
    <w:r w:rsidRPr="002A5A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94A0D" w:rsidRPr="002A5AF9">
      <w:tblPrEx>
        <w:tblCellMar>
          <w:top w:w="0" w:type="dxa"/>
          <w:bottom w:w="0" w:type="dxa"/>
        </w:tblCellMar>
      </w:tblPrEx>
      <w:trPr>
        <w:cantSplit/>
      </w:trPr>
      <w:tc>
        <w:tcPr>
          <w:tcW w:w="3119" w:type="dxa"/>
        </w:tcPr>
        <w:p w:rsidR="00194A0D" w:rsidRPr="002A5AF9" w:rsidRDefault="00194A0D">
          <w:pPr>
            <w:pStyle w:val="Sidhuvud"/>
            <w:spacing w:line="200" w:lineRule="atLeast"/>
            <w:ind w:right="357"/>
            <w:rPr>
              <w:rFonts w:ascii="TradeGothic" w:hAnsi="TradeGothic"/>
              <w:b/>
              <w:bCs/>
              <w:sz w:val="16"/>
            </w:rPr>
          </w:pPr>
        </w:p>
      </w:tc>
      <w:tc>
        <w:tcPr>
          <w:tcW w:w="4111" w:type="dxa"/>
          <w:tcMar>
            <w:left w:w="567" w:type="dxa"/>
          </w:tcMar>
        </w:tcPr>
        <w:p w:rsidR="00194A0D" w:rsidRPr="002A5AF9" w:rsidRDefault="00194A0D">
          <w:pPr>
            <w:pStyle w:val="Sidhuvud"/>
            <w:ind w:right="360"/>
          </w:pPr>
        </w:p>
      </w:tc>
      <w:tc>
        <w:tcPr>
          <w:tcW w:w="1525" w:type="dxa"/>
        </w:tcPr>
        <w:p w:rsidR="00194A0D" w:rsidRPr="002A5AF9" w:rsidRDefault="00194A0D">
          <w:pPr>
            <w:pStyle w:val="Sidhuvud"/>
            <w:ind w:right="360"/>
          </w:pPr>
        </w:p>
      </w:tc>
    </w:tr>
  </w:tbl>
  <w:p w:rsidR="00194A0D" w:rsidRPr="002A5AF9" w:rsidRDefault="00194A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A0D" w:rsidRPr="002A5AF9" w:rsidRDefault="00194A0D">
    <w:pPr>
      <w:pStyle w:val="Sidhuvud"/>
      <w:framePr w:wrap="around" w:vAnchor="text" w:hAnchor="margin" w:xAlign="right" w:y="1"/>
      <w:rPr>
        <w:rStyle w:val="Sidnummer"/>
      </w:rPr>
    </w:pPr>
    <w:r w:rsidRPr="002A5AF9">
      <w:rPr>
        <w:rStyle w:val="Sidnummer"/>
      </w:rPr>
      <w:fldChar w:fldCharType="begin" w:fldLock="1"/>
    </w:r>
    <w:r w:rsidRPr="002A5AF9">
      <w:rPr>
        <w:rStyle w:val="Sidnummer"/>
      </w:rPr>
      <w:instrText xml:space="preserve">PAGE  </w:instrText>
    </w:r>
    <w:r w:rsidRPr="002A5AF9">
      <w:rPr>
        <w:rStyle w:val="Sidnummer"/>
      </w:rPr>
      <w:fldChar w:fldCharType="separate"/>
    </w:r>
    <w:r w:rsidR="00F57100" w:rsidRPr="002A5AF9">
      <w:rPr>
        <w:rStyle w:val="Sidnummer"/>
      </w:rPr>
      <w:t>3</w:t>
    </w:r>
    <w:r w:rsidRPr="002A5A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94A0D" w:rsidRPr="002A5AF9">
      <w:tblPrEx>
        <w:tblCellMar>
          <w:top w:w="0" w:type="dxa"/>
          <w:bottom w:w="0" w:type="dxa"/>
        </w:tblCellMar>
      </w:tblPrEx>
      <w:trPr>
        <w:cantSplit/>
      </w:trPr>
      <w:tc>
        <w:tcPr>
          <w:tcW w:w="3119" w:type="dxa"/>
        </w:tcPr>
        <w:p w:rsidR="00194A0D" w:rsidRPr="002A5AF9" w:rsidRDefault="00194A0D">
          <w:pPr>
            <w:pStyle w:val="Sidhuvud"/>
            <w:spacing w:line="200" w:lineRule="atLeast"/>
            <w:ind w:right="357"/>
            <w:rPr>
              <w:rFonts w:ascii="TradeGothic" w:hAnsi="TradeGothic"/>
              <w:b/>
              <w:bCs/>
              <w:sz w:val="16"/>
            </w:rPr>
          </w:pPr>
        </w:p>
      </w:tc>
      <w:tc>
        <w:tcPr>
          <w:tcW w:w="4111" w:type="dxa"/>
          <w:tcMar>
            <w:left w:w="567" w:type="dxa"/>
          </w:tcMar>
        </w:tcPr>
        <w:p w:rsidR="00194A0D" w:rsidRPr="002A5AF9" w:rsidRDefault="00194A0D">
          <w:pPr>
            <w:pStyle w:val="Sidhuvud"/>
            <w:ind w:right="360"/>
          </w:pPr>
        </w:p>
      </w:tc>
      <w:tc>
        <w:tcPr>
          <w:tcW w:w="1525" w:type="dxa"/>
        </w:tcPr>
        <w:p w:rsidR="00194A0D" w:rsidRPr="002A5AF9" w:rsidRDefault="00194A0D">
          <w:pPr>
            <w:pStyle w:val="Sidhuvud"/>
            <w:ind w:right="360"/>
          </w:pPr>
        </w:p>
      </w:tc>
    </w:tr>
  </w:tbl>
  <w:p w:rsidR="00194A0D" w:rsidRPr="002A5AF9" w:rsidRDefault="00194A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A0D" w:rsidRPr="002A5AF9" w:rsidRDefault="002A5AF9">
    <w:pPr>
      <w:framePr w:w="2948" w:h="1321" w:hRule="exact" w:wrap="notBeside" w:vAnchor="page" w:hAnchor="page" w:x="1362" w:y="653"/>
    </w:pPr>
    <w:r w:rsidRPr="002A5AF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94A0D" w:rsidRPr="002A5AF9" w:rsidRDefault="00194A0D">
    <w:pPr>
      <w:pStyle w:val="RKrubrik"/>
      <w:keepNext w:val="0"/>
      <w:tabs>
        <w:tab w:val="clear" w:pos="1134"/>
        <w:tab w:val="clear" w:pos="2835"/>
      </w:tabs>
      <w:spacing w:before="0" w:after="0" w:line="320" w:lineRule="atLeast"/>
      <w:rPr>
        <w:bCs/>
      </w:rPr>
    </w:pPr>
  </w:p>
  <w:p w:rsidR="00194A0D" w:rsidRPr="002A5AF9" w:rsidRDefault="00194A0D">
    <w:pPr>
      <w:rPr>
        <w:rFonts w:ascii="TradeGothic" w:hAnsi="TradeGothic"/>
        <w:b/>
        <w:bCs/>
        <w:spacing w:val="12"/>
        <w:sz w:val="22"/>
      </w:rPr>
    </w:pPr>
  </w:p>
  <w:p w:rsidR="00194A0D" w:rsidRPr="002A5AF9" w:rsidRDefault="00194A0D">
    <w:pPr>
      <w:pStyle w:val="RKrubrik"/>
      <w:keepNext w:val="0"/>
      <w:tabs>
        <w:tab w:val="clear" w:pos="1134"/>
        <w:tab w:val="clear" w:pos="2835"/>
      </w:tabs>
      <w:spacing w:before="0" w:after="0" w:line="320" w:lineRule="atLeast"/>
      <w:rPr>
        <w:bCs/>
      </w:rPr>
    </w:pPr>
  </w:p>
  <w:p w:rsidR="00194A0D" w:rsidRPr="002A5AF9" w:rsidRDefault="00194A0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E36A1"/>
    <w:rsid w:val="00150384"/>
    <w:rsid w:val="001805B7"/>
    <w:rsid w:val="00183430"/>
    <w:rsid w:val="00194A0D"/>
    <w:rsid w:val="00241627"/>
    <w:rsid w:val="002A5AF9"/>
    <w:rsid w:val="003D7C2E"/>
    <w:rsid w:val="003F0EBC"/>
    <w:rsid w:val="003F438A"/>
    <w:rsid w:val="0046657C"/>
    <w:rsid w:val="00485BBB"/>
    <w:rsid w:val="004A328D"/>
    <w:rsid w:val="004D756F"/>
    <w:rsid w:val="00504EB4"/>
    <w:rsid w:val="0058762B"/>
    <w:rsid w:val="005A2C55"/>
    <w:rsid w:val="006024BF"/>
    <w:rsid w:val="00636A60"/>
    <w:rsid w:val="006E4E11"/>
    <w:rsid w:val="00713EF5"/>
    <w:rsid w:val="007242A3"/>
    <w:rsid w:val="007606B4"/>
    <w:rsid w:val="007A6855"/>
    <w:rsid w:val="007C7461"/>
    <w:rsid w:val="00881AFF"/>
    <w:rsid w:val="009D5C51"/>
    <w:rsid w:val="00A2773E"/>
    <w:rsid w:val="00AD579C"/>
    <w:rsid w:val="00BD75C1"/>
    <w:rsid w:val="00CA51E9"/>
    <w:rsid w:val="00CD7FE6"/>
    <w:rsid w:val="00D03725"/>
    <w:rsid w:val="00D133D7"/>
    <w:rsid w:val="00D507D0"/>
    <w:rsid w:val="00D6067D"/>
    <w:rsid w:val="00DE39AD"/>
    <w:rsid w:val="00EC25F9"/>
    <w:rsid w:val="00ED583F"/>
    <w:rsid w:val="00F57100"/>
    <w:rsid w:val="00FF67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FA1DD-3BF7-42A9-9A9A-E8D0061A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3901</Characters>
  <Application>Microsoft Office Word</Application>
  <DocSecurity>4</DocSecurity>
  <Lines>108</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2011-12-02T12:48:00Z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