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7A095EABF8C4E3E841BED2C8B05F24E"/>
        </w:placeholder>
        <w15:appearance w15:val="hidden"/>
        <w:text/>
      </w:sdtPr>
      <w:sdtEndPr/>
      <w:sdtContent>
        <w:p w:rsidRPr="009B062B" w:rsidR="00AF30DD" w:rsidP="00DA28CE" w:rsidRDefault="00AF30DD" w14:paraId="12EB6F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705486-f7a7-4f11-b1a7-b42bf1f3845d"/>
        <w:id w:val="-1139566577"/>
        <w:lock w:val="sdtLocked"/>
      </w:sdtPr>
      <w:sdtEndPr/>
      <w:sdtContent>
        <w:p w:rsidR="002334F9" w:rsidP="0084577D" w:rsidRDefault="00C62CFF" w14:paraId="7E80DAAD" w14:textId="242024A5">
          <w:pPr>
            <w:pStyle w:val="Frslagstext"/>
          </w:pPr>
          <w:r>
            <w:t xml:space="preserve">Riksdagen </w:t>
          </w:r>
          <w:r w:rsidRPr="0084577D" w:rsidR="0084577D">
            <w:t>antar regeringens förslag med de ändringar i förslaget till lag om ändring i skyddslagen (2010:305) som följer av motionen</w:t>
          </w:r>
          <w:r>
            <w:t>.</w:t>
          </w:r>
        </w:p>
      </w:sdtContent>
    </w:sdt>
    <w:sdt>
      <w:sdtPr>
        <w:alias w:val="Yrkande 2"/>
        <w:tag w:val="2c074951-205d-4ebd-8576-432a07d0baa8"/>
        <w:id w:val="1973102402"/>
        <w:lock w:val="sdtLocked"/>
      </w:sdtPr>
      <w:sdtEndPr/>
      <w:sdtContent>
        <w:p w:rsidR="002334F9" w:rsidRDefault="00C62CFF" w14:paraId="64C6D45F" w14:textId="77777777">
          <w:pPr>
            <w:pStyle w:val="Frslagstext"/>
          </w:pPr>
          <w:r>
            <w:t>Riksdagen ställer sig bakom det som anförs i motionen om kriminalisering av förberedelse, försök samt stämpling till obehörigt tillträde till skyddsobjekt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2EBA9FDD504CB4A9F8EECCA706F304"/>
        </w:placeholder>
        <w15:appearance w15:val="hidden"/>
        <w:text/>
      </w:sdtPr>
      <w:sdtEndPr/>
      <w:sdtContent>
        <w:p w:rsidRPr="005F092A" w:rsidR="006D79C9" w:rsidP="005F092A" w:rsidRDefault="005F092A" w14:paraId="2F397E95" w14:textId="66D515E1">
          <w:pPr>
            <w:pStyle w:val="Rubrik1"/>
          </w:pPr>
          <w:r w:rsidRPr="005F092A">
            <w:t>Förslag till lag om ändring i skyddslagen (2010:305)</w:t>
          </w:r>
        </w:p>
      </w:sdtContent>
    </w:sdt>
    <w:p w:rsidR="00B434CE" w:rsidP="005F092A" w:rsidRDefault="00B434CE" w14:paraId="49846F3E" w14:textId="32EA5EAF">
      <w:pPr>
        <w:pStyle w:val="Normalutanindragellerluft"/>
      </w:pPr>
      <w:r w:rsidRPr="008F12A4">
        <w:t>Härigenom föreskrivs i fråga om skyddslagen (2010:305)</w:t>
      </w:r>
      <w:r w:rsidR="005F092A">
        <w:t xml:space="preserve"> </w:t>
      </w:r>
      <w:r>
        <w:t>att 30 § ska ha följande lydelse,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B434CE" w:rsidTr="00B434CE" w14:paraId="0BF89B63" w14:textId="77777777">
        <w:tc>
          <w:tcPr>
            <w:tcW w:w="4252" w:type="dxa"/>
            <w:shd w:val="clear" w:color="auto" w:fill="auto"/>
          </w:tcPr>
          <w:p w:rsidRPr="00B434CE" w:rsidR="00B434CE" w:rsidP="00B434CE" w:rsidRDefault="00B434CE" w14:paraId="78AC6CCB" w14:textId="77777777">
            <w:pPr>
              <w:pStyle w:val="Lagtextrubrik"/>
            </w:pPr>
            <w:r w:rsidRPr="00B434CE">
              <w:t>Nuvarande lydelse</w:t>
            </w:r>
          </w:p>
        </w:tc>
        <w:tc>
          <w:tcPr>
            <w:tcW w:w="4252" w:type="dxa"/>
            <w:shd w:val="clear" w:color="auto" w:fill="auto"/>
          </w:tcPr>
          <w:p w:rsidRPr="00B434CE" w:rsidR="00B434CE" w:rsidP="00B434CE" w:rsidRDefault="00B434CE" w14:paraId="09D6AEB2" w14:textId="77777777">
            <w:pPr>
              <w:pStyle w:val="Lagtextrubrik"/>
            </w:pPr>
            <w:r w:rsidRPr="00B434CE">
              <w:t>Föreslagen lydelse</w:t>
            </w:r>
          </w:p>
        </w:tc>
      </w:tr>
      <w:tr w:rsidR="00B434CE" w:rsidTr="00B434CE" w14:paraId="6E91576C" w14:textId="77777777">
        <w:tc>
          <w:tcPr>
            <w:tcW w:w="425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4036"/>
            </w:tblGrid>
            <w:tr w:rsidRPr="00B434CE" w:rsidR="00B434CE" w:rsidTr="002B6989" w14:paraId="22F7F77D" w14:textId="77777777">
              <w:trPr>
                <w:trHeight w:val="665"/>
              </w:trPr>
              <w:tc>
                <w:tcPr>
                  <w:tcW w:w="4036" w:type="dxa"/>
                </w:tcPr>
                <w:p w:rsidRPr="00B434CE" w:rsidR="00B434CE" w:rsidP="00B434CE" w:rsidRDefault="00B434CE" w14:paraId="5B6DEBB2" w14:textId="77777777">
                  <w:pPr>
                    <w:pStyle w:val="Lagtext"/>
                  </w:pPr>
                  <w:r w:rsidRPr="00B434CE">
                    <w:t xml:space="preserve">Den som uppsåtligen eller av oaktsamhet bryter mot ett förbud som avses i 7 § döms till </w:t>
                  </w:r>
                  <w:r w:rsidRPr="00B434CE">
                    <w:rPr>
                      <w:i/>
                      <w:iCs/>
                    </w:rPr>
                    <w:t xml:space="preserve">böter eller </w:t>
                  </w:r>
                  <w:r w:rsidRPr="00B434CE">
                    <w:t xml:space="preserve">fängelse i högst </w:t>
                  </w:r>
                  <w:r w:rsidRPr="00B434CE">
                    <w:rPr>
                      <w:i/>
                      <w:iCs/>
                    </w:rPr>
                    <w:t xml:space="preserve">ett </w:t>
                  </w:r>
                  <w:r w:rsidRPr="00B434CE">
                    <w:t>år</w:t>
                  </w:r>
                  <w:r w:rsidRPr="00B434CE">
                    <w:rPr>
                      <w:i/>
                      <w:iCs/>
                    </w:rPr>
                    <w:t>, om gärningen inte är belagd med straff i brottsbalken</w:t>
                  </w:r>
                  <w:r w:rsidRPr="00B434CE">
                    <w:t xml:space="preserve">. </w:t>
                  </w:r>
                </w:p>
              </w:tc>
            </w:tr>
          </w:tbl>
          <w:p w:rsidR="00B434CE" w:rsidP="00B434CE" w:rsidRDefault="00B434CE" w14:paraId="1DDE3880" w14:textId="77777777">
            <w:pPr>
              <w:pStyle w:val="Lagtext"/>
            </w:pPr>
          </w:p>
        </w:tc>
        <w:tc>
          <w:tcPr>
            <w:tcW w:w="4252" w:type="dxa"/>
            <w:shd w:val="clear" w:color="auto" w:fill="auto"/>
          </w:tcPr>
          <w:tbl>
            <w:tblPr>
              <w:tblW w:w="41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4185"/>
            </w:tblGrid>
            <w:tr w:rsidR="00B434CE" w:rsidTr="002B6989" w14:paraId="7D2FAFC8" w14:textId="77777777">
              <w:trPr>
                <w:trHeight w:val="894"/>
              </w:trPr>
              <w:tc>
                <w:tcPr>
                  <w:tcW w:w="4185" w:type="dxa"/>
                </w:tcPr>
                <w:p w:rsidRPr="002B6989" w:rsidR="00B434CE" w:rsidP="00B434CE" w:rsidRDefault="00B434CE" w14:paraId="712A41EA" w14:textId="77777777">
                  <w:pPr>
                    <w:pStyle w:val="Default"/>
                  </w:pPr>
                  <w:r w:rsidRPr="002B6989">
                    <w:t xml:space="preserve">Den som uppsåtligen eller av oaktsamhet bryter mot ett förbud som avses i 7 § </w:t>
                  </w:r>
                  <w:r w:rsidRPr="002B6989">
                    <w:rPr>
                      <w:i/>
                      <w:iCs/>
                    </w:rPr>
                    <w:t>första st</w:t>
                  </w:r>
                  <w:bookmarkStart w:name="_GoBack" w:id="1"/>
                  <w:bookmarkEnd w:id="1"/>
                  <w:r w:rsidRPr="002B6989">
                    <w:rPr>
                      <w:i/>
                      <w:iCs/>
                    </w:rPr>
                    <w:t xml:space="preserve">ycket </w:t>
                  </w:r>
                  <w:r w:rsidRPr="002B6989">
                    <w:t xml:space="preserve">döms </w:t>
                  </w:r>
                  <w:r w:rsidRPr="002B6989">
                    <w:rPr>
                      <w:i/>
                      <w:iCs/>
                    </w:rPr>
                    <w:t xml:space="preserve">för obehörigt tillträde till skyddsobjekt </w:t>
                  </w:r>
                  <w:r w:rsidRPr="002B6989">
                    <w:t xml:space="preserve">till fängelse i </w:t>
                  </w:r>
                  <w:r w:rsidRPr="002B6989" w:rsidR="00983824">
                    <w:rPr>
                      <w:i/>
                    </w:rPr>
                    <w:t>läg</w:t>
                  </w:r>
                  <w:r w:rsidRPr="002B6989" w:rsidR="00EE2F15">
                    <w:rPr>
                      <w:i/>
                    </w:rPr>
                    <w:t xml:space="preserve">st tre månader och </w:t>
                  </w:r>
                  <w:r w:rsidRPr="002B6989">
                    <w:t xml:space="preserve">högst </w:t>
                  </w:r>
                  <w:r w:rsidRPr="002B6989" w:rsidR="00522DC4">
                    <w:rPr>
                      <w:i/>
                      <w:iCs/>
                    </w:rPr>
                    <w:t>fyra</w:t>
                  </w:r>
                  <w:r w:rsidRPr="002B6989">
                    <w:rPr>
                      <w:i/>
                      <w:iCs/>
                    </w:rPr>
                    <w:t xml:space="preserve"> </w:t>
                  </w:r>
                  <w:r w:rsidRPr="002B6989">
                    <w:t xml:space="preserve">år. </w:t>
                  </w:r>
                  <w:r w:rsidRPr="002B6989">
                    <w:rPr>
                      <w:i/>
                      <w:iCs/>
                    </w:rPr>
                    <w:t>Detsamma ska gälla den som olo</w:t>
                  </w:r>
                  <w:r w:rsidRPr="002B6989" w:rsidR="00EE2F15">
                    <w:rPr>
                      <w:i/>
                      <w:iCs/>
                    </w:rPr>
                    <w:t>vligen stannar kvar inom skydds</w:t>
                  </w:r>
                  <w:r w:rsidRPr="002B6989">
                    <w:rPr>
                      <w:i/>
                      <w:iCs/>
                    </w:rPr>
                    <w:t xml:space="preserve">objektet. </w:t>
                  </w:r>
                </w:p>
              </w:tc>
            </w:tr>
            <w:tr w:rsidR="00B434CE" w:rsidTr="002B6989" w14:paraId="67F2E30D" w14:textId="77777777">
              <w:trPr>
                <w:trHeight w:val="321"/>
              </w:trPr>
              <w:tc>
                <w:tcPr>
                  <w:tcW w:w="4185" w:type="dxa"/>
                </w:tcPr>
                <w:p w:rsidRPr="002B6989" w:rsidR="00B434CE" w:rsidP="00B434CE" w:rsidRDefault="00B434CE" w14:paraId="29777C93" w14:textId="77777777">
                  <w:pPr>
                    <w:pStyle w:val="Default"/>
                    <w:rPr>
                      <w:i/>
                      <w:iCs/>
                    </w:rPr>
                  </w:pPr>
                  <w:r w:rsidRPr="002B6989">
                    <w:rPr>
                      <w:i/>
                      <w:iCs/>
                    </w:rPr>
                    <w:t xml:space="preserve">Om brottet är ringa döms till böter eller fängelse i högst sex månader. </w:t>
                  </w:r>
                </w:p>
              </w:tc>
            </w:tr>
          </w:tbl>
          <w:p w:rsidR="00B434CE" w:rsidP="00B434CE" w:rsidRDefault="00B434CE" w14:paraId="6BFD46C8" w14:textId="77777777">
            <w:pPr>
              <w:pStyle w:val="Lagtext"/>
            </w:pPr>
          </w:p>
        </w:tc>
      </w:tr>
    </w:tbl>
    <w:p w:rsidRPr="008F12A4" w:rsidR="00CC447C" w:rsidP="000A53DF" w:rsidRDefault="00D63419" w14:paraId="7594DDE3" w14:textId="30B3CFFC">
      <w:pPr>
        <w:pStyle w:val="Normalutanindragellerluft"/>
        <w:spacing w:before="240"/>
      </w:pPr>
      <w:r w:rsidRPr="008F12A4">
        <w:t>Vi instämmer i regeringens resonemang kring att det finns ett behov av en mer välavvägd straffskala rörande intrång på skyddsobjekt. Däremot lämnar regeringen arbetet halvfärdigt. När nu ringa brott införs i lagen så finns det en riml</w:t>
      </w:r>
      <w:r w:rsidRPr="008F12A4" w:rsidR="00EE2F15">
        <w:t xml:space="preserve">ighet i att </w:t>
      </w:r>
      <w:r w:rsidRPr="008F12A4" w:rsidR="00983824">
        <w:t>en justering</w:t>
      </w:r>
      <w:r w:rsidRPr="008F12A4" w:rsidR="00EE2F15">
        <w:t xml:space="preserve"> av</w:t>
      </w:r>
      <w:r w:rsidRPr="008F12A4" w:rsidR="00983824">
        <w:t xml:space="preserve"> straffnivån för</w:t>
      </w:r>
      <w:r w:rsidRPr="008F12A4" w:rsidR="00EE2F15">
        <w:t xml:space="preserve"> grövre fall av</w:t>
      </w:r>
      <w:r w:rsidRPr="008F12A4" w:rsidR="00C875A7">
        <w:t xml:space="preserve"> obehörigt tillträd</w:t>
      </w:r>
      <w:r w:rsidRPr="008F12A4" w:rsidR="00EE2F15">
        <w:t>e till skyddsobjekt också sker</w:t>
      </w:r>
      <w:r w:rsidRPr="008F12A4" w:rsidR="00CC447C">
        <w:t>. Det är</w:t>
      </w:r>
      <w:r w:rsidRPr="008F12A4" w:rsidR="00EE2F15">
        <w:t xml:space="preserve"> värt att notera </w:t>
      </w:r>
      <w:r w:rsidR="008F12A4">
        <w:t xml:space="preserve">att </w:t>
      </w:r>
      <w:r w:rsidRPr="008F12A4" w:rsidR="00EE2F15">
        <w:t xml:space="preserve">remissinstanserna </w:t>
      </w:r>
      <w:r w:rsidRPr="008F12A4" w:rsidR="00126DF2">
        <w:t>Ringhal</w:t>
      </w:r>
      <w:r w:rsidRPr="008F12A4" w:rsidR="00EE2F15">
        <w:t>s AB samt Vattenfall AB har efterfrågat just en ytterligare skärpning av</w:t>
      </w:r>
      <w:r w:rsidRPr="008F12A4" w:rsidR="00126DF2">
        <w:t xml:space="preserve"> minimi- respektive maximistraffen. Även resonemanget från Kalmar tingsrätt pekar i denna allmänna riktning.</w:t>
      </w:r>
      <w:r w:rsidRPr="008F12A4" w:rsidR="00EE2F15">
        <w:t xml:space="preserve"> </w:t>
      </w:r>
    </w:p>
    <w:p w:rsidR="002A1091" w:rsidP="002A1091" w:rsidRDefault="00CC447C" w14:paraId="6B113863" w14:textId="7DD7F4C7">
      <w:pPr>
        <w:rPr>
          <w:color w:val="7030A0"/>
        </w:rPr>
      </w:pPr>
      <w:r>
        <w:lastRenderedPageBreak/>
        <w:t>I Danmark respektive Norge finns vissa fall där man kan döma till fängelse för denna typ av brott</w:t>
      </w:r>
      <w:r w:rsidR="00983824">
        <w:t xml:space="preserve">slighet i upp till fyra år </w:t>
      </w:r>
      <w:r w:rsidR="008F12A4">
        <w:t>–</w:t>
      </w:r>
      <w:r>
        <w:t xml:space="preserve"> i fallet Danmark till och med upp till sex år. Vi instämmer i propositionens resonemang kring att ett högre straffmaximum i straffskalan ger </w:t>
      </w:r>
      <w:r w:rsidR="00983824">
        <w:t>ett bättre utrymme för att på e</w:t>
      </w:r>
      <w:r>
        <w:t>tt nyanserat s</w:t>
      </w:r>
      <w:r w:rsidR="00700D72">
        <w:t xml:space="preserve">ätt straffmäta fängelsestraffet. Vi anser </w:t>
      </w:r>
      <w:r w:rsidRPr="002A1091" w:rsidR="00700D72">
        <w:t xml:space="preserve">att obehörigt tillträde till skyddsobjekt bör ses som ett generellt sett mer allvarligt brott än brottsbalkens reglering av olaga intrång. </w:t>
      </w:r>
      <w:r w:rsidRPr="002A1091" w:rsidR="002A1091">
        <w:t>Därför ser vi inget hinder för att straffnivån för obehörigt tillträde till skyddsobjekt är högre än v</w:t>
      </w:r>
      <w:r w:rsidR="002A1091">
        <w:t>ad den</w:t>
      </w:r>
      <w:r w:rsidRPr="002A1091" w:rsidR="002A1091">
        <w:t xml:space="preserve"> är för grovt olaga intrång.</w:t>
      </w:r>
    </w:p>
    <w:p w:rsidRPr="002A1091" w:rsidR="008B3954" w:rsidP="002A1091" w:rsidRDefault="00C875A7" w14:paraId="0EAD0F9A" w14:textId="77777777">
      <w:pPr>
        <w:rPr>
          <w:color w:val="7030A0"/>
        </w:rPr>
      </w:pPr>
      <w:r>
        <w:t>Vi föreslår därför att</w:t>
      </w:r>
      <w:r w:rsidR="00CC447C">
        <w:t xml:space="preserve"> minimistraffet för obehörigt tillträde till skyddsobjekt sätts till tre månaders fängelse samt att maximistraffet sätts till fyra års fängelse.</w:t>
      </w:r>
      <w:r>
        <w:t xml:space="preserve"> </w:t>
      </w:r>
    </w:p>
    <w:p w:rsidRPr="005F092A" w:rsidR="00983824" w:rsidP="005F092A" w:rsidRDefault="00983824" w14:paraId="203C2E23" w14:textId="77777777">
      <w:pPr>
        <w:pStyle w:val="Rubrik1"/>
      </w:pPr>
      <w:r w:rsidRPr="005F092A">
        <w:t>Försök, förberedelse, stämpling och medverkan till brott</w:t>
      </w:r>
    </w:p>
    <w:p w:rsidRPr="008F12A4" w:rsidR="00983824" w:rsidP="008F12A4" w:rsidRDefault="00983824" w14:paraId="3FC2A81E" w14:textId="029E7BEA">
      <w:pPr>
        <w:pStyle w:val="Normalutanindragellerluft"/>
      </w:pPr>
      <w:r w:rsidRPr="008F12A4">
        <w:t>Det kan noteras att somliga remissinstanser har framfört att det finns ett värde i att även försök, förberedelse eller stämpling till intrång på skyddsobjekt</w:t>
      </w:r>
      <w:r w:rsidRPr="008F12A4" w:rsidR="00E84139">
        <w:t xml:space="preserve"> borde vara straffbart</w:t>
      </w:r>
      <w:r w:rsidRPr="008F12A4">
        <w:t xml:space="preserve"> med utgångspunkt från den skärpta syn på denna typ av </w:t>
      </w:r>
      <w:r w:rsidRPr="008F12A4" w:rsidR="00E84139">
        <w:t xml:space="preserve">brottslighet som aviseras </w:t>
      </w:r>
      <w:r w:rsidR="008F12A4">
        <w:t xml:space="preserve">i </w:t>
      </w:r>
      <w:r w:rsidRPr="008F12A4" w:rsidR="00E84139">
        <w:t xml:space="preserve">den aktuella propositionen. Det är till och med så att regeringen principiellt instämmer i behovet av detta, men avstår från att lägga fram konkreta förslag eftersom beredningsunderlag saknas. Från Sverigedemokraternas sida instämmer vi med regeringen i behovet av detta och menar därför att riksdagen bör tillkännage som sin mening att </w:t>
      </w:r>
      <w:r w:rsidR="008F12A4">
        <w:t>regeringen snarast möjligt ska</w:t>
      </w:r>
      <w:r w:rsidRPr="008F12A4" w:rsidR="00E84139">
        <w:t xml:space="preserve"> se till att tillräckligt underl</w:t>
      </w:r>
      <w:r w:rsidR="008F12A4">
        <w:t>ag för en sådan lagändring ska</w:t>
      </w:r>
      <w:r w:rsidRPr="008F12A4" w:rsidR="00E84139">
        <w:t xml:space="preserve"> tas fram och läggas fram i riksdagen.</w:t>
      </w:r>
    </w:p>
    <w:p w:rsidRPr="00881181" w:rsidR="00422B9E" w:rsidP="00881181" w:rsidRDefault="00422B9E" w14:paraId="2FEA7E56" w14:textId="77777777"/>
    <w:sdt>
      <w:sdtPr>
        <w:alias w:val="CC_Underskrifter"/>
        <w:tag w:val="CC_Underskrifter"/>
        <w:id w:val="583496634"/>
        <w:lock w:val="sdtContentLocked"/>
        <w:placeholder>
          <w:docPart w:val="2512E9B437D5498E87E474E885792656"/>
        </w:placeholder>
        <w15:appearance w15:val="hidden"/>
      </w:sdtPr>
      <w:sdtEndPr/>
      <w:sdtContent>
        <w:p w:rsidR="004801AC" w:rsidP="00D738C3" w:rsidRDefault="002B6989" w14:paraId="51FD63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</w:tr>
    </w:tbl>
    <w:p w:rsidR="006705C8" w:rsidRDefault="006705C8" w14:paraId="54894D8F" w14:textId="77777777"/>
    <w:sectPr w:rsidR="006705C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28B2D" w14:textId="77777777" w:rsidR="003F455B" w:rsidRDefault="003F455B" w:rsidP="000C1CAD">
      <w:pPr>
        <w:spacing w:line="240" w:lineRule="auto"/>
      </w:pPr>
      <w:r>
        <w:separator/>
      </w:r>
    </w:p>
  </w:endnote>
  <w:endnote w:type="continuationSeparator" w:id="0">
    <w:p w14:paraId="24A217F0" w14:textId="77777777" w:rsidR="003F455B" w:rsidRDefault="003F45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168F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3001" w14:textId="7BE757A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698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85B9A" w14:textId="77777777" w:rsidR="003F455B" w:rsidRDefault="003F455B" w:rsidP="000C1CAD">
      <w:pPr>
        <w:spacing w:line="240" w:lineRule="auto"/>
      </w:pPr>
      <w:r>
        <w:separator/>
      </w:r>
    </w:p>
  </w:footnote>
  <w:footnote w:type="continuationSeparator" w:id="0">
    <w:p w14:paraId="384EF465" w14:textId="77777777" w:rsidR="003F455B" w:rsidRDefault="003F45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7BD3D2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B6989" w14:paraId="042DD11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8D8D269163407CAAD9B0B704D21FDA"/>
                              </w:placeholder>
                              <w:text/>
                            </w:sdtPr>
                            <w:sdtEndPr/>
                            <w:sdtContent>
                              <w:r w:rsidR="00D6341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55802079AA4424B1B0AF04C50B3B5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A53DF" w14:paraId="042DD11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8D8D269163407CAAD9B0B704D21FDA"/>
                        </w:placeholder>
                        <w:text/>
                      </w:sdtPr>
                      <w:sdtEndPr/>
                      <w:sdtContent>
                        <w:r w:rsidR="00D6341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55802079AA4424B1B0AF04C50B3B5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CBA74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B6989" w14:paraId="30E5680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98D8D269163407CAAD9B0B704D21FDA"/>
        </w:placeholder>
        <w:text/>
      </w:sdtPr>
      <w:sdtEndPr/>
      <w:sdtContent>
        <w:r w:rsidR="00D63419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2455802079AA4424B1B0AF04C50B3B5E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BD3859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B6989" w14:paraId="54C1636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6341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2B6989" w14:paraId="1A0E67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2B6989" w14:paraId="35B64B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B6989" w14:paraId="2D6890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:3994</w:t>
        </w:r>
      </w:sdtContent>
    </w:sdt>
  </w:p>
  <w:p w:rsidR="004F35FE" w:rsidP="00E03A3D" w:rsidRDefault="002B6989" w14:paraId="1F7693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Jansson och Roger Richtoff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63419" w14:paraId="2305884B" w14:textId="77777777">
        <w:pPr>
          <w:pStyle w:val="FSHRub2"/>
        </w:pPr>
        <w:r>
          <w:t>med anledning av prop. 2017/18:102 En skärpt straffrättslig reglering av obehörigt tillträde till skyddsobjekt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64A633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D63419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53DF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2989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6DF2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4F9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091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6989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923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55B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3C46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2DC4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533B"/>
    <w:rsid w:val="005E6248"/>
    <w:rsid w:val="005E6719"/>
    <w:rsid w:val="005E7CB1"/>
    <w:rsid w:val="005F06C6"/>
    <w:rsid w:val="005F092A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05C8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0D72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06A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577D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3954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A4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3824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01C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34CE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CFF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5A7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7C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419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8C3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96520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204C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4139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2F15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35B8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5B246D"/>
  <w15:chartTrackingRefBased/>
  <w15:docId w15:val="{9CAE94FC-E417-4F03-9376-DCB7D35A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Default">
    <w:name w:val="Default"/>
    <w:rsid w:val="00B434CE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A095EABF8C4E3E841BED2C8B05F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34CAC-0967-4495-A41C-43FFCF245643}"/>
      </w:docPartPr>
      <w:docPartBody>
        <w:p w:rsidR="00E75819" w:rsidRDefault="00E75819">
          <w:pPr>
            <w:pStyle w:val="07A095EABF8C4E3E841BED2C8B05F2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2EBA9FDD504CB4A9F8EECCA706F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02C13-F6CC-422B-A729-B82965E1C97E}"/>
      </w:docPartPr>
      <w:docPartBody>
        <w:p w:rsidR="00E75819" w:rsidRDefault="00E75819">
          <w:pPr>
            <w:pStyle w:val="312EBA9FDD504CB4A9F8EECCA706F3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12E9B437D5498E87E474E885792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65803-8344-4A88-A9E7-25AA06135B0F}"/>
      </w:docPartPr>
      <w:docPartBody>
        <w:p w:rsidR="00E75819" w:rsidRDefault="00E75819">
          <w:pPr>
            <w:pStyle w:val="2512E9B437D5498E87E474E8857926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98D8D269163407CAAD9B0B704D21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3C2D0-84D7-4305-B465-913CBB9E6135}"/>
      </w:docPartPr>
      <w:docPartBody>
        <w:p w:rsidR="00E75819" w:rsidRDefault="00E75819">
          <w:pPr>
            <w:pStyle w:val="198D8D269163407CAAD9B0B704D21F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55802079AA4424B1B0AF04C50B3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B4A27-8028-41E1-BF86-E3798F0D39E5}"/>
      </w:docPartPr>
      <w:docPartBody>
        <w:p w:rsidR="00E75819" w:rsidRDefault="00E75819">
          <w:pPr>
            <w:pStyle w:val="2455802079AA4424B1B0AF04C50B3B5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19"/>
    <w:rsid w:val="00046F8B"/>
    <w:rsid w:val="00683FF2"/>
    <w:rsid w:val="0069685B"/>
    <w:rsid w:val="00E7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46F8B"/>
    <w:rPr>
      <w:color w:val="F4B083" w:themeColor="accent2" w:themeTint="99"/>
    </w:rPr>
  </w:style>
  <w:style w:type="paragraph" w:customStyle="1" w:styleId="07A095EABF8C4E3E841BED2C8B05F24E">
    <w:name w:val="07A095EABF8C4E3E841BED2C8B05F24E"/>
  </w:style>
  <w:style w:type="paragraph" w:customStyle="1" w:styleId="31E2159B2FB445D7876B3D5EAF8EE46F">
    <w:name w:val="31E2159B2FB445D7876B3D5EAF8EE46F"/>
  </w:style>
  <w:style w:type="paragraph" w:customStyle="1" w:styleId="0E93EE9C5C72401A84AC86303EE95561">
    <w:name w:val="0E93EE9C5C72401A84AC86303EE95561"/>
  </w:style>
  <w:style w:type="paragraph" w:customStyle="1" w:styleId="312EBA9FDD504CB4A9F8EECCA706F304">
    <w:name w:val="312EBA9FDD504CB4A9F8EECCA706F304"/>
  </w:style>
  <w:style w:type="paragraph" w:customStyle="1" w:styleId="0785BAF67B57410280FC0019FCFE81FE">
    <w:name w:val="0785BAF67B57410280FC0019FCFE81FE"/>
  </w:style>
  <w:style w:type="paragraph" w:customStyle="1" w:styleId="2512E9B437D5498E87E474E885792656">
    <w:name w:val="2512E9B437D5498E87E474E885792656"/>
  </w:style>
  <w:style w:type="paragraph" w:customStyle="1" w:styleId="198D8D269163407CAAD9B0B704D21FDA">
    <w:name w:val="198D8D269163407CAAD9B0B704D21FDA"/>
  </w:style>
  <w:style w:type="paragraph" w:customStyle="1" w:styleId="2455802079AA4424B1B0AF04C50B3B5E">
    <w:name w:val="2455802079AA4424B1B0AF04C50B3B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B334B-8247-48C4-9132-959225038237}"/>
</file>

<file path=customXml/itemProps2.xml><?xml version="1.0" encoding="utf-8"?>
<ds:datastoreItem xmlns:ds="http://schemas.openxmlformats.org/officeDocument/2006/customXml" ds:itemID="{F1C0A5BE-FBB3-425E-82F7-52ECDC50D614}"/>
</file>

<file path=customXml/itemProps3.xml><?xml version="1.0" encoding="utf-8"?>
<ds:datastoreItem xmlns:ds="http://schemas.openxmlformats.org/officeDocument/2006/customXml" ds:itemID="{F318A62F-A3AE-48B8-9A89-0C8A4DC2F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504</Words>
  <Characters>2773</Characters>
  <Application>Microsoft Office Word</Application>
  <DocSecurity>0</DocSecurity>
  <Lines>59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2017 18 102 En skärpt straffrättslig reglering av obehörigt tillträde till skyddsobjekt</vt:lpstr>
      <vt:lpstr>
      </vt:lpstr>
    </vt:vector>
  </TitlesOfParts>
  <Company>Sveriges riksdag</Company>
  <LinksUpToDate>false</LinksUpToDate>
  <CharactersWithSpaces>3257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