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394DC49" w14:textId="77777777">
        <w:tc>
          <w:tcPr>
            <w:tcW w:w="2268" w:type="dxa"/>
          </w:tcPr>
          <w:p w14:paraId="5309975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3200CBB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D0E3BF1" w14:textId="77777777">
        <w:tc>
          <w:tcPr>
            <w:tcW w:w="2268" w:type="dxa"/>
          </w:tcPr>
          <w:p w14:paraId="60D3D96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A48FC9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4C1A865" w14:textId="77777777">
        <w:tc>
          <w:tcPr>
            <w:tcW w:w="3402" w:type="dxa"/>
            <w:gridSpan w:val="2"/>
          </w:tcPr>
          <w:p w14:paraId="461E4A4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1314EC80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8DE2DAC" w14:textId="77777777">
        <w:tc>
          <w:tcPr>
            <w:tcW w:w="2268" w:type="dxa"/>
          </w:tcPr>
          <w:p w14:paraId="3465DF8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33CA6F7" w14:textId="5A25BF9B" w:rsidR="006E4E11" w:rsidRPr="00ED583F" w:rsidRDefault="006E4E11" w:rsidP="007242A3">
            <w:pPr>
              <w:framePr w:w="5035" w:h="1644" w:wrap="notBeside" w:vAnchor="page" w:hAnchor="page" w:x="6573" w:y="721"/>
              <w:rPr>
                <w:sz w:val="20"/>
              </w:rPr>
            </w:pPr>
          </w:p>
        </w:tc>
      </w:tr>
      <w:tr w:rsidR="006E4E11" w14:paraId="323CEB21" w14:textId="77777777">
        <w:tc>
          <w:tcPr>
            <w:tcW w:w="2268" w:type="dxa"/>
          </w:tcPr>
          <w:p w14:paraId="4E8ACE1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3E11217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574D48C" w14:textId="77777777">
        <w:trPr>
          <w:trHeight w:val="284"/>
        </w:trPr>
        <w:tc>
          <w:tcPr>
            <w:tcW w:w="4911" w:type="dxa"/>
          </w:tcPr>
          <w:p w14:paraId="66152D39" w14:textId="77777777" w:rsidR="006E4E11" w:rsidRDefault="00B801CA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Utrikesdepartementet</w:t>
            </w:r>
          </w:p>
        </w:tc>
      </w:tr>
      <w:tr w:rsidR="006E4E11" w14:paraId="0452B83C" w14:textId="77777777">
        <w:trPr>
          <w:trHeight w:val="284"/>
        </w:trPr>
        <w:tc>
          <w:tcPr>
            <w:tcW w:w="4911" w:type="dxa"/>
          </w:tcPr>
          <w:p w14:paraId="7E0AEDD3" w14:textId="77777777" w:rsidR="006E4E11" w:rsidRDefault="00B801CA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Utrikesministern</w:t>
            </w:r>
          </w:p>
        </w:tc>
      </w:tr>
      <w:tr w:rsidR="006E4E11" w14:paraId="6748A846" w14:textId="77777777">
        <w:trPr>
          <w:trHeight w:val="284"/>
        </w:trPr>
        <w:tc>
          <w:tcPr>
            <w:tcW w:w="4911" w:type="dxa"/>
          </w:tcPr>
          <w:p w14:paraId="74727D9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1D9BA57" w14:textId="77777777">
        <w:trPr>
          <w:trHeight w:val="284"/>
        </w:trPr>
        <w:tc>
          <w:tcPr>
            <w:tcW w:w="4911" w:type="dxa"/>
          </w:tcPr>
          <w:p w14:paraId="696C7BE4" w14:textId="38937D1E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77AD68" w14:textId="77777777">
        <w:trPr>
          <w:trHeight w:val="284"/>
        </w:trPr>
        <w:tc>
          <w:tcPr>
            <w:tcW w:w="4911" w:type="dxa"/>
          </w:tcPr>
          <w:p w14:paraId="18CE4D49" w14:textId="0D33AD5C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E972270" w14:textId="77777777">
        <w:trPr>
          <w:trHeight w:val="284"/>
        </w:trPr>
        <w:tc>
          <w:tcPr>
            <w:tcW w:w="4911" w:type="dxa"/>
          </w:tcPr>
          <w:p w14:paraId="33444EFE" w14:textId="128E6483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6A27FF2" w14:textId="77777777">
        <w:trPr>
          <w:trHeight w:val="284"/>
        </w:trPr>
        <w:tc>
          <w:tcPr>
            <w:tcW w:w="4911" w:type="dxa"/>
          </w:tcPr>
          <w:p w14:paraId="67111D6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DEE2B40" w14:textId="77777777">
        <w:trPr>
          <w:trHeight w:val="284"/>
        </w:trPr>
        <w:tc>
          <w:tcPr>
            <w:tcW w:w="4911" w:type="dxa"/>
          </w:tcPr>
          <w:p w14:paraId="731313DE" w14:textId="7BB2B101" w:rsidR="006E4E11" w:rsidRPr="009B264A" w:rsidRDefault="006E4E11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  <w:tr w:rsidR="006E4E11" w14:paraId="53AA7DC8" w14:textId="77777777">
        <w:trPr>
          <w:trHeight w:val="284"/>
        </w:trPr>
        <w:tc>
          <w:tcPr>
            <w:tcW w:w="4911" w:type="dxa"/>
          </w:tcPr>
          <w:p w14:paraId="74FE1CF9" w14:textId="77777777" w:rsidR="00FF737E" w:rsidRPr="009B264A" w:rsidRDefault="00FF737E">
            <w:pPr>
              <w:pStyle w:val="Avsndare"/>
              <w:framePr w:h="2483" w:wrap="notBeside" w:x="1504"/>
              <w:rPr>
                <w:b/>
                <w:bCs/>
                <w:iCs/>
              </w:rPr>
            </w:pPr>
          </w:p>
        </w:tc>
      </w:tr>
    </w:tbl>
    <w:p w14:paraId="4EA84F20" w14:textId="77777777" w:rsidR="006E4E11" w:rsidRDefault="00B801CA">
      <w:pPr>
        <w:framePr w:w="4400" w:h="2523" w:wrap="notBeside" w:vAnchor="page" w:hAnchor="page" w:x="6453" w:y="2445"/>
        <w:ind w:left="142"/>
      </w:pPr>
      <w:r>
        <w:t>Till riksdagen</w:t>
      </w:r>
    </w:p>
    <w:p w14:paraId="72CFFCA5" w14:textId="77777777" w:rsidR="009B264A" w:rsidRDefault="009B264A">
      <w:pPr>
        <w:framePr w:w="4400" w:h="2523" w:wrap="notBeside" w:vAnchor="page" w:hAnchor="page" w:x="6453" w:y="2445"/>
        <w:ind w:left="142"/>
      </w:pPr>
    </w:p>
    <w:p w14:paraId="29F066ED" w14:textId="37F38798" w:rsidR="006E4E11" w:rsidRDefault="00B801CA" w:rsidP="00B801CA">
      <w:pPr>
        <w:pStyle w:val="RKrubrik"/>
        <w:pBdr>
          <w:bottom w:val="single" w:sz="4" w:space="1" w:color="auto"/>
        </w:pBdr>
        <w:spacing w:before="0" w:after="0"/>
      </w:pPr>
      <w:r>
        <w:t>Svar på fråga 201</w:t>
      </w:r>
      <w:r w:rsidR="00AE15D8">
        <w:t>4/15</w:t>
      </w:r>
      <w:r>
        <w:t>:</w:t>
      </w:r>
      <w:r w:rsidR="00AE15D8">
        <w:t>2</w:t>
      </w:r>
      <w:r>
        <w:t xml:space="preserve"> </w:t>
      </w:r>
      <w:r w:rsidR="00FF737E">
        <w:t xml:space="preserve">av Hans Linde (V) Akut situation i Kobane, Syrien </w:t>
      </w:r>
      <w:r w:rsidR="00CD2B2A">
        <w:t>och</w:t>
      </w:r>
      <w:r w:rsidR="00E43711">
        <w:t xml:space="preserve"> </w:t>
      </w:r>
      <w:r w:rsidR="00FF737E">
        <w:t xml:space="preserve">fråga </w:t>
      </w:r>
      <w:r w:rsidR="00CD2B2A">
        <w:t xml:space="preserve">2014/15:3 </w:t>
      </w:r>
      <w:r w:rsidR="00FF737E">
        <w:t xml:space="preserve">av Fredrik Malm (FP) Situationen i Kobane </w:t>
      </w:r>
    </w:p>
    <w:p w14:paraId="06A965F2" w14:textId="77777777" w:rsidR="006E4E11" w:rsidRDefault="006E4E11">
      <w:pPr>
        <w:pStyle w:val="RKnormal"/>
      </w:pPr>
    </w:p>
    <w:p w14:paraId="2BB8B235" w14:textId="30F106A9" w:rsidR="00B801CA" w:rsidRDefault="00B801CA" w:rsidP="00B801CA">
      <w:pPr>
        <w:pStyle w:val="RKnormal"/>
      </w:pPr>
      <w:r>
        <w:t xml:space="preserve">Hans Linde </w:t>
      </w:r>
      <w:r w:rsidR="00E43711">
        <w:t xml:space="preserve">och Fredrik Malm </w:t>
      </w:r>
      <w:r>
        <w:t>har frågat mig v</w:t>
      </w:r>
      <w:r w:rsidRPr="00B801CA">
        <w:t>ilka initiativ Sverige</w:t>
      </w:r>
      <w:r w:rsidR="00AE15D8">
        <w:t xml:space="preserve">, EU och FN ska ta </w:t>
      </w:r>
      <w:r w:rsidRPr="00B801CA">
        <w:t xml:space="preserve">för att </w:t>
      </w:r>
      <w:r w:rsidR="00AE15D8">
        <w:t>skydda civilbefolkningen i Kobane i ljuset av terror</w:t>
      </w:r>
      <w:r w:rsidR="00CA367E">
        <w:t>ist</w:t>
      </w:r>
      <w:r w:rsidR="00AE15D8">
        <w:t>organisationen ISIL:s attacker mot staden och området</w:t>
      </w:r>
      <w:r>
        <w:t xml:space="preserve">. </w:t>
      </w:r>
      <w:r w:rsidR="00FF737E">
        <w:t>Jag väljer att besvara frågorna i ett sammanhang.</w:t>
      </w:r>
    </w:p>
    <w:p w14:paraId="6799650E" w14:textId="77777777" w:rsidR="00B801CA" w:rsidRDefault="00B801CA" w:rsidP="00B801CA">
      <w:pPr>
        <w:pStyle w:val="RKnormal"/>
      </w:pPr>
    </w:p>
    <w:p w14:paraId="3FAFA1DF" w14:textId="4D81E7E7" w:rsidR="00A7778E" w:rsidRDefault="00E43711" w:rsidP="00B801CA">
      <w:pPr>
        <w:pStyle w:val="RKnormal"/>
      </w:pPr>
      <w:r>
        <w:t xml:space="preserve">Jag delar </w:t>
      </w:r>
      <w:r w:rsidR="00FF737E">
        <w:t>frågeställarnas</w:t>
      </w:r>
      <w:r>
        <w:t xml:space="preserve"> djupa oro för det allvarliga läget i Kobane och i Syrien generellt</w:t>
      </w:r>
      <w:r w:rsidR="00A7778E">
        <w:t xml:space="preserve"> och kommer att framföra det på EU:s utrikesminister</w:t>
      </w:r>
      <w:r w:rsidR="009B264A">
        <w:softHyphen/>
      </w:r>
      <w:r w:rsidR="00A7778E">
        <w:t>möte den 20 oktober</w:t>
      </w:r>
      <w:r>
        <w:t>.</w:t>
      </w:r>
      <w:r w:rsidR="00A7778E">
        <w:t xml:space="preserve"> Vi har också en dialog med länderna i regionen, såsom Turkiet, inklusive om vikten av att hålla gränserna öppna.</w:t>
      </w:r>
      <w:r>
        <w:t xml:space="preserve"> </w:t>
      </w:r>
    </w:p>
    <w:p w14:paraId="2218E268" w14:textId="77777777" w:rsidR="00A7778E" w:rsidRDefault="00A7778E" w:rsidP="00B801CA">
      <w:pPr>
        <w:pStyle w:val="RKnormal"/>
      </w:pPr>
    </w:p>
    <w:p w14:paraId="18B24EE2" w14:textId="113D7524" w:rsidR="00CA367E" w:rsidRDefault="00CA367E" w:rsidP="00B801CA">
      <w:pPr>
        <w:pStyle w:val="RKnormal"/>
      </w:pPr>
      <w:r>
        <w:t xml:space="preserve">Regeringen fördömer i kraftiga ordalag ISIL och dess </w:t>
      </w:r>
      <w:r w:rsidR="00122F65">
        <w:t xml:space="preserve">hänsynslösa </w:t>
      </w:r>
      <w:r>
        <w:t>agerande.</w:t>
      </w:r>
      <w:r w:rsidR="006504E3">
        <w:t xml:space="preserve"> </w:t>
      </w:r>
      <w:r w:rsidR="00122F65">
        <w:t xml:space="preserve">Rapporter visar </w:t>
      </w:r>
      <w:r w:rsidR="00D41D49">
        <w:t>på</w:t>
      </w:r>
      <w:r w:rsidR="00122F65">
        <w:t xml:space="preserve"> </w:t>
      </w:r>
      <w:r w:rsidR="00D41D49">
        <w:t>grova, systematiska och omfattande övergrepp av de mänskliga rättigheterna och överträdelser av inter</w:t>
      </w:r>
      <w:r w:rsidR="00841F80">
        <w:softHyphen/>
      </w:r>
      <w:r w:rsidR="00D41D49">
        <w:t xml:space="preserve">nationell humanitär rätt. </w:t>
      </w:r>
      <w:r w:rsidR="006504E3">
        <w:t>Mord, tortyr</w:t>
      </w:r>
      <w:r w:rsidR="00122F65">
        <w:t xml:space="preserve"> och</w:t>
      </w:r>
      <w:r w:rsidR="006504E3">
        <w:t xml:space="preserve"> våldtäkter</w:t>
      </w:r>
      <w:r w:rsidR="00122F65">
        <w:t xml:space="preserve"> förekommer i stor skala</w:t>
      </w:r>
      <w:r w:rsidR="006504E3">
        <w:t>.</w:t>
      </w:r>
      <w:r w:rsidR="002D3EE7">
        <w:t xml:space="preserve"> De</w:t>
      </w:r>
      <w:r w:rsidR="00122F65">
        <w:t xml:space="preserve">ssa </w:t>
      </w:r>
      <w:r w:rsidR="00D41D49">
        <w:t xml:space="preserve">avskyvärda </w:t>
      </w:r>
      <w:r w:rsidR="00122F65">
        <w:t>handlingar</w:t>
      </w:r>
      <w:r w:rsidR="00D41D49">
        <w:t>, riktade mot civilbefolkningen,</w:t>
      </w:r>
      <w:r w:rsidR="002D3EE7">
        <w:t xml:space="preserve"> kan utgöra</w:t>
      </w:r>
      <w:r w:rsidR="00122F65">
        <w:t xml:space="preserve"> </w:t>
      </w:r>
      <w:r w:rsidR="002D3EE7">
        <w:t>brott mo</w:t>
      </w:r>
      <w:r w:rsidR="00122F65">
        <w:t xml:space="preserve">t mänskligheten. De skyldiga måste ställas till </w:t>
      </w:r>
      <w:r w:rsidR="00193F35">
        <w:t>svars</w:t>
      </w:r>
      <w:r w:rsidR="002D3EE7">
        <w:t>.</w:t>
      </w:r>
      <w:r w:rsidR="006504E3">
        <w:t xml:space="preserve"> </w:t>
      </w:r>
      <w:r>
        <w:t xml:space="preserve">ISIL:s framfart har ytterligare förvärrat situationen för det syriska folket, som redan tidigare var svårt drabbat av kriget och de umbäranden det fört med sig. </w:t>
      </w:r>
    </w:p>
    <w:p w14:paraId="26BD9B07" w14:textId="77777777" w:rsidR="006504E3" w:rsidRDefault="006504E3" w:rsidP="00B801CA">
      <w:pPr>
        <w:pStyle w:val="RKnormal"/>
      </w:pPr>
    </w:p>
    <w:p w14:paraId="1EAA56C1" w14:textId="51473638" w:rsidR="00905078" w:rsidRDefault="00905078" w:rsidP="00905078">
      <w:r>
        <w:t>Vi måste</w:t>
      </w:r>
      <w:r w:rsidR="00536AA5">
        <w:t xml:space="preserve"> nu</w:t>
      </w:r>
      <w:r>
        <w:t xml:space="preserve"> klara av att göra två saker parallellt. Det handlar dels om att hantera den akuta krisen, dels att långsiktigt agera för en politisk lösning. </w:t>
      </w:r>
    </w:p>
    <w:p w14:paraId="519F4EE3" w14:textId="77777777" w:rsidR="00905078" w:rsidRDefault="00905078">
      <w:pPr>
        <w:overflowPunct/>
        <w:autoSpaceDE/>
        <w:autoSpaceDN/>
        <w:adjustRightInd/>
        <w:spacing w:line="240" w:lineRule="auto"/>
        <w:textAlignment w:val="auto"/>
      </w:pPr>
    </w:p>
    <w:p w14:paraId="450E38DD" w14:textId="77777777" w:rsidR="00C66A5E" w:rsidRDefault="00905078" w:rsidP="00905078">
      <w:pPr>
        <w:pStyle w:val="RKnormal"/>
      </w:pPr>
      <w:r>
        <w:t xml:space="preserve">För att hantera den akuta krisen </w:t>
      </w:r>
      <w:r w:rsidR="00F076A6">
        <w:t>är</w:t>
      </w:r>
      <w:r>
        <w:t xml:space="preserve"> Sveriges primära bidrag </w:t>
      </w:r>
      <w:r w:rsidR="00244063">
        <w:t>vår</w:t>
      </w:r>
      <w:r w:rsidR="007221F5">
        <w:t>t</w:t>
      </w:r>
      <w:r w:rsidR="00244063">
        <w:t xml:space="preserve"> </w:t>
      </w:r>
      <w:r>
        <w:t>humanitär</w:t>
      </w:r>
      <w:r w:rsidR="00244063">
        <w:t>a</w:t>
      </w:r>
      <w:r>
        <w:t xml:space="preserve"> </w:t>
      </w:r>
      <w:r w:rsidR="007221F5">
        <w:t>stöd</w:t>
      </w:r>
      <w:r>
        <w:t xml:space="preserve"> </w:t>
      </w:r>
      <w:r w:rsidR="00F076A6">
        <w:t>till</w:t>
      </w:r>
      <w:r>
        <w:t xml:space="preserve"> de drabbade. Sedan 2011 har vi bidragit med mer än 1,3 miljarder kronor i humanitärt stöd för att hjälpa människor på plats.</w:t>
      </w:r>
    </w:p>
    <w:p w14:paraId="67A22D8F" w14:textId="4E783D64" w:rsidR="00905078" w:rsidRDefault="00905078" w:rsidP="00905078">
      <w:pPr>
        <w:pStyle w:val="RKnormal"/>
      </w:pPr>
      <w:bookmarkStart w:id="0" w:name="_GoBack"/>
      <w:bookmarkEnd w:id="0"/>
      <w:r>
        <w:t xml:space="preserve">I dagarna kommer ytterligare ett svenskt bidrag om drygt 100 miljoner kronor, då vi kommer att öronmärka delar av vårt kärnstöd till World Food Program till förmån för Syrien. </w:t>
      </w:r>
      <w:r w:rsidR="00536AA5">
        <w:t>Vi har även tagit emot över 55 000 asylsökande från Syrien vilket är flest i EU. Vi uppmanar alla länder att hålla gränserna öppna för flyktingarna.</w:t>
      </w:r>
    </w:p>
    <w:p w14:paraId="3A295DF9" w14:textId="77777777" w:rsidR="00CD0D7E" w:rsidRDefault="00CD0D7E">
      <w:pPr>
        <w:overflowPunct/>
        <w:autoSpaceDE/>
        <w:autoSpaceDN/>
        <w:adjustRightInd/>
        <w:spacing w:line="240" w:lineRule="auto"/>
        <w:textAlignment w:val="auto"/>
      </w:pPr>
    </w:p>
    <w:p w14:paraId="6006DF5D" w14:textId="7DC3B0A1" w:rsidR="00CD0D7E" w:rsidRDefault="00CD0D7E" w:rsidP="00CD0D7E">
      <w:pPr>
        <w:pStyle w:val="RKnormal"/>
      </w:pPr>
      <w:r>
        <w:lastRenderedPageBreak/>
        <w:t>Den enda långsiktigt hållbara vägen framåt i Syrien är att få till stånd en politisk process och lösning. Sverige och EU har sedan konfliktens början 2011 arbetat i denna riktning. Arbetet har skett i nära samarbete med FN:s tidigare Syriensändebud Lakhdar Brahimi och kommer att fortsätta under det nya sändebudet Staffan de</w:t>
      </w:r>
      <w:r w:rsidR="00B62B19">
        <w:t xml:space="preserve"> </w:t>
      </w:r>
      <w:r>
        <w:t>Mistura. Den syriska regimen har samtidigt arbetat i närmast motsatt riktning. Man har bl.a. släppt ut extremistiska fångar ur fängelserna och under mycket lång tid undvikit att konfrontera ISIL, då detta har gynnat regimen militär</w:t>
      </w:r>
      <w:r w:rsidR="00841F80">
        <w:softHyphen/>
      </w:r>
      <w:r>
        <w:t>strategiskt. Regimen har även fortsatt begå grova övergrepp mot de mänskliga rättigheterna och över 200 000, däribland 135 000 civila, har dödats.</w:t>
      </w:r>
    </w:p>
    <w:p w14:paraId="02B3DEB0" w14:textId="77777777" w:rsidR="00CD0D7E" w:rsidRDefault="00CD0D7E" w:rsidP="00CD0D7E">
      <w:pPr>
        <w:pStyle w:val="RKnormal"/>
      </w:pPr>
    </w:p>
    <w:p w14:paraId="4972A8A1" w14:textId="3963D3F3" w:rsidR="00CD0D7E" w:rsidRDefault="00CD0D7E" w:rsidP="00CD0D7E">
      <w:pPr>
        <w:pStyle w:val="RKnormal"/>
      </w:pPr>
      <w:r>
        <w:t xml:space="preserve">FN, EU och Sverige har alla fördömt ISIL:s handlingar. </w:t>
      </w:r>
      <w:r w:rsidR="001070B1">
        <w:t>B</w:t>
      </w:r>
      <w:r>
        <w:t>indande säkerhetsrådsresolution</w:t>
      </w:r>
      <w:r w:rsidR="001070B1">
        <w:t>er</w:t>
      </w:r>
      <w:r>
        <w:t xml:space="preserve"> (UNSCR </w:t>
      </w:r>
      <w:r w:rsidR="001070B1">
        <w:t xml:space="preserve">2170 och </w:t>
      </w:r>
      <w:r>
        <w:t>2178) har antagits, enligt vilk</w:t>
      </w:r>
      <w:r w:rsidR="00045C00">
        <w:t>a</w:t>
      </w:r>
      <w:r>
        <w:t xml:space="preserve"> alla stater måste vidta åtgärder för att motverka ISIL. Detta innebär bl.a. att hindra resenärer associerade med ISIL och liknande grupper kopplade till al-Qaeda, från att ta sig till regionen och att förhindra att finansiella resurser kommer organisationen till handa. </w:t>
      </w:r>
    </w:p>
    <w:p w14:paraId="4E12D114" w14:textId="77777777" w:rsidR="00B801CA" w:rsidRDefault="00B801CA">
      <w:pPr>
        <w:pStyle w:val="RKnormal"/>
      </w:pPr>
    </w:p>
    <w:p w14:paraId="1F64524D" w14:textId="5033C34A" w:rsidR="00CD2B2A" w:rsidRDefault="00E43711">
      <w:pPr>
        <w:pStyle w:val="RKnormal"/>
      </w:pPr>
      <w:r>
        <w:t xml:space="preserve">Stockholm den </w:t>
      </w:r>
      <w:r w:rsidR="00FF737E">
        <w:t>15</w:t>
      </w:r>
      <w:r w:rsidR="00B801CA">
        <w:t xml:space="preserve"> </w:t>
      </w:r>
      <w:r>
        <w:t>oktober</w:t>
      </w:r>
      <w:r w:rsidR="00B801CA">
        <w:t xml:space="preserve"> 2014</w:t>
      </w:r>
    </w:p>
    <w:p w14:paraId="6CD7D774" w14:textId="77777777" w:rsidR="00FF737E" w:rsidRDefault="00FF737E">
      <w:pPr>
        <w:pStyle w:val="RKnormal"/>
      </w:pPr>
    </w:p>
    <w:p w14:paraId="575C066D" w14:textId="77777777" w:rsidR="00841F80" w:rsidRDefault="00841F80">
      <w:pPr>
        <w:pStyle w:val="RKnormal"/>
      </w:pPr>
    </w:p>
    <w:p w14:paraId="2F717AB9" w14:textId="77777777" w:rsidR="00FF737E" w:rsidRDefault="00FF737E">
      <w:pPr>
        <w:pStyle w:val="RKnormal"/>
      </w:pPr>
    </w:p>
    <w:p w14:paraId="224CED52" w14:textId="66B60712" w:rsidR="00B801CA" w:rsidRDefault="00E43711">
      <w:pPr>
        <w:pStyle w:val="RKnormal"/>
      </w:pPr>
      <w:r>
        <w:t>Margot Wallström</w:t>
      </w:r>
    </w:p>
    <w:sectPr w:rsidR="00B801CA">
      <w:headerReference w:type="even" r:id="rId14"/>
      <w:headerReference w:type="default" r:id="rId15"/>
      <w:headerReference w:type="first" r:id="rId16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DC03C" w14:textId="77777777" w:rsidR="00B801CA" w:rsidRDefault="00B801CA">
      <w:r>
        <w:separator/>
      </w:r>
    </w:p>
  </w:endnote>
  <w:endnote w:type="continuationSeparator" w:id="0">
    <w:p w14:paraId="2DC7F276" w14:textId="77777777" w:rsidR="00B801CA" w:rsidRDefault="00B801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C391955" w14:textId="77777777" w:rsidR="00B801CA" w:rsidRDefault="00B801CA">
      <w:r>
        <w:separator/>
      </w:r>
    </w:p>
  </w:footnote>
  <w:footnote w:type="continuationSeparator" w:id="0">
    <w:p w14:paraId="1E1A31DC" w14:textId="77777777" w:rsidR="00B801CA" w:rsidRDefault="00B801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7A10343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66A5E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51299376" w14:textId="77777777">
      <w:trPr>
        <w:cantSplit/>
      </w:trPr>
      <w:tc>
        <w:tcPr>
          <w:tcW w:w="3119" w:type="dxa"/>
        </w:tcPr>
        <w:p w14:paraId="1706D7AA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C8C62AE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30B2A9D1" w14:textId="77777777" w:rsidR="00E80146" w:rsidRDefault="00E80146">
          <w:pPr>
            <w:pStyle w:val="Sidhuvud"/>
            <w:ind w:right="360"/>
          </w:pPr>
        </w:p>
      </w:tc>
    </w:tr>
  </w:tbl>
  <w:p w14:paraId="430AFC3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D5D76BA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CD0D7E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A39DAB8" w14:textId="77777777">
      <w:trPr>
        <w:cantSplit/>
      </w:trPr>
      <w:tc>
        <w:tcPr>
          <w:tcW w:w="3119" w:type="dxa"/>
        </w:tcPr>
        <w:p w14:paraId="65A0A3FF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EC05317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134070F3" w14:textId="77777777" w:rsidR="00E80146" w:rsidRDefault="00E80146">
          <w:pPr>
            <w:pStyle w:val="Sidhuvud"/>
            <w:ind w:right="360"/>
          </w:pPr>
        </w:p>
      </w:tc>
    </w:tr>
  </w:tbl>
  <w:p w14:paraId="0888806A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EB23B73" w14:textId="7BE38B80" w:rsidR="00B801CA" w:rsidRDefault="008A6A6B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2706C837" wp14:editId="438FBA1C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69F7B2E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F45435E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0F3634B5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2D90C924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AA05F5"/>
    <w:multiLevelType w:val="hybridMultilevel"/>
    <w:tmpl w:val="650AB050"/>
    <w:lvl w:ilvl="0" w:tplc="6024D95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F1E2FB9"/>
    <w:multiLevelType w:val="hybridMultilevel"/>
    <w:tmpl w:val="F56E2628"/>
    <w:lvl w:ilvl="0" w:tplc="6024D95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7CCE4DCF"/>
    <w:multiLevelType w:val="hybridMultilevel"/>
    <w:tmpl w:val="82BA8E9E"/>
    <w:lvl w:ilvl="0" w:tplc="6024D95E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1CA"/>
    <w:rsid w:val="00045C00"/>
    <w:rsid w:val="000D01FB"/>
    <w:rsid w:val="000E0DA2"/>
    <w:rsid w:val="000E175D"/>
    <w:rsid w:val="001070B1"/>
    <w:rsid w:val="00115D6E"/>
    <w:rsid w:val="00122F65"/>
    <w:rsid w:val="00150384"/>
    <w:rsid w:val="00160901"/>
    <w:rsid w:val="001805B7"/>
    <w:rsid w:val="00193F35"/>
    <w:rsid w:val="001E76D1"/>
    <w:rsid w:val="00244063"/>
    <w:rsid w:val="00296ABE"/>
    <w:rsid w:val="002D3EE7"/>
    <w:rsid w:val="002F56C8"/>
    <w:rsid w:val="00367B1C"/>
    <w:rsid w:val="004801A4"/>
    <w:rsid w:val="004A328D"/>
    <w:rsid w:val="005061B3"/>
    <w:rsid w:val="00536AA5"/>
    <w:rsid w:val="0058762B"/>
    <w:rsid w:val="005E7918"/>
    <w:rsid w:val="005F0E1F"/>
    <w:rsid w:val="006240B2"/>
    <w:rsid w:val="006504E3"/>
    <w:rsid w:val="00674A1F"/>
    <w:rsid w:val="006C3DA6"/>
    <w:rsid w:val="006E4E11"/>
    <w:rsid w:val="00713945"/>
    <w:rsid w:val="007221F5"/>
    <w:rsid w:val="00723018"/>
    <w:rsid w:val="007242A3"/>
    <w:rsid w:val="007949CC"/>
    <w:rsid w:val="007A6855"/>
    <w:rsid w:val="007E0638"/>
    <w:rsid w:val="00841F80"/>
    <w:rsid w:val="00885442"/>
    <w:rsid w:val="008A6A6B"/>
    <w:rsid w:val="00905078"/>
    <w:rsid w:val="0092027A"/>
    <w:rsid w:val="009210A1"/>
    <w:rsid w:val="00955E31"/>
    <w:rsid w:val="00992E72"/>
    <w:rsid w:val="009B264A"/>
    <w:rsid w:val="00A578C4"/>
    <w:rsid w:val="00A57D03"/>
    <w:rsid w:val="00A7778E"/>
    <w:rsid w:val="00AE15D8"/>
    <w:rsid w:val="00AF26D1"/>
    <w:rsid w:val="00B108CB"/>
    <w:rsid w:val="00B37E8C"/>
    <w:rsid w:val="00B62B19"/>
    <w:rsid w:val="00B801CA"/>
    <w:rsid w:val="00BA45AB"/>
    <w:rsid w:val="00C66A5E"/>
    <w:rsid w:val="00CA367E"/>
    <w:rsid w:val="00CC2175"/>
    <w:rsid w:val="00CD0D7E"/>
    <w:rsid w:val="00CD2B2A"/>
    <w:rsid w:val="00D133D7"/>
    <w:rsid w:val="00D41D49"/>
    <w:rsid w:val="00D83295"/>
    <w:rsid w:val="00DF4E46"/>
    <w:rsid w:val="00E43711"/>
    <w:rsid w:val="00E80146"/>
    <w:rsid w:val="00E904D0"/>
    <w:rsid w:val="00EC25F9"/>
    <w:rsid w:val="00ED583F"/>
    <w:rsid w:val="00EE308F"/>
    <w:rsid w:val="00F02C80"/>
    <w:rsid w:val="00F076A6"/>
    <w:rsid w:val="00FF73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F77614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6A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6A6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D3EE7"/>
    <w:rPr>
      <w:sz w:val="16"/>
      <w:szCs w:val="16"/>
    </w:rPr>
  </w:style>
  <w:style w:type="paragraph" w:styleId="Kommentarer">
    <w:name w:val="annotation text"/>
    <w:basedOn w:val="Normal"/>
    <w:link w:val="KommentarerChar"/>
    <w:rsid w:val="002D3EE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D3EE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D3EE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D3EE7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8A6A6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8A6A6B"/>
    <w:rPr>
      <w:rFonts w:ascii="Tahoma" w:hAnsi="Tahoma" w:cs="Tahoma"/>
      <w:sz w:val="16"/>
      <w:szCs w:val="16"/>
      <w:lang w:eastAsia="en-US"/>
    </w:rPr>
  </w:style>
  <w:style w:type="character" w:styleId="Kommentarsreferens">
    <w:name w:val="annotation reference"/>
    <w:basedOn w:val="Standardstycketeckensnitt"/>
    <w:rsid w:val="002D3EE7"/>
    <w:rPr>
      <w:sz w:val="16"/>
      <w:szCs w:val="16"/>
    </w:rPr>
  </w:style>
  <w:style w:type="paragraph" w:styleId="Kommentarer">
    <w:name w:val="annotation text"/>
    <w:basedOn w:val="Normal"/>
    <w:link w:val="KommentarerChar"/>
    <w:rsid w:val="002D3EE7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D3EE7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D3EE7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D3EE7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453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endnotes" Target="endnotes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footnotes" Target="foot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11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settings" Target="settings.xml"/><Relationship Id="rId14" Type="http://schemas.openxmlformats.org/officeDocument/2006/relationships/header" Target="header1.xml"/><Relationship Id="rId9" Type="http://schemas.microsoft.com/office/2007/relationships/stylesWithEffects" Target="stylesWithEffect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47d8c5916837a250af363b8fcfdbe05e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5c89beff7960973a6d794252edf4990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4993e1cb-14f1-41a8-8389-52f93159f1d6</RD_Svarsid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03b07f17f188ad8eeb97981138d0ae99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fbf446a3bf5a2ce246bfc14c229a140b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1111F4-5AE7-48D8-B969-775A4C240419}"/>
</file>

<file path=customXml/itemProps2.xml><?xml version="1.0" encoding="utf-8"?>
<ds:datastoreItem xmlns:ds="http://schemas.openxmlformats.org/officeDocument/2006/customXml" ds:itemID="{B25B34CD-BC14-4604-BEB1-EA0F83459A59}"/>
</file>

<file path=customXml/itemProps3.xml><?xml version="1.0" encoding="utf-8"?>
<ds:datastoreItem xmlns:ds="http://schemas.openxmlformats.org/officeDocument/2006/customXml" ds:itemID="{C70B8DD8-C12C-4934-98CA-F2029871CE78}"/>
</file>

<file path=customXml/itemProps4.xml><?xml version="1.0" encoding="utf-8"?>
<ds:datastoreItem xmlns:ds="http://schemas.openxmlformats.org/officeDocument/2006/customXml" ds:itemID="{B25B34CD-BC14-4604-BEB1-EA0F83459A5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B7742C4A-DFF8-4D91-9407-C9AC2AE0DBB6}"/>
</file>

<file path=customXml/itemProps6.xml><?xml version="1.0" encoding="utf-8"?>
<ds:datastoreItem xmlns:ds="http://schemas.openxmlformats.org/officeDocument/2006/customXml" ds:itemID="{B25B34CD-BC14-4604-BEB1-EA0F83459A5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482</Words>
  <Characters>2708</Characters>
  <Application>Microsoft Office Word</Application>
  <DocSecurity>0</DocSecurity>
  <Lines>386</Lines>
  <Paragraphs>127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3063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Åsa Hjelt</dc:creator>
  <cp:lastModifiedBy>Inga Holm</cp:lastModifiedBy>
  <cp:revision>6</cp:revision>
  <cp:lastPrinted>2014-10-15T08:32:00Z</cp:lastPrinted>
  <dcterms:created xsi:type="dcterms:W3CDTF">2014-10-15T08:56:00Z</dcterms:created>
  <dcterms:modified xsi:type="dcterms:W3CDTF">2014-10-15T09:35:00Z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3;0;0;229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6a713fe9-0079-47fd-9dae-00914eb40e9f</vt:lpwstr>
  </property>
</Properties>
</file>