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17B0462574459BBAC9C414271E114B"/>
        </w:placeholder>
        <w:text/>
      </w:sdtPr>
      <w:sdtEndPr/>
      <w:sdtContent>
        <w:p w:rsidRPr="009B062B" w:rsidR="00AF30DD" w:rsidP="00200DF1" w:rsidRDefault="00AF30DD" w14:paraId="52EC7E08" w14:textId="77777777">
          <w:pPr>
            <w:pStyle w:val="Rubrik1"/>
            <w:spacing w:after="300"/>
          </w:pPr>
          <w:r w:rsidRPr="009B062B">
            <w:t>Förslag till riksdagsbeslut</w:t>
          </w:r>
        </w:p>
      </w:sdtContent>
    </w:sdt>
    <w:sdt>
      <w:sdtPr>
        <w:alias w:val="Yrkande 1"/>
        <w:tag w:val="8d005603-e8d0-43cf-93d1-66e8a1fae0d8"/>
        <w:id w:val="-1542813653"/>
        <w:lock w:val="sdtLocked"/>
      </w:sdtPr>
      <w:sdtEndPr/>
      <w:sdtContent>
        <w:p w:rsidR="00163743" w:rsidRDefault="000035F8" w14:paraId="52EC7E09" w14:textId="01034736">
          <w:pPr>
            <w:pStyle w:val="Frslagstext"/>
            <w:numPr>
              <w:ilvl w:val="0"/>
              <w:numId w:val="0"/>
            </w:numPr>
          </w:pPr>
          <w:r>
            <w:t>Riksdagen anvisar anslagen för 2022 inom utgiftsområde 25 Allmänna bidrag till kommuner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F2525D1DD8054B60AE99D50F7D5D2C71"/>
        </w:placeholder>
        <w:text/>
      </w:sdtPr>
      <w:sdtEndPr/>
      <w:sdtContent>
        <w:p w:rsidRPr="006C3E4C" w:rsidR="006D79C9" w:rsidP="00333E95" w:rsidRDefault="006D79C9" w14:paraId="52EC7E0A" w14:textId="77777777">
          <w:pPr>
            <w:pStyle w:val="Rubrik1"/>
          </w:pPr>
          <w:r>
            <w:t>Motivering</w:t>
          </w:r>
        </w:p>
      </w:sdtContent>
    </w:sdt>
    <w:p w:rsidRPr="006C3E4C" w:rsidR="00497E5F" w:rsidP="00014800" w:rsidRDefault="00497E5F" w14:paraId="52EC7E0B" w14:textId="77777777">
      <w:pPr>
        <w:pStyle w:val="Normalutanindragellerluft"/>
        <w:rPr>
          <w:rFonts w:eastAsia="SimSun"/>
        </w:rPr>
      </w:pPr>
      <w:r w:rsidRPr="006C3E4C">
        <w:rPr>
          <w:rFonts w:eastAsia="SimSun"/>
        </w:rPr>
        <w:t xml:space="preserve">Kommuner och regioner ansvarar för några av den offentliga sektorns viktigaste åtaganden. Skolan, sjukvården, omsorgen och kollektivtrafiken formas och utvecklas i kommuner och regioner. </w:t>
      </w:r>
    </w:p>
    <w:p w:rsidRPr="006C3E4C" w:rsidR="00497E5F" w:rsidP="00014800" w:rsidRDefault="00497E5F" w14:paraId="52EC7E0C" w14:textId="77777777">
      <w:pPr>
        <w:rPr>
          <w:rFonts w:eastAsia="SimSun"/>
        </w:rPr>
      </w:pPr>
      <w:r w:rsidRPr="006C3E4C">
        <w:rPr>
          <w:rFonts w:eastAsia="SimSun"/>
        </w:rPr>
        <w:t>Att den kommunala sektorn ges goda och långsiktiga förutsättningar att finansiera sin verksamhet, och att anpassa den efter lokalt skiftande behov, är således av största vikt. Centerpartiet vill att makt ska finnas så nära människor som möjligt. Här utgör kommuner och regioner naturliga arenor för att lokalt organisera verksamheter som betyder mycket för människor.</w:t>
      </w:r>
    </w:p>
    <w:p w:rsidRPr="00014800" w:rsidR="0056284C" w:rsidP="00014800" w:rsidRDefault="0056284C" w14:paraId="52EC7E0D" w14:textId="77777777">
      <w:pPr>
        <w:pStyle w:val="Rubrik2"/>
      </w:pPr>
      <w:r w:rsidRPr="00014800">
        <w:t>Förslag till anslagsfördelning</w:t>
      </w:r>
    </w:p>
    <w:p w:rsidRPr="00014800" w:rsidR="006473B2" w:rsidP="00014800" w:rsidRDefault="006473B2" w14:paraId="52EC7E0E" w14:textId="39B6E890">
      <w:pPr>
        <w:pStyle w:val="Tabellrubrik"/>
        <w:keepNext/>
      </w:pPr>
      <w:bookmarkStart w:name="_Hlk84249409" w:id="1"/>
      <w:r w:rsidRPr="00014800">
        <w:t xml:space="preserve">Tabell </w:t>
      </w:r>
      <w:r w:rsidRPr="00014800" w:rsidR="00497E5F">
        <w:t>1</w:t>
      </w:r>
      <w:r w:rsidRPr="00014800">
        <w:t xml:space="preserve"> Centerpartiets förslag till anslag för 20</w:t>
      </w:r>
      <w:r w:rsidRPr="00014800" w:rsidR="00EF6A72">
        <w:t>22</w:t>
      </w:r>
      <w:r w:rsidRPr="00014800">
        <w:t xml:space="preserve"> för utgiftsområde </w:t>
      </w:r>
      <w:r w:rsidRPr="00014800" w:rsidR="00EB40B1">
        <w:t>2</w:t>
      </w:r>
      <w:r w:rsidRPr="00014800" w:rsidR="00497E5F">
        <w:t>5</w:t>
      </w:r>
      <w:r w:rsidRPr="00014800">
        <w:t xml:space="preserve"> uttryckt som differens gentemot regeringens förslag, 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014800" w:rsidR="00BF51A8" w:rsidTr="00014800" w14:paraId="52EC7E12"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bookmarkEnd w:id="1"/>
          <w:p w:rsidRPr="00014800" w:rsidR="00BF51A8" w:rsidP="00014800" w:rsidRDefault="00BF51A8" w14:paraId="52EC7E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014800">
              <w:rPr>
                <w:rFonts w:eastAsia="Times New Roman" w:cstheme="minorHAnsi"/>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14800" w:rsidR="00BF51A8" w:rsidP="00014800" w:rsidRDefault="00BF51A8" w14:paraId="52EC7E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014800">
              <w:rPr>
                <w:rFonts w:eastAsia="Times New Roman" w:cstheme="minorHAnsi"/>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14800" w:rsidR="00BF51A8" w:rsidP="00014800" w:rsidRDefault="00BF51A8" w14:paraId="52EC7E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014800">
              <w:rPr>
                <w:rFonts w:eastAsia="Times New Roman" w:cstheme="minorHAnsi"/>
                <w:b/>
                <w:bCs/>
                <w:color w:val="000000"/>
                <w:kern w:val="0"/>
                <w:sz w:val="20"/>
                <w:szCs w:val="20"/>
                <w:lang w:eastAsia="sv-SE"/>
                <w14:numSpacing w14:val="default"/>
              </w:rPr>
              <w:t>Avvikelse från regeringen</w:t>
            </w:r>
          </w:p>
        </w:tc>
      </w:tr>
      <w:tr w:rsidRPr="00014800" w:rsidR="00BF51A8" w:rsidTr="00014800" w14:paraId="52EC7E17" w14:textId="77777777">
        <w:tc>
          <w:tcPr>
            <w:tcW w:w="415" w:type="dxa"/>
            <w:shd w:val="clear" w:color="auto" w:fill="FFFFFF"/>
            <w:tcMar>
              <w:top w:w="68" w:type="dxa"/>
              <w:left w:w="28" w:type="dxa"/>
              <w:bottom w:w="0" w:type="dxa"/>
              <w:right w:w="28" w:type="dxa"/>
            </w:tcMar>
            <w:hideMark/>
          </w:tcPr>
          <w:p w:rsidRPr="00014800" w:rsidR="00BF51A8" w:rsidP="00014800" w:rsidRDefault="00BF51A8" w14:paraId="52EC7E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4800">
              <w:rPr>
                <w:rFonts w:eastAsia="Times New Roman" w:cstheme="minorHAnsi"/>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014800" w:rsidR="00BF51A8" w:rsidP="00014800" w:rsidRDefault="00BF51A8" w14:paraId="52EC7E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4800">
              <w:rPr>
                <w:rFonts w:eastAsia="Times New Roman" w:cstheme="minorHAnsi"/>
                <w:color w:val="000000"/>
                <w:kern w:val="0"/>
                <w:sz w:val="20"/>
                <w:szCs w:val="20"/>
                <w:lang w:eastAsia="sv-SE"/>
                <w14:numSpacing w14:val="default"/>
              </w:rPr>
              <w:t>Kommunalekonomisk utjämning</w:t>
            </w:r>
          </w:p>
        </w:tc>
        <w:tc>
          <w:tcPr>
            <w:tcW w:w="1729" w:type="dxa"/>
            <w:shd w:val="clear" w:color="auto" w:fill="FFFFFF"/>
            <w:tcMar>
              <w:top w:w="68" w:type="dxa"/>
              <w:left w:w="28" w:type="dxa"/>
              <w:bottom w:w="0" w:type="dxa"/>
              <w:right w:w="28" w:type="dxa"/>
            </w:tcMar>
            <w:hideMark/>
          </w:tcPr>
          <w:p w:rsidRPr="00014800" w:rsidR="00BF51A8" w:rsidP="00014800" w:rsidRDefault="00BF51A8" w14:paraId="52EC7E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4800">
              <w:rPr>
                <w:rFonts w:eastAsia="Times New Roman" w:cstheme="minorHAnsi"/>
                <w:color w:val="000000"/>
                <w:kern w:val="0"/>
                <w:sz w:val="20"/>
                <w:szCs w:val="20"/>
                <w:lang w:eastAsia="sv-SE"/>
                <w14:numSpacing w14:val="default"/>
              </w:rPr>
              <w:t>147 046 689</w:t>
            </w:r>
          </w:p>
        </w:tc>
        <w:tc>
          <w:tcPr>
            <w:tcW w:w="1729" w:type="dxa"/>
            <w:shd w:val="clear" w:color="auto" w:fill="FFFFFF"/>
            <w:tcMar>
              <w:top w:w="68" w:type="dxa"/>
              <w:left w:w="28" w:type="dxa"/>
              <w:bottom w:w="0" w:type="dxa"/>
              <w:right w:w="28" w:type="dxa"/>
            </w:tcMar>
            <w:hideMark/>
          </w:tcPr>
          <w:p w:rsidRPr="00014800" w:rsidR="00BF51A8" w:rsidP="00014800" w:rsidRDefault="00BF51A8" w14:paraId="52EC7E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4800">
              <w:rPr>
                <w:rFonts w:eastAsia="Times New Roman" w:cstheme="minorHAnsi"/>
                <w:color w:val="000000"/>
                <w:kern w:val="0"/>
                <w:sz w:val="20"/>
                <w:szCs w:val="20"/>
                <w:lang w:eastAsia="sv-SE"/>
                <w14:numSpacing w14:val="default"/>
              </w:rPr>
              <w:t>378 500</w:t>
            </w:r>
          </w:p>
        </w:tc>
      </w:tr>
      <w:tr w:rsidRPr="00014800" w:rsidR="00BF51A8" w:rsidTr="00014800" w14:paraId="52EC7E1C" w14:textId="77777777">
        <w:tc>
          <w:tcPr>
            <w:tcW w:w="415" w:type="dxa"/>
            <w:shd w:val="clear" w:color="auto" w:fill="FFFFFF"/>
            <w:tcMar>
              <w:top w:w="68" w:type="dxa"/>
              <w:left w:w="28" w:type="dxa"/>
              <w:bottom w:w="0" w:type="dxa"/>
              <w:right w:w="28" w:type="dxa"/>
            </w:tcMar>
            <w:hideMark/>
          </w:tcPr>
          <w:p w:rsidRPr="00014800" w:rsidR="00BF51A8" w:rsidP="00014800" w:rsidRDefault="00BF51A8" w14:paraId="52EC7E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4800">
              <w:rPr>
                <w:rFonts w:eastAsia="Times New Roman" w:cstheme="minorHAnsi"/>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014800" w:rsidR="00BF51A8" w:rsidP="00014800" w:rsidRDefault="00BF51A8" w14:paraId="52EC7E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4800">
              <w:rPr>
                <w:rFonts w:eastAsia="Times New Roman" w:cstheme="minorHAnsi"/>
                <w:color w:val="000000"/>
                <w:kern w:val="0"/>
                <w:sz w:val="20"/>
                <w:szCs w:val="20"/>
                <w:lang w:eastAsia="sv-SE"/>
                <w14:numSpacing w14:val="default"/>
              </w:rPr>
              <w:t>Utjämningsbidrag för LSS-kostnader</w:t>
            </w:r>
          </w:p>
        </w:tc>
        <w:tc>
          <w:tcPr>
            <w:tcW w:w="1729" w:type="dxa"/>
            <w:shd w:val="clear" w:color="auto" w:fill="FFFFFF"/>
            <w:tcMar>
              <w:top w:w="68" w:type="dxa"/>
              <w:left w:w="28" w:type="dxa"/>
              <w:bottom w:w="0" w:type="dxa"/>
              <w:right w:w="28" w:type="dxa"/>
            </w:tcMar>
            <w:hideMark/>
          </w:tcPr>
          <w:p w:rsidRPr="00014800" w:rsidR="00BF51A8" w:rsidP="00014800" w:rsidRDefault="00BF51A8" w14:paraId="52EC7E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4800">
              <w:rPr>
                <w:rFonts w:eastAsia="Times New Roman" w:cstheme="minorHAnsi"/>
                <w:color w:val="000000"/>
                <w:kern w:val="0"/>
                <w:sz w:val="20"/>
                <w:szCs w:val="20"/>
                <w:lang w:eastAsia="sv-SE"/>
                <w14:numSpacing w14:val="default"/>
              </w:rPr>
              <w:t>4 718 355</w:t>
            </w:r>
          </w:p>
        </w:tc>
        <w:tc>
          <w:tcPr>
            <w:tcW w:w="1729" w:type="dxa"/>
            <w:shd w:val="clear" w:color="auto" w:fill="FFFFFF"/>
            <w:tcMar>
              <w:top w:w="68" w:type="dxa"/>
              <w:left w:w="28" w:type="dxa"/>
              <w:bottom w:w="0" w:type="dxa"/>
              <w:right w:w="28" w:type="dxa"/>
            </w:tcMar>
            <w:hideMark/>
          </w:tcPr>
          <w:p w:rsidRPr="00014800" w:rsidR="00BF51A8" w:rsidP="00014800" w:rsidRDefault="00BF51A8" w14:paraId="52EC7E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4800">
              <w:rPr>
                <w:rFonts w:eastAsia="Times New Roman" w:cstheme="minorHAnsi"/>
                <w:color w:val="000000"/>
                <w:kern w:val="0"/>
                <w:sz w:val="20"/>
                <w:szCs w:val="20"/>
                <w:lang w:eastAsia="sv-SE"/>
                <w14:numSpacing w14:val="default"/>
              </w:rPr>
              <w:t>±0</w:t>
            </w:r>
          </w:p>
        </w:tc>
      </w:tr>
      <w:tr w:rsidRPr="00014800" w:rsidR="00BF51A8" w:rsidTr="00014800" w14:paraId="52EC7E21" w14:textId="77777777">
        <w:tc>
          <w:tcPr>
            <w:tcW w:w="415" w:type="dxa"/>
            <w:shd w:val="clear" w:color="auto" w:fill="FFFFFF"/>
            <w:tcMar>
              <w:top w:w="68" w:type="dxa"/>
              <w:left w:w="28" w:type="dxa"/>
              <w:bottom w:w="0" w:type="dxa"/>
              <w:right w:w="28" w:type="dxa"/>
            </w:tcMar>
            <w:hideMark/>
          </w:tcPr>
          <w:p w:rsidRPr="00014800" w:rsidR="00BF51A8" w:rsidP="00014800" w:rsidRDefault="00BF51A8" w14:paraId="52EC7E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4800">
              <w:rPr>
                <w:rFonts w:eastAsia="Times New Roman" w:cstheme="minorHAnsi"/>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014800" w:rsidR="00BF51A8" w:rsidP="00014800" w:rsidRDefault="00BF51A8" w14:paraId="52EC7E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4800">
              <w:rPr>
                <w:rFonts w:eastAsia="Times New Roman" w:cstheme="minorHAnsi"/>
                <w:color w:val="000000"/>
                <w:kern w:val="0"/>
                <w:sz w:val="20"/>
                <w:szCs w:val="20"/>
                <w:lang w:eastAsia="sv-SE"/>
                <w14:numSpacing w14:val="default"/>
              </w:rPr>
              <w:t>Bidrag till kommunalekonomiska organisationer</w:t>
            </w:r>
          </w:p>
        </w:tc>
        <w:tc>
          <w:tcPr>
            <w:tcW w:w="1729" w:type="dxa"/>
            <w:shd w:val="clear" w:color="auto" w:fill="FFFFFF"/>
            <w:tcMar>
              <w:top w:w="68" w:type="dxa"/>
              <w:left w:w="28" w:type="dxa"/>
              <w:bottom w:w="0" w:type="dxa"/>
              <w:right w:w="28" w:type="dxa"/>
            </w:tcMar>
            <w:hideMark/>
          </w:tcPr>
          <w:p w:rsidRPr="00014800" w:rsidR="00BF51A8" w:rsidP="00014800" w:rsidRDefault="00BF51A8" w14:paraId="52EC7E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4800">
              <w:rPr>
                <w:rFonts w:eastAsia="Times New Roman" w:cstheme="minorHAnsi"/>
                <w:color w:val="000000"/>
                <w:kern w:val="0"/>
                <w:sz w:val="20"/>
                <w:szCs w:val="20"/>
                <w:lang w:eastAsia="sv-SE"/>
                <w14:numSpacing w14:val="default"/>
              </w:rPr>
              <w:t>7 150</w:t>
            </w:r>
          </w:p>
        </w:tc>
        <w:tc>
          <w:tcPr>
            <w:tcW w:w="1729" w:type="dxa"/>
            <w:shd w:val="clear" w:color="auto" w:fill="FFFFFF"/>
            <w:tcMar>
              <w:top w:w="68" w:type="dxa"/>
              <w:left w:w="28" w:type="dxa"/>
              <w:bottom w:w="0" w:type="dxa"/>
              <w:right w:w="28" w:type="dxa"/>
            </w:tcMar>
            <w:hideMark/>
          </w:tcPr>
          <w:p w:rsidRPr="00014800" w:rsidR="00BF51A8" w:rsidP="00014800" w:rsidRDefault="00BF51A8" w14:paraId="52EC7E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4800">
              <w:rPr>
                <w:rFonts w:eastAsia="Times New Roman" w:cstheme="minorHAnsi"/>
                <w:color w:val="000000"/>
                <w:kern w:val="0"/>
                <w:sz w:val="20"/>
                <w:szCs w:val="20"/>
                <w:lang w:eastAsia="sv-SE"/>
                <w14:numSpacing w14:val="default"/>
              </w:rPr>
              <w:t>±0</w:t>
            </w:r>
          </w:p>
        </w:tc>
      </w:tr>
      <w:tr w:rsidRPr="00014800" w:rsidR="00BF51A8" w:rsidTr="00014800" w14:paraId="52EC7E26" w14:textId="77777777">
        <w:tc>
          <w:tcPr>
            <w:tcW w:w="415" w:type="dxa"/>
            <w:shd w:val="clear" w:color="auto" w:fill="FFFFFF"/>
            <w:tcMar>
              <w:top w:w="68" w:type="dxa"/>
              <w:left w:w="28" w:type="dxa"/>
              <w:bottom w:w="0" w:type="dxa"/>
              <w:right w:w="28" w:type="dxa"/>
            </w:tcMar>
            <w:hideMark/>
          </w:tcPr>
          <w:p w:rsidRPr="00014800" w:rsidR="00BF51A8" w:rsidP="00014800" w:rsidRDefault="00BF51A8" w14:paraId="52EC7E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4800">
              <w:rPr>
                <w:rFonts w:eastAsia="Times New Roman" w:cstheme="minorHAnsi"/>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014800" w:rsidR="00BF51A8" w:rsidP="00014800" w:rsidRDefault="00BF51A8" w14:paraId="52EC7E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4800">
              <w:rPr>
                <w:rFonts w:eastAsia="Times New Roman" w:cstheme="minorHAnsi"/>
                <w:color w:val="000000"/>
                <w:kern w:val="0"/>
                <w:sz w:val="20"/>
                <w:szCs w:val="20"/>
                <w:lang w:eastAsia="sv-SE"/>
                <w14:numSpacing w14:val="default"/>
              </w:rPr>
              <w:t>Tillfälligt stöd till enskilda kommuner och regioner</w:t>
            </w:r>
          </w:p>
        </w:tc>
        <w:tc>
          <w:tcPr>
            <w:tcW w:w="1729" w:type="dxa"/>
            <w:shd w:val="clear" w:color="auto" w:fill="FFFFFF"/>
            <w:tcMar>
              <w:top w:w="68" w:type="dxa"/>
              <w:left w:w="28" w:type="dxa"/>
              <w:bottom w:w="0" w:type="dxa"/>
              <w:right w:w="28" w:type="dxa"/>
            </w:tcMar>
            <w:hideMark/>
          </w:tcPr>
          <w:p w:rsidRPr="00014800" w:rsidR="00BF51A8" w:rsidP="00014800" w:rsidRDefault="00BF51A8" w14:paraId="52EC7E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4800">
              <w:rPr>
                <w:rFonts w:eastAsia="Times New Roman" w:cstheme="minorHAnsi"/>
                <w:color w:val="000000"/>
                <w:kern w:val="0"/>
                <w:sz w:val="20"/>
                <w:szCs w:val="20"/>
                <w:lang w:eastAsia="sv-SE"/>
                <w14:numSpacing w14:val="default"/>
              </w:rPr>
              <w:t>250 000</w:t>
            </w:r>
          </w:p>
        </w:tc>
        <w:tc>
          <w:tcPr>
            <w:tcW w:w="1729" w:type="dxa"/>
            <w:shd w:val="clear" w:color="auto" w:fill="FFFFFF"/>
            <w:tcMar>
              <w:top w:w="68" w:type="dxa"/>
              <w:left w:w="28" w:type="dxa"/>
              <w:bottom w:w="0" w:type="dxa"/>
              <w:right w:w="28" w:type="dxa"/>
            </w:tcMar>
            <w:hideMark/>
          </w:tcPr>
          <w:p w:rsidRPr="00014800" w:rsidR="00BF51A8" w:rsidP="00014800" w:rsidRDefault="00BF51A8" w14:paraId="52EC7E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4800">
              <w:rPr>
                <w:rFonts w:eastAsia="Times New Roman" w:cstheme="minorHAnsi"/>
                <w:color w:val="000000"/>
                <w:kern w:val="0"/>
                <w:sz w:val="20"/>
                <w:szCs w:val="20"/>
                <w:lang w:eastAsia="sv-SE"/>
                <w14:numSpacing w14:val="default"/>
              </w:rPr>
              <w:t>±0</w:t>
            </w:r>
          </w:p>
        </w:tc>
      </w:tr>
      <w:tr w:rsidRPr="00014800" w:rsidR="00BF51A8" w:rsidTr="00014800" w14:paraId="52EC7E2B" w14:textId="77777777">
        <w:tc>
          <w:tcPr>
            <w:tcW w:w="415" w:type="dxa"/>
            <w:shd w:val="clear" w:color="auto" w:fill="FFFFFF"/>
            <w:tcMar>
              <w:top w:w="68" w:type="dxa"/>
              <w:left w:w="28" w:type="dxa"/>
              <w:bottom w:w="0" w:type="dxa"/>
              <w:right w:w="28" w:type="dxa"/>
            </w:tcMar>
            <w:hideMark/>
          </w:tcPr>
          <w:p w:rsidRPr="00014800" w:rsidR="00BF51A8" w:rsidP="00014800" w:rsidRDefault="00BF51A8" w14:paraId="52EC7E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4800">
              <w:rPr>
                <w:rFonts w:eastAsia="Times New Roman" w:cstheme="minorHAnsi"/>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014800" w:rsidR="00BF51A8" w:rsidP="00014800" w:rsidRDefault="00BF51A8" w14:paraId="52EC7E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4800">
              <w:rPr>
                <w:rFonts w:eastAsia="Times New Roman" w:cstheme="minorHAnsi"/>
                <w:color w:val="000000"/>
                <w:kern w:val="0"/>
                <w:sz w:val="20"/>
                <w:szCs w:val="20"/>
                <w:lang w:eastAsia="sv-SE"/>
                <w14:numSpacing w14:val="default"/>
              </w:rPr>
              <w:t>Medel till befolkningsmässigt mindre kommuner</w:t>
            </w:r>
          </w:p>
        </w:tc>
        <w:tc>
          <w:tcPr>
            <w:tcW w:w="1729" w:type="dxa"/>
            <w:shd w:val="clear" w:color="auto" w:fill="FFFFFF"/>
            <w:tcMar>
              <w:top w:w="68" w:type="dxa"/>
              <w:left w:w="28" w:type="dxa"/>
              <w:bottom w:w="0" w:type="dxa"/>
              <w:right w:w="28" w:type="dxa"/>
            </w:tcMar>
            <w:hideMark/>
          </w:tcPr>
          <w:p w:rsidRPr="00014800" w:rsidR="00BF51A8" w:rsidP="00014800" w:rsidRDefault="00BF51A8" w14:paraId="52EC7E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4800">
              <w:rPr>
                <w:rFonts w:eastAsia="Times New Roman" w:cstheme="minorHAnsi"/>
                <w:color w:val="000000"/>
                <w:kern w:val="0"/>
                <w:sz w:val="20"/>
                <w:szCs w:val="20"/>
                <w:lang w:eastAsia="sv-SE"/>
                <w14:numSpacing w14:val="default"/>
              </w:rPr>
              <w:t>300 000</w:t>
            </w:r>
          </w:p>
        </w:tc>
        <w:tc>
          <w:tcPr>
            <w:tcW w:w="1729" w:type="dxa"/>
            <w:shd w:val="clear" w:color="auto" w:fill="FFFFFF"/>
            <w:tcMar>
              <w:top w:w="68" w:type="dxa"/>
              <w:left w:w="28" w:type="dxa"/>
              <w:bottom w:w="0" w:type="dxa"/>
              <w:right w:w="28" w:type="dxa"/>
            </w:tcMar>
            <w:hideMark/>
          </w:tcPr>
          <w:p w:rsidRPr="00014800" w:rsidR="00BF51A8" w:rsidP="00014800" w:rsidRDefault="00BF51A8" w14:paraId="52EC7E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4800">
              <w:rPr>
                <w:rFonts w:eastAsia="Times New Roman" w:cstheme="minorHAnsi"/>
                <w:color w:val="000000"/>
                <w:kern w:val="0"/>
                <w:sz w:val="20"/>
                <w:szCs w:val="20"/>
                <w:lang w:eastAsia="sv-SE"/>
                <w14:numSpacing w14:val="default"/>
              </w:rPr>
              <w:t>±0</w:t>
            </w:r>
          </w:p>
        </w:tc>
      </w:tr>
      <w:tr w:rsidRPr="00014800" w:rsidR="00BF51A8" w:rsidTr="00014800" w14:paraId="52EC7E2F"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14800" w:rsidR="00BF51A8" w:rsidP="00014800" w:rsidRDefault="00BF51A8" w14:paraId="52EC7E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014800">
              <w:rPr>
                <w:rFonts w:eastAsia="Times New Roman" w:cstheme="minorHAnsi"/>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14800" w:rsidR="00BF51A8" w:rsidP="00014800" w:rsidRDefault="00BF51A8" w14:paraId="52EC7E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014800">
              <w:rPr>
                <w:rFonts w:eastAsia="Times New Roman" w:cstheme="minorHAnsi"/>
                <w:b/>
                <w:bCs/>
                <w:color w:val="000000"/>
                <w:kern w:val="0"/>
                <w:sz w:val="20"/>
                <w:szCs w:val="20"/>
                <w:lang w:eastAsia="sv-SE"/>
                <w14:numSpacing w14:val="default"/>
              </w:rPr>
              <w:t>152 322 194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14800" w:rsidR="00BF51A8" w:rsidP="00014800" w:rsidRDefault="00BF51A8" w14:paraId="52EC7E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014800">
              <w:rPr>
                <w:rFonts w:eastAsia="Times New Roman" w:cstheme="minorHAnsi"/>
                <w:b/>
                <w:bCs/>
                <w:color w:val="000000"/>
                <w:kern w:val="0"/>
                <w:sz w:val="20"/>
                <w:szCs w:val="20"/>
                <w:lang w:eastAsia="sv-SE"/>
                <w14:numSpacing w14:val="default"/>
              </w:rPr>
              <w:t>378 500</w:t>
            </w:r>
          </w:p>
        </w:tc>
      </w:tr>
    </w:tbl>
    <w:p w:rsidRPr="00014800" w:rsidR="000E0B16" w:rsidP="00014800" w:rsidRDefault="0056284C" w14:paraId="52EC7E32" w14:textId="3904A96A">
      <w:pPr>
        <w:pStyle w:val="Tabellrubrik"/>
        <w:keepNext/>
        <w:spacing w:before="300"/>
      </w:pPr>
      <w:r w:rsidRPr="00014800">
        <w:lastRenderedPageBreak/>
        <w:t xml:space="preserve">Tabell </w:t>
      </w:r>
      <w:r w:rsidRPr="00014800" w:rsidR="00497E5F">
        <w:t>2</w:t>
      </w:r>
      <w:r w:rsidRPr="00014800">
        <w:t xml:space="preserve"> Centerpartiets förslag till anslag för 20</w:t>
      </w:r>
      <w:r w:rsidRPr="00014800" w:rsidR="00EF6A72">
        <w:t>22</w:t>
      </w:r>
      <w:r w:rsidRPr="00014800">
        <w:t xml:space="preserve"> till 202</w:t>
      </w:r>
      <w:r w:rsidRPr="00014800" w:rsidR="00EF6A72">
        <w:t>4</w:t>
      </w:r>
      <w:r w:rsidRPr="00014800">
        <w:t xml:space="preserve"> för utgiftsområde </w:t>
      </w:r>
      <w:r w:rsidRPr="00014800" w:rsidR="00EB40B1">
        <w:t>2</w:t>
      </w:r>
      <w:r w:rsidRPr="00014800" w:rsidR="00497E5F">
        <w:t>5</w:t>
      </w:r>
      <w:r w:rsidRPr="00014800">
        <w:t xml:space="preserve"> uttryckt som differens gentemot regeringens förslag, miljoner kronor</w:t>
      </w:r>
    </w:p>
    <w:tbl>
      <w:tblPr>
        <w:tblW w:w="5000" w:type="pct"/>
        <w:shd w:val="clear" w:color="auto" w:fill="FFFFFF"/>
        <w:tblLayout w:type="fixed"/>
        <w:tblCellMar>
          <w:top w:w="400" w:type="dxa"/>
          <w:left w:w="68" w:type="dxa"/>
          <w:right w:w="68" w:type="dxa"/>
        </w:tblCellMar>
        <w:tblLook w:val="04A0" w:firstRow="1" w:lastRow="0" w:firstColumn="1" w:lastColumn="0" w:noHBand="0" w:noVBand="1"/>
      </w:tblPr>
      <w:tblGrid>
        <w:gridCol w:w="337"/>
        <w:gridCol w:w="4031"/>
        <w:gridCol w:w="1374"/>
        <w:gridCol w:w="1381"/>
        <w:gridCol w:w="1381"/>
      </w:tblGrid>
      <w:tr w:rsidRPr="00014800" w:rsidR="00497E5F" w:rsidTr="00014800" w14:paraId="52EC7E36" w14:textId="77777777">
        <w:tc>
          <w:tcPr>
            <w:tcW w:w="337"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14800" w:rsidR="00497E5F" w:rsidP="00014800" w:rsidRDefault="00497E5F" w14:paraId="52EC7E3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i/>
                <w:iCs/>
                <w:color w:val="000000"/>
                <w:kern w:val="0"/>
                <w:sz w:val="20"/>
                <w:szCs w:val="20"/>
                <w:lang w:eastAsia="sv-SE"/>
                <w14:numSpacing w14:val="default"/>
              </w:rPr>
            </w:pPr>
          </w:p>
        </w:tc>
        <w:tc>
          <w:tcPr>
            <w:tcW w:w="4031"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14800" w:rsidR="00497E5F" w:rsidP="00014800" w:rsidRDefault="00497E5F" w14:paraId="52EC7E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4136"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14800" w:rsidR="00497E5F" w:rsidP="00014800" w:rsidRDefault="00497E5F" w14:paraId="52EC7E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r w:rsidRPr="00014800">
              <w:rPr>
                <w:rFonts w:eastAsia="Times New Roman" w:cstheme="minorHAnsi"/>
                <w:b/>
                <w:bCs/>
                <w:color w:val="000000"/>
                <w:kern w:val="0"/>
                <w:sz w:val="20"/>
                <w:szCs w:val="20"/>
                <w:lang w:eastAsia="sv-SE"/>
                <w14:numSpacing w14:val="default"/>
              </w:rPr>
              <w:t>Avvikelse från regeringen</w:t>
            </w:r>
          </w:p>
        </w:tc>
      </w:tr>
      <w:tr w:rsidRPr="00014800" w:rsidR="00497E5F" w:rsidTr="00014800" w14:paraId="52EC7E3C" w14:textId="77777777">
        <w:tc>
          <w:tcPr>
            <w:tcW w:w="337" w:type="dxa"/>
            <w:tcBorders>
              <w:top w:val="nil"/>
              <w:left w:val="nil"/>
              <w:bottom w:val="single" w:color="auto" w:sz="6" w:space="0"/>
              <w:right w:val="nil"/>
            </w:tcBorders>
            <w:shd w:val="clear" w:color="auto" w:fill="FFFFFF"/>
            <w:tcMar>
              <w:top w:w="0" w:type="dxa"/>
              <w:left w:w="0" w:type="dxa"/>
              <w:bottom w:w="28" w:type="dxa"/>
              <w:right w:w="0" w:type="dxa"/>
            </w:tcMar>
            <w:hideMark/>
          </w:tcPr>
          <w:p w:rsidRPr="00014800" w:rsidR="00497E5F" w:rsidP="00014800" w:rsidRDefault="00497E5F" w14:paraId="52EC7E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p>
        </w:tc>
        <w:tc>
          <w:tcPr>
            <w:tcW w:w="4031" w:type="dxa"/>
            <w:tcBorders>
              <w:top w:val="nil"/>
              <w:left w:val="nil"/>
              <w:bottom w:val="single" w:color="auto" w:sz="6" w:space="0"/>
              <w:right w:val="nil"/>
            </w:tcBorders>
            <w:shd w:val="clear" w:color="auto" w:fill="FFFFFF"/>
            <w:tcMar>
              <w:top w:w="0" w:type="dxa"/>
              <w:left w:w="0" w:type="dxa"/>
              <w:bottom w:w="28" w:type="dxa"/>
              <w:right w:w="0" w:type="dxa"/>
            </w:tcMar>
            <w:hideMark/>
          </w:tcPr>
          <w:p w:rsidRPr="00014800" w:rsidR="00497E5F" w:rsidP="00014800" w:rsidRDefault="00497E5F" w14:paraId="52EC7E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137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14800" w:rsidR="00497E5F" w:rsidP="00014800" w:rsidRDefault="00497E5F" w14:paraId="52EC7E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014800">
              <w:rPr>
                <w:rFonts w:eastAsia="Times New Roman" w:cstheme="minorHAnsi"/>
                <w:b/>
                <w:bCs/>
                <w:color w:val="000000"/>
                <w:kern w:val="0"/>
                <w:sz w:val="20"/>
                <w:szCs w:val="20"/>
                <w:lang w:eastAsia="sv-SE"/>
                <w14:numSpacing w14:val="default"/>
              </w:rPr>
              <w:t>2022</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14800" w:rsidR="00497E5F" w:rsidP="00014800" w:rsidRDefault="00497E5F" w14:paraId="52EC7E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014800">
              <w:rPr>
                <w:rFonts w:eastAsia="Times New Roman" w:cstheme="minorHAnsi"/>
                <w:b/>
                <w:bCs/>
                <w:color w:val="000000"/>
                <w:kern w:val="0"/>
                <w:sz w:val="20"/>
                <w:szCs w:val="20"/>
                <w:lang w:eastAsia="sv-SE"/>
                <w14:numSpacing w14:val="default"/>
              </w:rPr>
              <w:t>2023</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14800" w:rsidR="00497E5F" w:rsidP="00014800" w:rsidRDefault="00497E5F" w14:paraId="52EC7E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014800">
              <w:rPr>
                <w:rFonts w:eastAsia="Times New Roman" w:cstheme="minorHAnsi"/>
                <w:b/>
                <w:bCs/>
                <w:color w:val="000000"/>
                <w:kern w:val="0"/>
                <w:sz w:val="20"/>
                <w:szCs w:val="20"/>
                <w:lang w:eastAsia="sv-SE"/>
                <w14:numSpacing w14:val="default"/>
              </w:rPr>
              <w:t>2024</w:t>
            </w:r>
          </w:p>
        </w:tc>
      </w:tr>
      <w:tr w:rsidRPr="00014800" w:rsidR="00497E5F" w:rsidTr="00014800" w14:paraId="52EC7E3E" w14:textId="77777777">
        <w:tc>
          <w:tcPr>
            <w:tcW w:w="8504" w:type="dxa"/>
            <w:gridSpan w:val="5"/>
            <w:shd w:val="clear" w:color="auto" w:fill="FFFFFF"/>
            <w:tcMar>
              <w:top w:w="68" w:type="dxa"/>
              <w:left w:w="28" w:type="dxa"/>
              <w:bottom w:w="0" w:type="dxa"/>
              <w:right w:w="28" w:type="dxa"/>
            </w:tcMar>
            <w:hideMark/>
          </w:tcPr>
          <w:p w:rsidRPr="00014800" w:rsidR="00497E5F" w:rsidP="00014800" w:rsidRDefault="00497E5F" w14:paraId="52EC7E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014800">
              <w:rPr>
                <w:rFonts w:eastAsia="Times New Roman" w:cstheme="minorHAnsi"/>
                <w:b/>
                <w:bCs/>
                <w:color w:val="000000"/>
                <w:kern w:val="0"/>
                <w:sz w:val="20"/>
                <w:szCs w:val="20"/>
                <w:lang w:eastAsia="sv-SE"/>
                <w14:numSpacing w14:val="default"/>
              </w:rPr>
              <w:t>Utgiftsområde 25 Allmänna bidrag till kommuner</w:t>
            </w:r>
          </w:p>
        </w:tc>
      </w:tr>
      <w:tr w:rsidRPr="00014800" w:rsidR="00497E5F" w:rsidTr="00014800" w14:paraId="52EC7E44" w14:textId="77777777">
        <w:tc>
          <w:tcPr>
            <w:tcW w:w="337" w:type="dxa"/>
            <w:shd w:val="clear" w:color="auto" w:fill="FFFFFF"/>
            <w:tcMar>
              <w:top w:w="68" w:type="dxa"/>
              <w:left w:w="28" w:type="dxa"/>
              <w:bottom w:w="0" w:type="dxa"/>
              <w:right w:w="28" w:type="dxa"/>
            </w:tcMar>
            <w:hideMark/>
          </w:tcPr>
          <w:p w:rsidRPr="00014800" w:rsidR="00497E5F" w:rsidP="00014800" w:rsidRDefault="00497E5F" w14:paraId="52EC7E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4800">
              <w:rPr>
                <w:rFonts w:eastAsia="Times New Roman" w:cstheme="minorHAnsi"/>
                <w:color w:val="000000"/>
                <w:kern w:val="0"/>
                <w:sz w:val="20"/>
                <w:szCs w:val="20"/>
                <w:lang w:eastAsia="sv-SE"/>
                <w14:numSpacing w14:val="default"/>
              </w:rPr>
              <w:t>1:1</w:t>
            </w:r>
          </w:p>
        </w:tc>
        <w:tc>
          <w:tcPr>
            <w:tcW w:w="4031" w:type="dxa"/>
            <w:shd w:val="clear" w:color="auto" w:fill="FFFFFF"/>
            <w:tcMar>
              <w:top w:w="68" w:type="dxa"/>
              <w:left w:w="28" w:type="dxa"/>
              <w:bottom w:w="0" w:type="dxa"/>
              <w:right w:w="28" w:type="dxa"/>
            </w:tcMar>
            <w:hideMark/>
          </w:tcPr>
          <w:p w:rsidRPr="00014800" w:rsidR="00497E5F" w:rsidP="00014800" w:rsidRDefault="00497E5F" w14:paraId="52EC7E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4800">
              <w:rPr>
                <w:rFonts w:eastAsia="Times New Roman" w:cstheme="minorHAnsi"/>
                <w:color w:val="000000"/>
                <w:kern w:val="0"/>
                <w:sz w:val="20"/>
                <w:szCs w:val="20"/>
                <w:lang w:eastAsia="sv-SE"/>
                <w14:numSpacing w14:val="default"/>
              </w:rPr>
              <w:t>Kommunalekonomisk utjämning</w:t>
            </w:r>
          </w:p>
        </w:tc>
        <w:tc>
          <w:tcPr>
            <w:tcW w:w="1374" w:type="dxa"/>
            <w:shd w:val="clear" w:color="auto" w:fill="FFFFFF"/>
            <w:tcMar>
              <w:top w:w="68" w:type="dxa"/>
              <w:left w:w="28" w:type="dxa"/>
              <w:bottom w:w="0" w:type="dxa"/>
              <w:right w:w="28" w:type="dxa"/>
            </w:tcMar>
            <w:hideMark/>
          </w:tcPr>
          <w:p w:rsidRPr="00014800" w:rsidR="00497E5F" w:rsidP="00014800" w:rsidRDefault="00497E5F" w14:paraId="52EC7E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4800">
              <w:rPr>
                <w:rFonts w:eastAsia="Times New Roman" w:cstheme="minorHAnsi"/>
                <w:color w:val="000000"/>
                <w:kern w:val="0"/>
                <w:sz w:val="20"/>
                <w:szCs w:val="20"/>
                <w:lang w:eastAsia="sv-SE"/>
                <w14:numSpacing w14:val="default"/>
              </w:rPr>
              <w:t>379</w:t>
            </w:r>
          </w:p>
        </w:tc>
        <w:tc>
          <w:tcPr>
            <w:tcW w:w="1381" w:type="dxa"/>
            <w:shd w:val="clear" w:color="auto" w:fill="FFFFFF"/>
            <w:tcMar>
              <w:top w:w="68" w:type="dxa"/>
              <w:left w:w="28" w:type="dxa"/>
              <w:bottom w:w="0" w:type="dxa"/>
              <w:right w:w="28" w:type="dxa"/>
            </w:tcMar>
            <w:hideMark/>
          </w:tcPr>
          <w:p w:rsidRPr="00014800" w:rsidR="00497E5F" w:rsidP="00014800" w:rsidRDefault="00497E5F" w14:paraId="52EC7E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4800">
              <w:rPr>
                <w:rFonts w:eastAsia="Times New Roman" w:cstheme="minorHAnsi"/>
                <w:color w:val="000000"/>
                <w:kern w:val="0"/>
                <w:sz w:val="20"/>
                <w:szCs w:val="20"/>
                <w:lang w:eastAsia="sv-SE"/>
                <w14:numSpacing w14:val="default"/>
              </w:rPr>
              <w:t>−1 257</w:t>
            </w:r>
          </w:p>
        </w:tc>
        <w:tc>
          <w:tcPr>
            <w:tcW w:w="1381" w:type="dxa"/>
            <w:shd w:val="clear" w:color="auto" w:fill="FFFFFF"/>
            <w:tcMar>
              <w:top w:w="68" w:type="dxa"/>
              <w:left w:w="28" w:type="dxa"/>
              <w:bottom w:w="0" w:type="dxa"/>
              <w:right w:w="28" w:type="dxa"/>
            </w:tcMar>
            <w:hideMark/>
          </w:tcPr>
          <w:p w:rsidRPr="00014800" w:rsidR="00497E5F" w:rsidP="00014800" w:rsidRDefault="00497E5F" w14:paraId="52EC7E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4800">
              <w:rPr>
                <w:rFonts w:eastAsia="Times New Roman" w:cstheme="minorHAnsi"/>
                <w:color w:val="000000"/>
                <w:kern w:val="0"/>
                <w:sz w:val="20"/>
                <w:szCs w:val="20"/>
                <w:lang w:eastAsia="sv-SE"/>
                <w14:numSpacing w14:val="default"/>
              </w:rPr>
              <w:t>−1 165</w:t>
            </w:r>
          </w:p>
        </w:tc>
      </w:tr>
      <w:tr w:rsidRPr="00014800" w:rsidR="00497E5F" w:rsidTr="00014800" w14:paraId="52EC7E49" w14:textId="77777777">
        <w:tc>
          <w:tcPr>
            <w:tcW w:w="4368"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14800" w:rsidR="00497E5F" w:rsidP="00014800" w:rsidRDefault="00497E5F" w14:paraId="52EC7E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014800">
              <w:rPr>
                <w:rFonts w:eastAsia="Times New Roman" w:cstheme="minorHAnsi"/>
                <w:b/>
                <w:bCs/>
                <w:color w:val="000000"/>
                <w:kern w:val="0"/>
                <w:sz w:val="20"/>
                <w:szCs w:val="20"/>
                <w:lang w:eastAsia="sv-SE"/>
                <w14:numSpacing w14:val="default"/>
              </w:rPr>
              <w:t>Summa</w:t>
            </w:r>
          </w:p>
        </w:tc>
        <w:tc>
          <w:tcPr>
            <w:tcW w:w="137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14800" w:rsidR="00497E5F" w:rsidP="00014800" w:rsidRDefault="00497E5F" w14:paraId="52EC7E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014800">
              <w:rPr>
                <w:rFonts w:eastAsia="Times New Roman" w:cstheme="minorHAnsi"/>
                <w:b/>
                <w:bCs/>
                <w:color w:val="000000"/>
                <w:kern w:val="0"/>
                <w:sz w:val="20"/>
                <w:szCs w:val="20"/>
                <w:lang w:eastAsia="sv-SE"/>
                <w14:numSpacing w14:val="default"/>
              </w:rPr>
              <w:t>379</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14800" w:rsidR="00497E5F" w:rsidP="00014800" w:rsidRDefault="00497E5F" w14:paraId="52EC7E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014800">
              <w:rPr>
                <w:rFonts w:eastAsia="Times New Roman" w:cstheme="minorHAnsi"/>
                <w:b/>
                <w:bCs/>
                <w:color w:val="000000"/>
                <w:kern w:val="0"/>
                <w:sz w:val="20"/>
                <w:szCs w:val="20"/>
                <w:lang w:eastAsia="sv-SE"/>
                <w14:numSpacing w14:val="default"/>
              </w:rPr>
              <w:t>−1 257</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14800" w:rsidR="00497E5F" w:rsidP="00014800" w:rsidRDefault="00497E5F" w14:paraId="52EC7E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014800">
              <w:rPr>
                <w:rFonts w:eastAsia="Times New Roman" w:cstheme="minorHAnsi"/>
                <w:b/>
                <w:bCs/>
                <w:color w:val="000000"/>
                <w:kern w:val="0"/>
                <w:sz w:val="20"/>
                <w:szCs w:val="20"/>
                <w:lang w:eastAsia="sv-SE"/>
                <w14:numSpacing w14:val="default"/>
              </w:rPr>
              <w:t>−1 165</w:t>
            </w:r>
          </w:p>
        </w:tc>
      </w:tr>
    </w:tbl>
    <w:p w:rsidRPr="00014800" w:rsidR="0056284C" w:rsidP="00014800" w:rsidRDefault="0056284C" w14:paraId="52EC7E4B" w14:textId="77777777">
      <w:pPr>
        <w:pStyle w:val="Rubrik2"/>
      </w:pPr>
      <w:bookmarkStart w:name="_Toc84233842" w:id="2"/>
      <w:r w:rsidRPr="00014800">
        <w:t>Centerpartiets överväganden</w:t>
      </w:r>
      <w:bookmarkEnd w:id="2"/>
    </w:p>
    <w:p w:rsidRPr="006C3E4C" w:rsidR="00BE3B30" w:rsidP="00014800" w:rsidRDefault="00497E5F" w14:paraId="52EC7E4C" w14:textId="14D336A3">
      <w:pPr>
        <w:pStyle w:val="Normalutanindragellerluft"/>
        <w:rPr>
          <w:rFonts w:eastAsia="SimSun"/>
        </w:rPr>
      </w:pPr>
      <w:r w:rsidRPr="006C3E4C">
        <w:rPr>
          <w:rFonts w:eastAsia="SimSun"/>
        </w:rPr>
        <w:t xml:space="preserve">Anslag 1:1 föreslås öka med 200 miljoner kronor i syfte att kompensera för effekterna av </w:t>
      </w:r>
      <w:r w:rsidRPr="00014800">
        <w:rPr>
          <w:rFonts w:eastAsia="SimSun"/>
          <w:spacing w:val="-1"/>
        </w:rPr>
        <w:t>Centerpartiets förslag om att ta bort undantagen från krav på bosättningstid inom garanti</w:t>
      </w:r>
      <w:r w:rsidRPr="00014800" w:rsidR="00014800">
        <w:rPr>
          <w:rFonts w:eastAsia="SimSun"/>
          <w:spacing w:val="-1"/>
        </w:rPr>
        <w:softHyphen/>
      </w:r>
      <w:r w:rsidRPr="00014800">
        <w:rPr>
          <w:rFonts w:eastAsia="SimSun"/>
          <w:spacing w:val="-1"/>
        </w:rPr>
        <w:t>pensionen</w:t>
      </w:r>
      <w:r w:rsidRPr="006C3E4C">
        <w:rPr>
          <w:rFonts w:eastAsia="SimSun"/>
        </w:rPr>
        <w:t xml:space="preserve"> och sjuk- och aktivitetsersättning. Anslaget beräknas öka med 200 miljoner </w:t>
      </w:r>
      <w:r w:rsidRPr="00014800">
        <w:rPr>
          <w:rFonts w:eastAsia="SimSun"/>
          <w:spacing w:val="-2"/>
        </w:rPr>
        <w:t>kronor per år 2023–2024 av samma anledning. Anslaget föreslås minska med 25</w:t>
      </w:r>
      <w:r w:rsidRPr="00014800" w:rsidR="00B451B9">
        <w:rPr>
          <w:rFonts w:eastAsia="SimSun"/>
          <w:spacing w:val="-2"/>
        </w:rPr>
        <w:t> </w:t>
      </w:r>
      <w:r w:rsidRPr="00014800">
        <w:rPr>
          <w:rFonts w:eastAsia="SimSun"/>
          <w:spacing w:val="-2"/>
        </w:rPr>
        <w:t xml:space="preserve">miljoner </w:t>
      </w:r>
      <w:r w:rsidRPr="006C3E4C">
        <w:rPr>
          <w:rFonts w:eastAsia="SimSun"/>
        </w:rPr>
        <w:t>kronor år 2022 till följd av att den föreslagna satsningen på bibliotek avvisas. Av samma anledning beräknas anslaget minska med 25</w:t>
      </w:r>
      <w:r w:rsidR="00B451B9">
        <w:rPr>
          <w:rFonts w:eastAsia="SimSun"/>
        </w:rPr>
        <w:t> </w:t>
      </w:r>
      <w:r w:rsidRPr="006C3E4C">
        <w:rPr>
          <w:rFonts w:eastAsia="SimSun"/>
        </w:rPr>
        <w:t xml:space="preserve">miljoner kronor år 2023. Anslaget föreslås minska med 190 miljoner kronor år 2022 för att kompensera för effekterna av förstärkta nystartsjobb. Anslaget föreslås förstärkas med 323,5 miljoner kronor år 2022 till följd av att förslaget </w:t>
      </w:r>
      <w:r w:rsidR="00B451B9">
        <w:rPr>
          <w:rFonts w:eastAsia="SimSun"/>
        </w:rPr>
        <w:t xml:space="preserve">om </w:t>
      </w:r>
      <w:r w:rsidRPr="006C3E4C">
        <w:rPr>
          <w:rFonts w:eastAsia="SimSun"/>
        </w:rPr>
        <w:t>att omfördela pengar från detta anslag till det så kallade likvärdighetsbidraget avvisas. Av samma anledning beräknas anslaget öka med 298 miljoner kronor år 2023 och med 283 miljoner kronor år 2024. Anslaget föreslås minska med 15</w:t>
      </w:r>
      <w:r w:rsidR="00B451B9">
        <w:rPr>
          <w:rFonts w:eastAsia="SimSun"/>
        </w:rPr>
        <w:t> </w:t>
      </w:r>
      <w:r w:rsidRPr="006C3E4C">
        <w:rPr>
          <w:rFonts w:eastAsia="SimSun"/>
        </w:rPr>
        <w:t>miljoner kronor till följd av att förslaget om minskad avgift för prövning av gymnasiekurser avvisas. Anslaget föreslås minska med 15</w:t>
      </w:r>
      <w:r w:rsidR="00B451B9">
        <w:rPr>
          <w:rFonts w:eastAsia="SimSun"/>
        </w:rPr>
        <w:t> </w:t>
      </w:r>
      <w:r w:rsidRPr="006C3E4C">
        <w:rPr>
          <w:rFonts w:eastAsia="SimSun"/>
        </w:rPr>
        <w:t>miljoner kronor år 2022 till följd av att förslaget om allsidig social sammansättning avvisas. Av samma anledning beräknas anslaget minska med 30</w:t>
      </w:r>
      <w:r w:rsidR="00B451B9">
        <w:rPr>
          <w:rFonts w:eastAsia="SimSun"/>
        </w:rPr>
        <w:t> </w:t>
      </w:r>
      <w:r w:rsidRPr="006C3E4C">
        <w:rPr>
          <w:rFonts w:eastAsia="SimSun"/>
        </w:rPr>
        <w:t>miljoner kronor per år 2023–2024. Anslaget beräknas öka med 86</w:t>
      </w:r>
      <w:r w:rsidR="00B451B9">
        <w:rPr>
          <w:rFonts w:eastAsia="SimSun"/>
        </w:rPr>
        <w:t> </w:t>
      </w:r>
      <w:r w:rsidRPr="006C3E4C">
        <w:rPr>
          <w:rFonts w:eastAsia="SimSun"/>
        </w:rPr>
        <w:t>miljoner kronor år 2024 till följd av att förslaget om gemensamt skolval avvisas. Anslaget beräknas öka med 100 miljoner kronor per år 2023–2024 för att kom</w:t>
      </w:r>
      <w:r w:rsidR="00014800">
        <w:rPr>
          <w:rFonts w:eastAsia="SimSun"/>
        </w:rPr>
        <w:softHyphen/>
      </w:r>
      <w:r w:rsidRPr="006C3E4C">
        <w:rPr>
          <w:rFonts w:eastAsia="SimSun"/>
        </w:rPr>
        <w:t>pensera kommunsektorn för effekterna av förslaget om enklare skatteregler för enskilda näringsidkare. Anslaget föreslås öka med 1 700 miljoner kronor år 2022 för att kompen</w:t>
      </w:r>
      <w:r w:rsidR="00014800">
        <w:rPr>
          <w:rFonts w:eastAsia="SimSun"/>
        </w:rPr>
        <w:softHyphen/>
      </w:r>
      <w:r w:rsidRPr="006C3E4C">
        <w:rPr>
          <w:rFonts w:eastAsia="SimSun"/>
        </w:rPr>
        <w:t xml:space="preserve">sera kommunsektorn </w:t>
      </w:r>
      <w:r w:rsidR="00B451B9">
        <w:rPr>
          <w:rFonts w:eastAsia="SimSun"/>
        </w:rPr>
        <w:t>för</w:t>
      </w:r>
      <w:r w:rsidRPr="006C3E4C">
        <w:rPr>
          <w:rFonts w:eastAsia="SimSun"/>
        </w:rPr>
        <w:t xml:space="preserve"> effekterna av förslaget om att delvis sänka de tillfälligt </w:t>
      </w:r>
      <w:r w:rsidRPr="00014800">
        <w:rPr>
          <w:rFonts w:eastAsia="SimSun"/>
          <w:spacing w:val="-1"/>
        </w:rPr>
        <w:t>för</w:t>
      </w:r>
      <w:r w:rsidR="00014800">
        <w:rPr>
          <w:rFonts w:eastAsia="SimSun"/>
          <w:spacing w:val="-1"/>
        </w:rPr>
        <w:softHyphen/>
      </w:r>
      <w:r w:rsidRPr="00014800">
        <w:rPr>
          <w:rFonts w:eastAsia="SimSun"/>
          <w:spacing w:val="-1"/>
        </w:rPr>
        <w:t>stärkta ersättningsnivåerna inom arbetslöshetsförsäkringen. Anslaget beräknas minska</w:t>
      </w:r>
      <w:r w:rsidRPr="006C3E4C">
        <w:rPr>
          <w:rFonts w:eastAsia="SimSun"/>
        </w:rPr>
        <w:t xml:space="preserve"> med 59</w:t>
      </w:r>
      <w:r w:rsidR="00B451B9">
        <w:rPr>
          <w:rFonts w:eastAsia="SimSun"/>
        </w:rPr>
        <w:t> </w:t>
      </w:r>
      <w:r w:rsidRPr="006C3E4C">
        <w:rPr>
          <w:rFonts w:eastAsia="SimSun"/>
        </w:rPr>
        <w:t>miljoner kronor år 2024 till följd av att förslaget om grundläggande behörighet avvisas. Anslaget beräknas öka med 55</w:t>
      </w:r>
      <w:r w:rsidR="00B451B9">
        <w:rPr>
          <w:rFonts w:eastAsia="SimSun"/>
        </w:rPr>
        <w:t> </w:t>
      </w:r>
      <w:r w:rsidRPr="006C3E4C">
        <w:rPr>
          <w:rFonts w:eastAsia="SimSun"/>
        </w:rPr>
        <w:t>miljoner kronor år 2024 för att kompensera för effekterna av införandet av så kallade ingångsföretag. Anslaget föreslås minska med 1 200 miljoner kronor år 2022 för att kompensera för förslaget om att sänka arbetsgivar</w:t>
      </w:r>
      <w:r w:rsidR="00014800">
        <w:rPr>
          <w:rFonts w:eastAsia="SimSun"/>
        </w:rPr>
        <w:softHyphen/>
      </w:r>
      <w:r w:rsidRPr="006C3E4C">
        <w:rPr>
          <w:rFonts w:eastAsia="SimSun"/>
        </w:rPr>
        <w:t>avgiften för unga. Av samma anledning beräknas anslaget minska med 1 300 miljoner kronor år 2023 och med 1 800 miljoner kronor år 2024.</w:t>
      </w:r>
    </w:p>
    <w:sdt>
      <w:sdtPr>
        <w:alias w:val="CC_Underskrifter"/>
        <w:tag w:val="CC_Underskrifter"/>
        <w:id w:val="583496634"/>
        <w:lock w:val="sdtContentLocked"/>
        <w:placeholder>
          <w:docPart w:val="6E2F6A9674184582825AB9B5D1BDDCA2"/>
        </w:placeholder>
      </w:sdtPr>
      <w:sdtEndPr/>
      <w:sdtContent>
        <w:p w:rsidR="00200DF1" w:rsidP="006C3E4C" w:rsidRDefault="00200DF1" w14:paraId="52EC7E51" w14:textId="77777777"/>
        <w:p w:rsidRPr="008E0FE2" w:rsidR="004801AC" w:rsidP="006C3E4C" w:rsidRDefault="00D1769A" w14:paraId="52EC7E52" w14:textId="77777777"/>
      </w:sdtContent>
    </w:sdt>
    <w:tbl>
      <w:tblPr>
        <w:tblW w:w="5000" w:type="pct"/>
        <w:tblLook w:val="04A0" w:firstRow="1" w:lastRow="0" w:firstColumn="1" w:lastColumn="0" w:noHBand="0" w:noVBand="1"/>
        <w:tblCaption w:val="underskrifter"/>
      </w:tblPr>
      <w:tblGrid>
        <w:gridCol w:w="4252"/>
        <w:gridCol w:w="4252"/>
      </w:tblGrid>
      <w:tr w:rsidR="00CD176F" w14:paraId="1DA3B0A9" w14:textId="77777777">
        <w:trPr>
          <w:cantSplit/>
        </w:trPr>
        <w:tc>
          <w:tcPr>
            <w:tcW w:w="50" w:type="pct"/>
            <w:vAlign w:val="bottom"/>
          </w:tcPr>
          <w:p w:rsidR="00CD176F" w:rsidRDefault="00B451B9" w14:paraId="27889642" w14:textId="77777777">
            <w:pPr>
              <w:pStyle w:val="Underskrifter"/>
            </w:pPr>
            <w:r>
              <w:t>Martin Ådahl (C)</w:t>
            </w:r>
          </w:p>
        </w:tc>
        <w:tc>
          <w:tcPr>
            <w:tcW w:w="50" w:type="pct"/>
            <w:vAlign w:val="bottom"/>
          </w:tcPr>
          <w:p w:rsidR="00CD176F" w:rsidRDefault="00CD176F" w14:paraId="3DF93CF1" w14:textId="77777777">
            <w:pPr>
              <w:pStyle w:val="Underskrifter"/>
            </w:pPr>
          </w:p>
        </w:tc>
      </w:tr>
      <w:tr w:rsidR="00CD176F" w14:paraId="5DEBD9DC" w14:textId="77777777">
        <w:trPr>
          <w:cantSplit/>
        </w:trPr>
        <w:tc>
          <w:tcPr>
            <w:tcW w:w="50" w:type="pct"/>
            <w:vAlign w:val="bottom"/>
          </w:tcPr>
          <w:p w:rsidR="00CD176F" w:rsidRDefault="00B451B9" w14:paraId="2BBD0555" w14:textId="77777777">
            <w:pPr>
              <w:pStyle w:val="Underskrifter"/>
              <w:spacing w:after="0"/>
            </w:pPr>
            <w:r>
              <w:t>Lars Thomsson (C)</w:t>
            </w:r>
          </w:p>
        </w:tc>
        <w:tc>
          <w:tcPr>
            <w:tcW w:w="50" w:type="pct"/>
            <w:vAlign w:val="bottom"/>
          </w:tcPr>
          <w:p w:rsidR="00CD176F" w:rsidRDefault="00B451B9" w14:paraId="0D8261BA" w14:textId="77777777">
            <w:pPr>
              <w:pStyle w:val="Underskrifter"/>
              <w:spacing w:after="0"/>
            </w:pPr>
            <w:r>
              <w:t>Alireza Akhondi (C)</w:t>
            </w:r>
          </w:p>
        </w:tc>
      </w:tr>
    </w:tbl>
    <w:p w:rsidR="00E16853" w:rsidRDefault="00E16853" w14:paraId="52EC7E59" w14:textId="77777777"/>
    <w:sectPr w:rsidR="00E168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C7E5B" w14:textId="77777777" w:rsidR="000E0B16" w:rsidRDefault="000E0B16" w:rsidP="000C1CAD">
      <w:pPr>
        <w:spacing w:line="240" w:lineRule="auto"/>
      </w:pPr>
      <w:r>
        <w:separator/>
      </w:r>
    </w:p>
  </w:endnote>
  <w:endnote w:type="continuationSeparator" w:id="0">
    <w:p w14:paraId="52EC7E5C" w14:textId="77777777" w:rsidR="000E0B16" w:rsidRDefault="000E0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7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7E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7E6A" w14:textId="77777777" w:rsidR="00262EA3" w:rsidRPr="006C3E4C" w:rsidRDefault="00262EA3" w:rsidP="006C3E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C7E59" w14:textId="77777777" w:rsidR="000E0B16" w:rsidRDefault="000E0B16" w:rsidP="000C1CAD">
      <w:pPr>
        <w:spacing w:line="240" w:lineRule="auto"/>
      </w:pPr>
      <w:r>
        <w:separator/>
      </w:r>
    </w:p>
  </w:footnote>
  <w:footnote w:type="continuationSeparator" w:id="0">
    <w:p w14:paraId="52EC7E5A" w14:textId="77777777" w:rsidR="000E0B16" w:rsidRDefault="000E0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7E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EC7E6B" wp14:editId="52EC7E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EC7E6F" w14:textId="77777777" w:rsidR="00262EA3" w:rsidRDefault="00D1769A"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EC7E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EC7E6F" w14:textId="77777777" w:rsidR="00262EA3" w:rsidRDefault="00D1769A"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v:textbox>
              <w10:wrap anchorx="page"/>
            </v:shape>
          </w:pict>
        </mc:Fallback>
      </mc:AlternateContent>
    </w:r>
  </w:p>
  <w:p w14:paraId="52EC7E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7E5F" w14:textId="77777777" w:rsidR="00262EA3" w:rsidRDefault="00262EA3" w:rsidP="008563AC">
    <w:pPr>
      <w:jc w:val="right"/>
    </w:pPr>
  </w:p>
  <w:p w14:paraId="52EC7E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7E63" w14:textId="77777777" w:rsidR="00262EA3" w:rsidRDefault="00D176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EC7E6D" wp14:editId="52EC7E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EC7E64" w14:textId="77777777" w:rsidR="00262EA3" w:rsidRDefault="00D1769A" w:rsidP="00A314CF">
    <w:pPr>
      <w:pStyle w:val="FSHNormal"/>
      <w:spacing w:before="40"/>
    </w:pPr>
    <w:sdt>
      <w:sdtPr>
        <w:alias w:val="CC_Noformat_Motionstyp"/>
        <w:tag w:val="CC_Noformat_Motionstyp"/>
        <w:id w:val="1162973129"/>
        <w:lock w:val="sdtContentLocked"/>
        <w15:appearance w15:val="hidden"/>
        <w:text/>
      </w:sdtPr>
      <w:sdtEndPr/>
      <w:sdtContent>
        <w:r w:rsidR="00CA4D79">
          <w:t>Kommittémotion</w:t>
        </w:r>
      </w:sdtContent>
    </w:sdt>
    <w:r w:rsidR="00821B36">
      <w:t xml:space="preserve"> </w:t>
    </w:r>
    <w:sdt>
      <w:sdtPr>
        <w:alias w:val="CC_Noformat_Partikod"/>
        <w:tag w:val="CC_Noformat_Partikod"/>
        <w:id w:val="1471015553"/>
        <w:text/>
      </w:sdtPr>
      <w:sdtEndPr/>
      <w:sdtContent>
        <w:r w:rsidR="000E0B16">
          <w:t>C</w:t>
        </w:r>
      </w:sdtContent>
    </w:sdt>
    <w:sdt>
      <w:sdtPr>
        <w:alias w:val="CC_Noformat_Partinummer"/>
        <w:tag w:val="CC_Noformat_Partinummer"/>
        <w:id w:val="-2014525982"/>
        <w:showingPlcHdr/>
        <w:text/>
      </w:sdtPr>
      <w:sdtEndPr/>
      <w:sdtContent>
        <w:r w:rsidR="00821B36">
          <w:t xml:space="preserve"> </w:t>
        </w:r>
      </w:sdtContent>
    </w:sdt>
  </w:p>
  <w:p w14:paraId="52EC7E65" w14:textId="77777777" w:rsidR="00262EA3" w:rsidRPr="008227B3" w:rsidRDefault="00D176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EC7E66" w14:textId="77777777" w:rsidR="00262EA3" w:rsidRPr="008227B3" w:rsidRDefault="00D176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4D7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4D79">
          <w:t>:4132</w:t>
        </w:r>
      </w:sdtContent>
    </w:sdt>
  </w:p>
  <w:p w14:paraId="52EC7E67" w14:textId="77777777" w:rsidR="00262EA3" w:rsidRDefault="00D1769A" w:rsidP="00E03A3D">
    <w:pPr>
      <w:pStyle w:val="Motionr"/>
    </w:pPr>
    <w:sdt>
      <w:sdtPr>
        <w:alias w:val="CC_Noformat_Avtext"/>
        <w:tag w:val="CC_Noformat_Avtext"/>
        <w:id w:val="-2020768203"/>
        <w:lock w:val="sdtContentLocked"/>
        <w:placeholder>
          <w:docPart w:val="955F82B80F844AFEBEDB5BCDF16E96A0"/>
        </w:placeholder>
        <w15:appearance w15:val="hidden"/>
        <w:text/>
      </w:sdtPr>
      <w:sdtEndPr/>
      <w:sdtContent>
        <w:r w:rsidR="00CA4D79">
          <w:t>av Martin Ådahl m.fl. (C)</w:t>
        </w:r>
      </w:sdtContent>
    </w:sdt>
  </w:p>
  <w:sdt>
    <w:sdtPr>
      <w:alias w:val="CC_Noformat_Rubtext"/>
      <w:tag w:val="CC_Noformat_Rubtext"/>
      <w:id w:val="-218060500"/>
      <w:lock w:val="sdtLocked"/>
      <w:text/>
    </w:sdtPr>
    <w:sdtEndPr/>
    <w:sdtContent>
      <w:p w14:paraId="52EC7E68" w14:textId="77777777" w:rsidR="00262EA3" w:rsidRDefault="00497E5F" w:rsidP="00283E0F">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14:paraId="52EC7E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0B16"/>
    <w:rsid w:val="000000E0"/>
    <w:rsid w:val="00000761"/>
    <w:rsid w:val="000014AF"/>
    <w:rsid w:val="00002310"/>
    <w:rsid w:val="00002CB4"/>
    <w:rsid w:val="000030B6"/>
    <w:rsid w:val="000035F8"/>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00"/>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1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DD"/>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14"/>
    <w:rsid w:val="00160034"/>
    <w:rsid w:val="00160091"/>
    <w:rsid w:val="001600AA"/>
    <w:rsid w:val="00160AE9"/>
    <w:rsid w:val="0016163F"/>
    <w:rsid w:val="00161EC6"/>
    <w:rsid w:val="00162EFD"/>
    <w:rsid w:val="0016354B"/>
    <w:rsid w:val="00163563"/>
    <w:rsid w:val="0016374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DF1"/>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12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06"/>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6A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646"/>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E5F"/>
    <w:rsid w:val="004A0AF2"/>
    <w:rsid w:val="004A1326"/>
    <w:rsid w:val="004A3DFF"/>
    <w:rsid w:val="004A445D"/>
    <w:rsid w:val="004A4976"/>
    <w:rsid w:val="004A49F9"/>
    <w:rsid w:val="004A5194"/>
    <w:rsid w:val="004A5F12"/>
    <w:rsid w:val="004A6876"/>
    <w:rsid w:val="004A7394"/>
    <w:rsid w:val="004B0046"/>
    <w:rsid w:val="004B01B7"/>
    <w:rsid w:val="004B079D"/>
    <w:rsid w:val="004B0975"/>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4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8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B2"/>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6C0"/>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3E4C"/>
    <w:rsid w:val="006C4B9F"/>
    <w:rsid w:val="006C4E9A"/>
    <w:rsid w:val="006C5179"/>
    <w:rsid w:val="006C5E6C"/>
    <w:rsid w:val="006C72FB"/>
    <w:rsid w:val="006C7A36"/>
    <w:rsid w:val="006D01C3"/>
    <w:rsid w:val="006D0996"/>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1F3"/>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40B"/>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7D2"/>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B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2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6DC5"/>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069"/>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9A"/>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E45"/>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1B9"/>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8B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F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B30"/>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1A8"/>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927"/>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19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D79"/>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6F"/>
    <w:rsid w:val="00CD2A97"/>
    <w:rsid w:val="00CD4084"/>
    <w:rsid w:val="00CD4EC2"/>
    <w:rsid w:val="00CD506D"/>
    <w:rsid w:val="00CD5B0F"/>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69A"/>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9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5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853"/>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979"/>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B2D"/>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0B1"/>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72"/>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44"/>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391"/>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EC7E07"/>
  <w15:chartTrackingRefBased/>
  <w15:docId w15:val="{41DCBA58-C6DD-4E27-990B-BA4D34A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7B0462574459BBAC9C414271E114B"/>
        <w:category>
          <w:name w:val="Allmänt"/>
          <w:gallery w:val="placeholder"/>
        </w:category>
        <w:types>
          <w:type w:val="bbPlcHdr"/>
        </w:types>
        <w:behaviors>
          <w:behavior w:val="content"/>
        </w:behaviors>
        <w:guid w:val="{5D92E492-30B6-44C4-86D0-FD29A6A35ECD}"/>
      </w:docPartPr>
      <w:docPartBody>
        <w:p w:rsidR="00FA2F2F" w:rsidRDefault="007377F2">
          <w:pPr>
            <w:pStyle w:val="8317B0462574459BBAC9C414271E114B"/>
          </w:pPr>
          <w:r w:rsidRPr="005A0A93">
            <w:rPr>
              <w:rStyle w:val="Platshllartext"/>
            </w:rPr>
            <w:t>Förslag till riksdagsbeslut</w:t>
          </w:r>
        </w:p>
      </w:docPartBody>
    </w:docPart>
    <w:docPart>
      <w:docPartPr>
        <w:name w:val="F2525D1DD8054B60AE99D50F7D5D2C71"/>
        <w:category>
          <w:name w:val="Allmänt"/>
          <w:gallery w:val="placeholder"/>
        </w:category>
        <w:types>
          <w:type w:val="bbPlcHdr"/>
        </w:types>
        <w:behaviors>
          <w:behavior w:val="content"/>
        </w:behaviors>
        <w:guid w:val="{4859D5B7-AD2B-4459-B8A9-ED1517B64407}"/>
      </w:docPartPr>
      <w:docPartBody>
        <w:p w:rsidR="00FA2F2F" w:rsidRDefault="007377F2">
          <w:pPr>
            <w:pStyle w:val="F2525D1DD8054B60AE99D50F7D5D2C71"/>
          </w:pPr>
          <w:r w:rsidRPr="005A0A93">
            <w:rPr>
              <w:rStyle w:val="Platshllartext"/>
            </w:rPr>
            <w:t>Motivering</w:t>
          </w:r>
        </w:p>
      </w:docPartBody>
    </w:docPart>
    <w:docPart>
      <w:docPartPr>
        <w:name w:val="4E873510AC684C068E7EC2A7790873C9"/>
        <w:category>
          <w:name w:val="Allmänt"/>
          <w:gallery w:val="placeholder"/>
        </w:category>
        <w:types>
          <w:type w:val="bbPlcHdr"/>
        </w:types>
        <w:behaviors>
          <w:behavior w:val="content"/>
        </w:behaviors>
        <w:guid w:val="{40CC9CCF-ED5C-4C0F-9FD5-1E918B81C6B9}"/>
      </w:docPartPr>
      <w:docPartBody>
        <w:p w:rsidR="00FA2F2F" w:rsidRDefault="007377F2">
          <w:pPr>
            <w:pStyle w:val="4E873510AC684C068E7EC2A7790873C9"/>
          </w:pPr>
          <w:r>
            <w:rPr>
              <w:rStyle w:val="Platshllartext"/>
            </w:rPr>
            <w:t xml:space="preserve"> </w:t>
          </w:r>
        </w:p>
      </w:docPartBody>
    </w:docPart>
    <w:docPart>
      <w:docPartPr>
        <w:name w:val="FBE2251F0F2F4DD8AE8455942EB634DB"/>
        <w:category>
          <w:name w:val="Allmänt"/>
          <w:gallery w:val="placeholder"/>
        </w:category>
        <w:types>
          <w:type w:val="bbPlcHdr"/>
        </w:types>
        <w:behaviors>
          <w:behavior w:val="content"/>
        </w:behaviors>
        <w:guid w:val="{6B752708-F692-4CA8-8B66-AC7BBF3118D5}"/>
      </w:docPartPr>
      <w:docPartBody>
        <w:p w:rsidR="00FA2F2F" w:rsidRDefault="007377F2">
          <w:pPr>
            <w:pStyle w:val="FBE2251F0F2F4DD8AE8455942EB634DB"/>
          </w:pPr>
          <w:r>
            <w:t xml:space="preserve"> </w:t>
          </w:r>
        </w:p>
      </w:docPartBody>
    </w:docPart>
    <w:docPart>
      <w:docPartPr>
        <w:name w:val="955F82B80F844AFEBEDB5BCDF16E96A0"/>
        <w:category>
          <w:name w:val="Allmänt"/>
          <w:gallery w:val="placeholder"/>
        </w:category>
        <w:types>
          <w:type w:val="bbPlcHdr"/>
        </w:types>
        <w:behaviors>
          <w:behavior w:val="content"/>
        </w:behaviors>
        <w:guid w:val="{0282D07F-717C-4634-BD14-5F70CCBBC289}"/>
      </w:docPartPr>
      <w:docPartBody>
        <w:p w:rsidR="00FA2F2F" w:rsidRDefault="007377F2" w:rsidP="007377F2">
          <w:pPr>
            <w:pStyle w:val="955F82B80F844AFEBEDB5BCDF16E96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E2F6A9674184582825AB9B5D1BDDCA2"/>
        <w:category>
          <w:name w:val="Allmänt"/>
          <w:gallery w:val="placeholder"/>
        </w:category>
        <w:types>
          <w:type w:val="bbPlcHdr"/>
        </w:types>
        <w:behaviors>
          <w:behavior w:val="content"/>
        </w:behaviors>
        <w:guid w:val="{AC1295CB-7CE8-4355-9EEF-BDAD754C8E2E}"/>
      </w:docPartPr>
      <w:docPartBody>
        <w:p w:rsidR="00345808" w:rsidRDefault="003458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F2"/>
    <w:rsid w:val="00345808"/>
    <w:rsid w:val="007377F2"/>
    <w:rsid w:val="00FA2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7F2"/>
    <w:rPr>
      <w:color w:val="F4B083" w:themeColor="accent2" w:themeTint="99"/>
    </w:rPr>
  </w:style>
  <w:style w:type="paragraph" w:customStyle="1" w:styleId="8317B0462574459BBAC9C414271E114B">
    <w:name w:val="8317B0462574459BBAC9C414271E114B"/>
  </w:style>
  <w:style w:type="paragraph" w:customStyle="1" w:styleId="F2525D1DD8054B60AE99D50F7D5D2C71">
    <w:name w:val="F2525D1DD8054B60AE99D50F7D5D2C71"/>
  </w:style>
  <w:style w:type="paragraph" w:customStyle="1" w:styleId="4E873510AC684C068E7EC2A7790873C9">
    <w:name w:val="4E873510AC684C068E7EC2A7790873C9"/>
  </w:style>
  <w:style w:type="paragraph" w:customStyle="1" w:styleId="FBE2251F0F2F4DD8AE8455942EB634DB">
    <w:name w:val="FBE2251F0F2F4DD8AE8455942EB634DB"/>
  </w:style>
  <w:style w:type="paragraph" w:customStyle="1" w:styleId="955F82B80F844AFEBEDB5BCDF16E96A0">
    <w:name w:val="955F82B80F844AFEBEDB5BCDF16E96A0"/>
    <w:rsid w:val="00737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2973C-8F62-4D37-A587-23F8BAD4125B}"/>
</file>

<file path=customXml/itemProps2.xml><?xml version="1.0" encoding="utf-8"?>
<ds:datastoreItem xmlns:ds="http://schemas.openxmlformats.org/officeDocument/2006/customXml" ds:itemID="{AB55F90B-3317-4CB0-9A4D-85805AEEBF71}"/>
</file>

<file path=customXml/itemProps3.xml><?xml version="1.0" encoding="utf-8"?>
<ds:datastoreItem xmlns:ds="http://schemas.openxmlformats.org/officeDocument/2006/customXml" ds:itemID="{56E7A4E3-2A7B-4B45-90DF-0DCB5B2CDD62}"/>
</file>

<file path=docProps/app.xml><?xml version="1.0" encoding="utf-8"?>
<Properties xmlns="http://schemas.openxmlformats.org/officeDocument/2006/extended-properties" xmlns:vt="http://schemas.openxmlformats.org/officeDocument/2006/docPropsVTypes">
  <Template>Normal</Template>
  <TotalTime>14</TotalTime>
  <Pages>2</Pages>
  <Words>585</Words>
  <Characters>3389</Characters>
  <Application>Microsoft Office Word</Application>
  <DocSecurity>0</DocSecurity>
  <Lines>99</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25 Allmänna bidrag till kommuner</vt:lpstr>
      <vt:lpstr>
      </vt:lpstr>
    </vt:vector>
  </TitlesOfParts>
  <Company>Sveriges riksdag</Company>
  <LinksUpToDate>false</LinksUpToDate>
  <CharactersWithSpaces>3912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