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07B63">
        <w:tblPrEx>
          <w:tblCellMar>
            <w:top w:w="0" w:type="dxa"/>
            <w:left w:w="0" w:type="dxa"/>
            <w:bottom w:w="0" w:type="dxa"/>
            <w:right w:w="0" w:type="dxa"/>
          </w:tblCellMar>
        </w:tblPrEx>
        <w:trPr>
          <w:gridAfter w:val="2"/>
          <w:wAfter w:w="1758" w:type="dxa"/>
          <w:cantSplit/>
          <w:trHeight w:val="1320"/>
        </w:trPr>
        <w:tc>
          <w:tcPr>
            <w:tcW w:w="5897" w:type="dxa"/>
          </w:tcPr>
          <w:p w:rsidR="001E42EC" w:rsidRPr="00B07B63" w:rsidRDefault="001E42EC">
            <w:pPr>
              <w:pStyle w:val="HuvudRubrik"/>
            </w:pPr>
            <w:r w:rsidRPr="00B07B63">
              <w:t>Regeringskansliet</w:t>
            </w:r>
          </w:p>
          <w:p w:rsidR="001E42EC" w:rsidRPr="00B07B63" w:rsidRDefault="001E42EC">
            <w:pPr>
              <w:pStyle w:val="HuvudRubrik"/>
            </w:pPr>
            <w:r w:rsidRPr="00B07B63">
              <w:t>Faktapromemoria   2010/11:FPM30</w:t>
            </w:r>
          </w:p>
        </w:tc>
      </w:tr>
      <w:tr w:rsidR="00000000" w:rsidRPr="00B07B63">
        <w:tblPrEx>
          <w:tblCellMar>
            <w:top w:w="0" w:type="dxa"/>
            <w:left w:w="0" w:type="dxa"/>
            <w:bottom w:w="0" w:type="dxa"/>
            <w:right w:w="0" w:type="dxa"/>
          </w:tblCellMar>
        </w:tblPrEx>
        <w:trPr>
          <w:gridAfter w:val="2"/>
          <w:wAfter w:w="1758" w:type="dxa"/>
          <w:cantSplit/>
          <w:trHeight w:val="240"/>
        </w:trPr>
        <w:tc>
          <w:tcPr>
            <w:tcW w:w="5897" w:type="dxa"/>
          </w:tcPr>
          <w:p w:rsidR="001E42EC" w:rsidRPr="00B07B63" w:rsidRDefault="001E42EC">
            <w:pPr>
              <w:pStyle w:val="HuvudRubrik"/>
              <w:rPr>
                <w:sz w:val="28"/>
              </w:rPr>
            </w:pPr>
            <w:r w:rsidRPr="00B07B63">
              <w:t>Meddelande om strategi för grundläggande rättigheter</w:t>
            </w:r>
          </w:p>
        </w:tc>
      </w:tr>
      <w:tr w:rsidR="00000000" w:rsidRPr="00B07B63">
        <w:tblPrEx>
          <w:tblCellMar>
            <w:top w:w="0" w:type="dxa"/>
            <w:left w:w="0" w:type="dxa"/>
            <w:bottom w:w="0" w:type="dxa"/>
            <w:right w:w="0" w:type="dxa"/>
          </w:tblCellMar>
        </w:tblPrEx>
        <w:trPr>
          <w:cantSplit/>
          <w:trHeight w:val="285"/>
        </w:trPr>
        <w:tc>
          <w:tcPr>
            <w:tcW w:w="7655" w:type="dxa"/>
            <w:gridSpan w:val="3"/>
          </w:tcPr>
          <w:p w:rsidR="001E42EC" w:rsidRPr="00B07B63" w:rsidRDefault="001E42EC">
            <w:pPr>
              <w:pStyle w:val="Departement"/>
              <w:rPr>
                <w:sz w:val="28"/>
              </w:rPr>
            </w:pPr>
            <w:r w:rsidRPr="00B07B63">
              <w:t>Integrations- och jämställdhetsdepartementet</w:t>
            </w:r>
          </w:p>
        </w:tc>
      </w:tr>
      <w:tr w:rsidR="00000000" w:rsidRPr="00B07B63">
        <w:tblPrEx>
          <w:tblCellMar>
            <w:top w:w="0" w:type="dxa"/>
            <w:left w:w="0" w:type="dxa"/>
            <w:bottom w:w="0" w:type="dxa"/>
            <w:right w:w="0" w:type="dxa"/>
          </w:tblCellMar>
        </w:tblPrEx>
        <w:trPr>
          <w:cantSplit/>
          <w:trHeight w:val="240"/>
        </w:trPr>
        <w:tc>
          <w:tcPr>
            <w:tcW w:w="7655" w:type="dxa"/>
            <w:gridSpan w:val="3"/>
          </w:tcPr>
          <w:p w:rsidR="001E42EC" w:rsidRPr="00B07B63" w:rsidRDefault="001E42EC">
            <w:pPr>
              <w:pStyle w:val="Dokumentdatum"/>
            </w:pPr>
            <w:r w:rsidRPr="00B07B63">
              <w:t>2010-11-23</w:t>
            </w:r>
          </w:p>
        </w:tc>
      </w:tr>
      <w:tr w:rsidR="00000000" w:rsidRPr="00B07B63">
        <w:tblPrEx>
          <w:tblCellMar>
            <w:top w:w="0" w:type="dxa"/>
            <w:left w:w="0" w:type="dxa"/>
            <w:bottom w:w="0" w:type="dxa"/>
            <w:right w:w="0" w:type="dxa"/>
          </w:tblCellMar>
        </w:tblPrEx>
        <w:trPr>
          <w:cantSplit/>
          <w:trHeight w:val="726"/>
        </w:trPr>
        <w:tc>
          <w:tcPr>
            <w:tcW w:w="7655" w:type="dxa"/>
            <w:gridSpan w:val="3"/>
            <w:vAlign w:val="bottom"/>
          </w:tcPr>
          <w:p w:rsidR="001E42EC" w:rsidRPr="00B07B63" w:rsidRDefault="001E42EC">
            <w:pPr>
              <w:pStyle w:val="Dokumentbeteckning"/>
            </w:pPr>
            <w:r w:rsidRPr="00B07B63">
              <w:t>Dokumentbeteckning</w:t>
            </w:r>
          </w:p>
        </w:tc>
      </w:tr>
      <w:tr w:rsidR="00000000" w:rsidRPr="00B07B63">
        <w:tblPrEx>
          <w:tblCellMar>
            <w:top w:w="0" w:type="dxa"/>
            <w:left w:w="0" w:type="dxa"/>
            <w:bottom w:w="0" w:type="dxa"/>
            <w:right w:w="0" w:type="dxa"/>
          </w:tblCellMar>
        </w:tblPrEx>
        <w:trPr>
          <w:gridAfter w:val="1"/>
          <w:wAfter w:w="1560" w:type="dxa"/>
          <w:trHeight w:val="120"/>
        </w:trPr>
        <w:tc>
          <w:tcPr>
            <w:tcW w:w="6095" w:type="dxa"/>
            <w:gridSpan w:val="2"/>
          </w:tcPr>
          <w:p w:rsidR="001E42EC" w:rsidRPr="00B07B63" w:rsidRDefault="001E42EC">
            <w:bookmarkStart w:id="0" w:name="KomNr"/>
            <w:bookmarkEnd w:id="0"/>
            <w:r w:rsidRPr="00B07B63">
              <w:t>KOM (2010) 573</w:t>
            </w:r>
          </w:p>
        </w:tc>
      </w:tr>
      <w:tr w:rsidR="00000000" w:rsidRPr="00B07B63">
        <w:tblPrEx>
          <w:tblCellMar>
            <w:top w:w="0" w:type="dxa"/>
            <w:left w:w="0" w:type="dxa"/>
            <w:bottom w:w="0" w:type="dxa"/>
            <w:right w:w="0" w:type="dxa"/>
          </w:tblCellMar>
        </w:tblPrEx>
        <w:trPr>
          <w:gridAfter w:val="1"/>
          <w:wAfter w:w="1560" w:type="dxa"/>
          <w:trHeight w:val="120"/>
        </w:trPr>
        <w:tc>
          <w:tcPr>
            <w:tcW w:w="6095" w:type="dxa"/>
            <w:gridSpan w:val="2"/>
          </w:tcPr>
          <w:p w:rsidR="001E42EC" w:rsidRPr="00B07B63" w:rsidRDefault="001E42EC">
            <w:pPr>
              <w:pStyle w:val="Dokumentbeteckning-titel"/>
            </w:pPr>
            <w:r w:rsidRPr="00B07B63">
              <w:t>Kommissionens meddelande Strategi för Europeiska unionens konkreta tillämpning av stadgan om de grundläggande rättigheterna</w:t>
            </w:r>
          </w:p>
        </w:tc>
      </w:tr>
    </w:tbl>
    <w:p w:rsidR="001E42EC" w:rsidRPr="00B07B63" w:rsidRDefault="001E42EC"/>
    <w:p w:rsidR="001E42EC" w:rsidRPr="00B07B63" w:rsidRDefault="001E42EC">
      <w:pPr>
        <w:pStyle w:val="Rubrik1"/>
        <w:numPr>
          <w:ilvl w:val="0"/>
          <w:numId w:val="0"/>
        </w:numPr>
      </w:pPr>
      <w:r w:rsidRPr="00B07B63">
        <w:t>Sammanfattning</w:t>
      </w:r>
    </w:p>
    <w:p w:rsidR="001E42EC" w:rsidRPr="00B07B63" w:rsidRDefault="001E42EC">
      <w:r w:rsidRPr="00B07B63">
        <w:t xml:space="preserve">Kommissionen antog den 19 oktober 2010 en strategi för konkret tillämpning av Europeiska unionens stadga om de grundläggande rättigheterna. Regeringen välkomnar strategin och EU:s ökade fokus internt på de grundläggande rättigheterna. </w:t>
      </w:r>
    </w:p>
    <w:p w:rsidR="001E42EC" w:rsidRPr="00B07B63" w:rsidRDefault="001E42EC">
      <w:pPr>
        <w:pStyle w:val="Rubrik1"/>
      </w:pPr>
      <w:r w:rsidRPr="00B07B63">
        <w:t>Förslaget</w:t>
      </w:r>
    </w:p>
    <w:p w:rsidR="001E42EC" w:rsidRPr="00B07B63" w:rsidRDefault="001E42EC">
      <w:pPr>
        <w:pStyle w:val="Rubrik2"/>
      </w:pPr>
      <w:r w:rsidRPr="00B07B63">
        <w:t>Ärendets bakgrund</w:t>
      </w:r>
    </w:p>
    <w:p w:rsidR="001E42EC" w:rsidRPr="00B07B63" w:rsidRDefault="001E42EC">
      <w:r w:rsidRPr="00B07B63">
        <w:t xml:space="preserve">Respekt för de grundläggande rättigheterna är en bärande del i den europeiska konstruktionen. Stadgans nya ställning kommer att ytterligare stärka detta. När Lissabonföredraget trädde i kraft den 1 december 2009 blev EU:s stadga om de grundläggande rättigheterna bindande för unionens institutioner och organ samt medlemsländerna när dessa tillämpar EU-rätten. Kommissionen antog den 19 oktober 2010 en strategi för konkret tillämpning av stadgan om de grundläggande rättigheterna. </w:t>
      </w:r>
    </w:p>
    <w:p w:rsidR="001E42EC" w:rsidRPr="00B07B63" w:rsidRDefault="001E42EC">
      <w:pPr>
        <w:pStyle w:val="Rubrik2"/>
      </w:pPr>
      <w:r w:rsidRPr="00B07B63">
        <w:t>Förslagets innehåll</w:t>
      </w:r>
    </w:p>
    <w:p w:rsidR="001E42EC" w:rsidRPr="00B07B63" w:rsidRDefault="001E42EC">
      <w:r w:rsidRPr="00B07B63">
        <w:t xml:space="preserve">Strategin bygger på en tydlig målsättning: EU bör föregå med gott exempel för att göra de grundläggande rättigheterna i stadgan verkningsfulla. Detta ska bli verklighet genom att medvetandet om de grundläggande rättigheterna stärks i kommissionen, att hänsyn tas till stadgan i lagstiftningsarbetet inom </w:t>
      </w:r>
      <w:r w:rsidRPr="00B07B63">
        <w:lastRenderedPageBreak/>
        <w:t xml:space="preserve">unionen och att kommissionen bevakar att medlemsstaterna följer stadgan när de tillämpar unionsrätten. Vidare avser kommissionen att förbättra informationen till allmänheten när det gäller de grundläggande rättigheterna och att lägga fram en årsrapport om tillämpningen av stadgan. Syftet med årsrapporten är att utvärdera framstegen på ett öppet, kontinuerligt och konsekvent sätt samt att anordna ett årligt åsiktsutbyte med Europaparlamentet och rådet. </w:t>
      </w:r>
    </w:p>
    <w:p w:rsidR="001E42EC" w:rsidRPr="00B07B63" w:rsidRDefault="001E42EC">
      <w:r w:rsidRPr="00B07B63">
        <w:t>Vid framtagandet av årsrapporten kommer kommissionen at</w:t>
      </w:r>
      <w:r w:rsidRPr="00B07B63">
        <w:t>t samarbeta med samtliga institutioner och berörda parter. Kommissionen avser att samråda med Europaparlamentet om formerna för samarbetet kring att ta fram rapporten och om hur parlamentet i sin tur kan samarbeta med de nationella parlamenten i frågan.</w:t>
      </w:r>
    </w:p>
    <w:p w:rsidR="001E42EC" w:rsidRPr="00B07B63" w:rsidRDefault="001E42EC">
      <w:r w:rsidRPr="00B07B63">
        <w:t>Kommissionen nämner i meddelandet Europeiska unionens byrå för grundläggande rättigheter, FRA, som ett verktyg för unionen och dess institutioner när dessa implementerar EU-rätten. Kommissionen uppmuntrar byrån att samla uppgifter till årsrapporten. Även inf</w:t>
      </w:r>
      <w:r w:rsidRPr="00B07B63">
        <w:t xml:space="preserve">ormation från nationella myndigheter, t. ex. de högsta domstolarna, oberoende nationella myndigheter med ansvar för mänskliga rättigheter och nationella myndigheter med ansvar för att bedöma hur den nationella lagstiftningen påverkar de grundläggande rättigheterna, kommer att ligga till grund för den årliga rapporten, liksom information från Europarådets och FN:s övervakningsmekanismer samt det civila samhället. </w:t>
      </w:r>
    </w:p>
    <w:p w:rsidR="001E42EC" w:rsidRPr="00B07B63" w:rsidRDefault="001E42EC">
      <w:r w:rsidRPr="00B07B63">
        <w:t>Kommissionen håller på att förebereda den första rapporten som behandlar år 2010 och ska public</w:t>
      </w:r>
      <w:r w:rsidRPr="00B07B63">
        <w:t>eras våren 2011.</w:t>
      </w:r>
    </w:p>
    <w:p w:rsidR="001E42EC" w:rsidRPr="00B07B63" w:rsidRDefault="001E42EC">
      <w:pPr>
        <w:pStyle w:val="Rubrik2"/>
      </w:pPr>
      <w:r w:rsidRPr="00B07B63">
        <w:t>Gällande svenska regler och förslagets effekt på dessa</w:t>
      </w:r>
    </w:p>
    <w:p w:rsidR="001E42EC" w:rsidRPr="00B07B63" w:rsidRDefault="001E42EC">
      <w:r w:rsidRPr="00B07B63">
        <w:t xml:space="preserve">Kommissionens meddelande innehåller inte några förslag till lagtexter. </w:t>
      </w:r>
    </w:p>
    <w:p w:rsidR="001E42EC" w:rsidRPr="00B07B63" w:rsidRDefault="001E42EC">
      <w:pPr>
        <w:pStyle w:val="Rubrik2"/>
      </w:pPr>
      <w:r w:rsidRPr="00B07B63">
        <w:t>Budgetära konsekvenser / Konsekvensanalys</w:t>
      </w:r>
    </w:p>
    <w:p w:rsidR="001E42EC" w:rsidRPr="00B07B63" w:rsidRDefault="001E42EC">
      <w:r w:rsidRPr="00B07B63">
        <w:t>Meddelandet innebär inga omedelbara budgetära konsekvenser.</w:t>
      </w:r>
    </w:p>
    <w:p w:rsidR="001E42EC" w:rsidRPr="00B07B63" w:rsidRDefault="001E42EC">
      <w:pPr>
        <w:pStyle w:val="Rubrik1"/>
      </w:pPr>
      <w:r w:rsidRPr="00B07B63">
        <w:t>Ståndpunkter</w:t>
      </w:r>
    </w:p>
    <w:p w:rsidR="001E42EC" w:rsidRPr="00B07B63" w:rsidRDefault="001E42EC">
      <w:pPr>
        <w:pStyle w:val="Rubrik2"/>
      </w:pPr>
      <w:r w:rsidRPr="00B07B63">
        <w:t>Preliminär svensk ståndpunkt</w:t>
      </w:r>
    </w:p>
    <w:p w:rsidR="001E42EC" w:rsidRPr="00B07B63" w:rsidRDefault="001E42EC">
      <w:r w:rsidRPr="00B07B63">
        <w:t>Regeringen välkomnar kommissionens strategi för konkret tillämpning av stadgan och det ökade fokus internt inom EU på de grundläggande rättigheterna som kommissionen strävar efter. Regeringen kommer i relevanta fora att uppmuntra kommissionen att undvika dubbelarbete vid samarbetet med berörda institutioner och organ vid insamlandet av uppgifter till den årliga rapporten.</w:t>
      </w:r>
    </w:p>
    <w:p w:rsidR="001E42EC" w:rsidRPr="00B07B63" w:rsidRDefault="001E42EC"/>
    <w:p w:rsidR="001E42EC" w:rsidRPr="00B07B63" w:rsidRDefault="001E42EC">
      <w:pPr>
        <w:rPr>
          <w:sz w:val="24"/>
          <w:szCs w:val="24"/>
        </w:rPr>
      </w:pPr>
      <w:r w:rsidRPr="00B07B63">
        <w:rPr>
          <w:sz w:val="24"/>
          <w:szCs w:val="24"/>
        </w:rPr>
        <w:t>Medlemsstaternas ståndpunkter</w:t>
      </w:r>
    </w:p>
    <w:p w:rsidR="001E42EC" w:rsidRPr="00B07B63" w:rsidRDefault="001E42EC">
      <w:r w:rsidRPr="00B07B63">
        <w:t>Medlemsstaternas ståndpunkter är inte kända.</w:t>
      </w:r>
    </w:p>
    <w:p w:rsidR="001E42EC" w:rsidRPr="00B07B63" w:rsidRDefault="001E42EC">
      <w:pPr>
        <w:pStyle w:val="Rubrik2"/>
      </w:pPr>
      <w:r w:rsidRPr="00B07B63">
        <w:t>Institutionernas ståndpunkter</w:t>
      </w:r>
    </w:p>
    <w:p w:rsidR="001E42EC" w:rsidRPr="00B07B63" w:rsidRDefault="001E42EC">
      <w:r w:rsidRPr="00B07B63">
        <w:t>Institutionernas ståndpunkter är inte kända.</w:t>
      </w:r>
    </w:p>
    <w:p w:rsidR="001E42EC" w:rsidRPr="00B07B63" w:rsidRDefault="001E42EC">
      <w:pPr>
        <w:pStyle w:val="Rubrik2"/>
      </w:pPr>
      <w:r w:rsidRPr="00B07B63">
        <w:t>Remissinstansernas ståndpunkter</w:t>
      </w:r>
    </w:p>
    <w:p w:rsidR="001E42EC" w:rsidRPr="00B07B63" w:rsidRDefault="001E42EC">
      <w:r w:rsidRPr="00B07B63">
        <w:t xml:space="preserve">Meddelandet har inte skickats ut på remiss. </w:t>
      </w:r>
    </w:p>
    <w:p w:rsidR="001E42EC" w:rsidRPr="00B07B63" w:rsidRDefault="001E42EC">
      <w:pPr>
        <w:pStyle w:val="Rubrik1"/>
      </w:pPr>
      <w:r w:rsidRPr="00B07B63">
        <w:t>Förslagets förutsättningar</w:t>
      </w:r>
    </w:p>
    <w:p w:rsidR="001E42EC" w:rsidRPr="00B07B63" w:rsidRDefault="001E42EC">
      <w:pPr>
        <w:pStyle w:val="Rubrik2"/>
      </w:pPr>
      <w:r w:rsidRPr="00B07B63">
        <w:t>Rättslig grund och beslutsförfarande</w:t>
      </w:r>
    </w:p>
    <w:p w:rsidR="001E42EC" w:rsidRPr="00B07B63" w:rsidRDefault="001E42EC">
      <w:r w:rsidRPr="00B07B63">
        <w:t>Ej tillämpligt.</w:t>
      </w:r>
    </w:p>
    <w:p w:rsidR="001E42EC" w:rsidRPr="00B07B63" w:rsidRDefault="001E42EC"/>
    <w:p w:rsidR="001E42EC" w:rsidRPr="00B07B63" w:rsidRDefault="001E42EC">
      <w:pPr>
        <w:pStyle w:val="Rubrik2"/>
      </w:pPr>
      <w:r w:rsidRPr="00B07B63">
        <w:t>Subsidiaritets- och proportionalitetsprincipen</w:t>
      </w:r>
    </w:p>
    <w:p w:rsidR="001E42EC" w:rsidRPr="00B07B63" w:rsidRDefault="001E42EC">
      <w:r w:rsidRPr="00B07B63">
        <w:t>Ej tillämpligt.</w:t>
      </w:r>
    </w:p>
    <w:p w:rsidR="001E42EC" w:rsidRPr="00B07B63" w:rsidRDefault="001E42EC">
      <w:pPr>
        <w:pStyle w:val="Rubrik1"/>
      </w:pPr>
      <w:r w:rsidRPr="00B07B63">
        <w:t>Övrigt</w:t>
      </w:r>
    </w:p>
    <w:p w:rsidR="001E42EC" w:rsidRPr="00B07B63" w:rsidRDefault="001E42EC">
      <w:pPr>
        <w:pStyle w:val="Rubrik2"/>
      </w:pPr>
      <w:r w:rsidRPr="00B07B63">
        <w:t>Fortsatt behandling av ärendet</w:t>
      </w:r>
    </w:p>
    <w:p w:rsidR="001E42EC" w:rsidRPr="00B07B63" w:rsidRDefault="001E42EC">
      <w:r w:rsidRPr="00B07B63">
        <w:t>Kommissionen kommer att fortsätta utveckla samarbetet med medlemsstaterna och övriga berörda parter för genomförandet av de olika åtgärderna i meddelandet.</w:t>
      </w:r>
    </w:p>
    <w:p w:rsidR="001E42EC" w:rsidRPr="00B07B63" w:rsidRDefault="001E42EC">
      <w:pPr>
        <w:pStyle w:val="Rubrik2"/>
      </w:pPr>
      <w:r w:rsidRPr="00B07B63">
        <w:t>Fackuttryck/termer</w:t>
      </w:r>
    </w:p>
    <w:p w:rsidR="001E42EC" w:rsidRPr="00B07B63" w:rsidRDefault="001E42EC">
      <w:r w:rsidRPr="00B07B63">
        <w:t>I EU:s stadga om de grundläggande rättigheterna bekräftas de rättigheter som har sin grund särskilt i medlemsstaternas gemensamma författningstraditioner och internationella förpliktelser, Europakonventionen om skydd för de mänskliga rättigheterna och de grundläggande friheterna, unionens och Europarådets sociala stadgor och rättspraxis vid Europeiska unionens domstol och Europeiska domstolen för de mänskliga rättigheterna. Den proklamerades av Europaparlamentets, rådets och kommissionens ordförande vid Eu</w:t>
      </w:r>
      <w:r w:rsidRPr="00B07B63">
        <w:t xml:space="preserve">ropeiska rådets möte i Nice den 7 december 2000. Stadgan behandlar värdighet, friheter, jämlikhet, solidaritet, medborgarnas rättigheter, rättsskipning och innehåller även allmänna bestämmelser. </w:t>
      </w:r>
    </w:p>
    <w:p w:rsidR="001E42EC" w:rsidRPr="00B07B63" w:rsidRDefault="001E42EC"/>
    <w:sectPr w:rsidR="001E42EC" w:rsidRPr="00B07B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2EC" w:rsidRPr="00B07B63" w:rsidRDefault="001E42EC">
      <w:r w:rsidRPr="00B07B63">
        <w:separator/>
      </w:r>
    </w:p>
  </w:endnote>
  <w:endnote w:type="continuationSeparator" w:id="0">
    <w:p w:rsidR="001E42EC" w:rsidRPr="00B07B63" w:rsidRDefault="001E42EC">
      <w:r w:rsidRPr="00B07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1E42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1E42EC">
    <w:pPr>
      <w:pStyle w:val="SidfotH"/>
      <w:framePr w:wrap="around"/>
    </w:pPr>
    <w:r w:rsidRPr="00B07B63">
      <w:t>3</w:t>
    </w:r>
  </w:p>
  <w:p w:rsidR="001E42EC" w:rsidRPr="00B07B63" w:rsidRDefault="001E42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1E42EC">
    <w:pPr>
      <w:pStyle w:val="SidfotH"/>
      <w:framePr w:wrap="around"/>
    </w:pPr>
    <w:r w:rsidRPr="00B07B63">
      <w:t>1</w:t>
    </w:r>
  </w:p>
  <w:p w:rsidR="001E42EC" w:rsidRPr="00B07B63" w:rsidRDefault="001E4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2EC" w:rsidRPr="00B07B63" w:rsidRDefault="001E42EC">
      <w:r w:rsidRPr="00B07B63">
        <w:separator/>
      </w:r>
    </w:p>
  </w:footnote>
  <w:footnote w:type="continuationSeparator" w:id="0">
    <w:p w:rsidR="001E42EC" w:rsidRPr="00B07B63" w:rsidRDefault="001E42EC">
      <w:r w:rsidRPr="00B07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1E42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1E42EC">
    <w:pPr>
      <w:pStyle w:val="Kantrubrik"/>
      <w:framePr w:h="1157" w:hRule="exact" w:wrap="around" w:y="738"/>
    </w:pPr>
    <w:r w:rsidRPr="00B07B63">
      <w:t>2010/11:FPM30</w:t>
    </w:r>
  </w:p>
  <w:p w:rsidR="001E42EC" w:rsidRPr="00B07B63" w:rsidRDefault="001E42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2EC" w:rsidRPr="00B07B63" w:rsidRDefault="00B07B63">
    <w:pPr>
      <w:pStyle w:val="Sidhuvud"/>
    </w:pPr>
    <w:r w:rsidRPr="00B07B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6040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2EC" w:rsidRDefault="001E42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E42EC" w:rsidRDefault="001E42EC">
                    <w:pPr>
                      <w:pStyle w:val="Logo"/>
                    </w:pPr>
                    <w:r>
                      <w:object w:dxaOrig="840" w:dyaOrig="1545">
                        <v:shape id="_x0000_i1025" type="#_x0000_t75" style="width:42pt;height:77.15pt" filled="t">
                          <v:imagedata r:id="rId1" o:title=""/>
                        </v:shape>
                        <o:OLEObject Type="Embed" ProgID="Word.Picture.8" ShapeID="_x0000_i1025" DrawAspect="Content" ObjectID="_18275213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074775">
    <w:abstractNumId w:val="4"/>
  </w:num>
  <w:num w:numId="2" w16cid:durableId="297154731">
    <w:abstractNumId w:val="1"/>
  </w:num>
  <w:num w:numId="3" w16cid:durableId="642008784">
    <w:abstractNumId w:val="2"/>
  </w:num>
  <w:num w:numId="4" w16cid:durableId="1394618262">
    <w:abstractNumId w:val="3"/>
  </w:num>
  <w:num w:numId="5" w16cid:durableId="1299727077">
    <w:abstractNumId w:val="5"/>
  </w:num>
  <w:num w:numId="6" w16cid:durableId="11379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23"/>
    <w:docVar w:name="Ar" w:val="2010/11"/>
    <w:docVar w:name="Dep" w:val="Integrations- och jämställdhetsdepartementet"/>
    <w:docVar w:name="DepWeb" w:val="Integrations- och jämställdhetsdepartementet"/>
    <w:docVar w:name="GDB1" w:val="KOM (2010) 5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Strategi för Europeiska unionens konkreta tillämpning av stadgan om de grundläggande rättighe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73"/>
    <w:docVar w:name="Nr" w:val="30"/>
    <w:docVar w:name="RD_APPVERSION" w:val="3.00"/>
    <w:docVar w:name="Rub" w:val="Meddelande om strategi för grundläggande rättigheter"/>
    <w:docVar w:name="UppDat" w:val="2010-11-23"/>
    <w:docVar w:name="Utsk" w:val="Konstitutionsutskottet"/>
  </w:docVars>
  <w:rsids>
    <w:rsidRoot w:val="0093454E"/>
    <w:rsid w:val="001E42EC"/>
    <w:rsid w:val="0093454E"/>
    <w:rsid w:val="00B07B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F538E8-771F-4D15-91C2-B178F73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620</Words>
  <Characters>4283</Characters>
  <Application>Microsoft Office Word</Application>
  <DocSecurity>4</DocSecurity>
  <Lines>95</Lines>
  <Paragraphs>46</Paragraphs>
  <ScaleCrop>false</ScaleCrop>
  <HeadingPairs>
    <vt:vector size="2" baseType="variant">
      <vt:variant>
        <vt:lpstr>Rubrik</vt:lpstr>
      </vt:variant>
      <vt:variant>
        <vt:i4>1</vt:i4>
      </vt:variant>
    </vt:vector>
  </HeadingPairs>
  <TitlesOfParts>
    <vt:vector size="1" baseType="lpstr">
      <vt:lpstr>FPM_201011__30</vt:lpstr>
    </vt:vector>
  </TitlesOfParts>
  <Company>RD-DTSL</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FPM_201011__30</dc:title>
  <dc:subject>FPM_201011__30</dc:subject>
  <dc:creator>Riksdagen</dc:creator>
  <cp:keywords>Riksdagen</cp:keywords>
  <dc:description>KP2004-version.  Ändringarna påverkar enbart användningen inom Riksdagen. 050429 nya departement DTSL.</dc:description>
  <cp:lastModifiedBy>Lars Brink</cp:lastModifiedBy>
  <cp:revision>2</cp:revision>
  <cp:lastPrinted>2010-11-23T14:43:00Z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 (2010) 573</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Meddelande om strategi för grundläggande rättigheter</vt:lpwstr>
  </property>
  <property fmtid="{D5CDD505-2E9C-101B-9397-08002B2CF9AE}" pid="8" name="UppDat">
    <vt:lpwstr>2010-11-23</vt:lpwstr>
  </property>
  <property fmtid="{D5CDD505-2E9C-101B-9397-08002B2CF9AE}" pid="9" name="AnkDat">
    <vt:lpwstr>2010-11-23</vt:lpwstr>
  </property>
  <property fmtid="{D5CDD505-2E9C-101B-9397-08002B2CF9AE}" pid="10" name="Utsk">
    <vt:lpwstr>Konstitutionsutskottet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20;0;0;485</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Integrations- och jämställdhetsdepartementet</vt:lpwstr>
  </property>
  <property fmtid="{D5CDD505-2E9C-101B-9397-08002B2CF9AE}" pid="45" name="RKOrdnaActivityCategory">
    <vt:lpwstr>6.2. Interna uppdrag, arbetsgrupper och projekt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