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2C38EA36"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157F95">
              <w:rPr>
                <w:b/>
              </w:rPr>
              <w:t>53</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75DB9CA1" w:rsidR="008035C8" w:rsidRDefault="00A257B8" w:rsidP="00AF3CA6">
            <w:pPr>
              <w:ind w:right="355"/>
            </w:pPr>
            <w:r>
              <w:t>20</w:t>
            </w:r>
            <w:r w:rsidR="00CF36BC">
              <w:t>2</w:t>
            </w:r>
            <w:r w:rsidR="00701F1D">
              <w:t>5</w:t>
            </w:r>
            <w:r w:rsidR="002A3730">
              <w:t>-</w:t>
            </w:r>
            <w:r w:rsidR="00157F95">
              <w:t>06-10</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5B2CAF5B" w:rsidR="0096348C" w:rsidRDefault="009476AF" w:rsidP="00AF3CA6">
            <w:pPr>
              <w:ind w:right="-269"/>
            </w:pPr>
            <w:r>
              <w:t>K</w:t>
            </w:r>
            <w:r w:rsidR="00111135">
              <w:t>l</w:t>
            </w:r>
            <w:r>
              <w:t>.</w:t>
            </w:r>
            <w:r w:rsidR="002349AE">
              <w:t xml:space="preserve"> </w:t>
            </w:r>
            <w:r w:rsidR="00157F95">
              <w:t>11.00</w:t>
            </w:r>
            <w:r w:rsidR="00757D8D">
              <w:t>-11.52</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757D8D" w14:paraId="23745ACC" w14:textId="77777777" w:rsidTr="008035C8">
        <w:tc>
          <w:tcPr>
            <w:tcW w:w="567" w:type="dxa"/>
          </w:tcPr>
          <w:p w14:paraId="589D9CDD" w14:textId="76CEC6F4" w:rsidR="00757D8D" w:rsidRDefault="00757D8D" w:rsidP="00757D8D">
            <w:pPr>
              <w:pStyle w:val="Default"/>
              <w:rPr>
                <w:b/>
                <w:snapToGrid w:val="0"/>
              </w:rPr>
            </w:pPr>
            <w:r>
              <w:rPr>
                <w:b/>
                <w:snapToGrid w:val="0"/>
              </w:rPr>
              <w:t>§ 1</w:t>
            </w:r>
          </w:p>
        </w:tc>
        <w:tc>
          <w:tcPr>
            <w:tcW w:w="7655" w:type="dxa"/>
          </w:tcPr>
          <w:p w14:paraId="64F23DE1" w14:textId="77777777" w:rsidR="002050F9" w:rsidRDefault="00757D8D" w:rsidP="002050F9">
            <w:pPr>
              <w:outlineLvl w:val="0"/>
              <w:rPr>
                <w:bCs/>
              </w:rPr>
            </w:pPr>
            <w:r>
              <w:rPr>
                <w:b/>
                <w:szCs w:val="24"/>
              </w:rPr>
              <w:t xml:space="preserve">Medgivande att närvara </w:t>
            </w:r>
            <w:r w:rsidR="006C08D4">
              <w:rPr>
                <w:b/>
                <w:szCs w:val="24"/>
              </w:rPr>
              <w:br/>
            </w:r>
            <w:r w:rsidR="006C08D4">
              <w:t xml:space="preserve">Utskottet medgav att en tjänsteman från socialutskottets kansli närvarade under sammanträdet </w:t>
            </w:r>
            <w:r w:rsidR="002050F9">
              <w:t xml:space="preserve">under </w:t>
            </w:r>
            <w:r w:rsidR="002050F9">
              <w:rPr>
                <w:bCs/>
              </w:rPr>
              <w:t xml:space="preserve">punkt 8 på föredragningslistan, </w:t>
            </w:r>
            <w:r w:rsidR="006C08D4" w:rsidRPr="006C08D4">
              <w:rPr>
                <w:bCs/>
              </w:rPr>
              <w:t>Extra ändringsbudget för 2025 – Kapitaltillskott till Apotek Produktion &amp; Laboratorier AB (FiU33)</w:t>
            </w:r>
            <w:r w:rsidR="002050F9">
              <w:rPr>
                <w:bCs/>
              </w:rPr>
              <w:t>.</w:t>
            </w:r>
          </w:p>
          <w:p w14:paraId="3197B12A" w14:textId="64B73ED4" w:rsidR="006C08D4" w:rsidRPr="002050F9" w:rsidRDefault="006C08D4" w:rsidP="002050F9">
            <w:pPr>
              <w:outlineLvl w:val="0"/>
              <w:rPr>
                <w:bCs/>
              </w:rPr>
            </w:pPr>
            <w:r>
              <w:rPr>
                <w:bCs/>
              </w:rPr>
              <w:t xml:space="preserve"> </w:t>
            </w:r>
          </w:p>
        </w:tc>
      </w:tr>
      <w:tr w:rsidR="00757D8D" w14:paraId="7C6E34BD" w14:textId="77777777" w:rsidTr="008035C8">
        <w:tc>
          <w:tcPr>
            <w:tcW w:w="567" w:type="dxa"/>
          </w:tcPr>
          <w:p w14:paraId="59DE8C7E" w14:textId="75B38608" w:rsidR="00757D8D" w:rsidRPr="00C92C53" w:rsidRDefault="00757D8D" w:rsidP="00757D8D">
            <w:pPr>
              <w:pStyle w:val="Default"/>
              <w:rPr>
                <w:b/>
              </w:rPr>
            </w:pPr>
            <w:r w:rsidRPr="00C92C53">
              <w:rPr>
                <w:b/>
              </w:rPr>
              <w:t xml:space="preserve">§ </w:t>
            </w:r>
            <w:r>
              <w:rPr>
                <w:b/>
              </w:rPr>
              <w:t>2</w:t>
            </w:r>
          </w:p>
        </w:tc>
        <w:tc>
          <w:tcPr>
            <w:tcW w:w="7655" w:type="dxa"/>
          </w:tcPr>
          <w:p w14:paraId="4431479B" w14:textId="7DCE9992" w:rsidR="00757D8D" w:rsidRDefault="00757D8D" w:rsidP="00757D8D">
            <w:pPr>
              <w:outlineLvl w:val="0"/>
              <w:rPr>
                <w:b/>
                <w:szCs w:val="24"/>
              </w:rPr>
            </w:pPr>
            <w:r>
              <w:rPr>
                <w:b/>
                <w:szCs w:val="24"/>
              </w:rPr>
              <w:t>EU:s kommande långtidsbudget</w:t>
            </w:r>
          </w:p>
          <w:p w14:paraId="373606FF" w14:textId="3B52590E" w:rsidR="00757D8D" w:rsidRDefault="00A05E5B" w:rsidP="00757D8D">
            <w:pPr>
              <w:outlineLvl w:val="0"/>
              <w:rPr>
                <w:bCs/>
              </w:rPr>
            </w:pPr>
            <w:r w:rsidRPr="00A05E5B">
              <w:rPr>
                <w:bCs/>
                <w:szCs w:val="24"/>
              </w:rPr>
              <w:t>Utskottet överlade med</w:t>
            </w:r>
            <w:r>
              <w:rPr>
                <w:b/>
                <w:szCs w:val="24"/>
              </w:rPr>
              <w:t xml:space="preserve"> </w:t>
            </w:r>
            <w:r w:rsidR="002050F9">
              <w:rPr>
                <w:bCs/>
              </w:rPr>
              <w:t>s</w:t>
            </w:r>
            <w:r>
              <w:rPr>
                <w:bCs/>
              </w:rPr>
              <w:t>tatssekreterarna Christian Danielsson och Johanna Lybeck Lilja</w:t>
            </w:r>
            <w:r w:rsidR="000D3BAA">
              <w:rPr>
                <w:bCs/>
              </w:rPr>
              <w:t xml:space="preserve">, </w:t>
            </w:r>
            <w:r w:rsidR="000D3BAA" w:rsidRPr="00A31F87">
              <w:rPr>
                <w:bCs/>
              </w:rPr>
              <w:t>biträdd</w:t>
            </w:r>
            <w:r w:rsidR="000D3BAA">
              <w:rPr>
                <w:bCs/>
              </w:rPr>
              <w:t>a</w:t>
            </w:r>
            <w:r w:rsidR="000D3BAA" w:rsidRPr="00A31F87">
              <w:rPr>
                <w:bCs/>
              </w:rPr>
              <w:t xml:space="preserve"> av medarbetare från </w:t>
            </w:r>
            <w:r w:rsidR="00A934F0">
              <w:rPr>
                <w:bCs/>
              </w:rPr>
              <w:t xml:space="preserve">Statsrådsberedningen och </w:t>
            </w:r>
            <w:r w:rsidR="000D3BAA" w:rsidRPr="00A31F87">
              <w:rPr>
                <w:bCs/>
              </w:rPr>
              <w:t>Finansdepartementet.</w:t>
            </w:r>
          </w:p>
          <w:p w14:paraId="1F08421F" w14:textId="7539609C" w:rsidR="00A05E5B" w:rsidRDefault="00A05E5B" w:rsidP="00757D8D">
            <w:pPr>
              <w:outlineLvl w:val="0"/>
              <w:rPr>
                <w:bCs/>
              </w:rPr>
            </w:pPr>
            <w:r>
              <w:rPr>
                <w:bCs/>
              </w:rPr>
              <w:t xml:space="preserve">Underlaget utgjordes av </w:t>
            </w:r>
            <w:r w:rsidR="000D3BAA">
              <w:rPr>
                <w:bCs/>
              </w:rPr>
              <w:t xml:space="preserve">Regeringskansliets </w:t>
            </w:r>
            <w:r w:rsidR="002050F9">
              <w:rPr>
                <w:bCs/>
              </w:rPr>
              <w:t>ö</w:t>
            </w:r>
            <w:r w:rsidR="002050F9" w:rsidRPr="002050F9">
              <w:rPr>
                <w:bCs/>
              </w:rPr>
              <w:t>verläggningspromemoria om MFF post 2027</w:t>
            </w:r>
            <w:r w:rsidR="002050F9">
              <w:rPr>
                <w:bCs/>
              </w:rPr>
              <w:t xml:space="preserve"> </w:t>
            </w:r>
            <w:r w:rsidR="002050F9" w:rsidRPr="00041348">
              <w:rPr>
                <w:bCs/>
              </w:rPr>
              <w:t>(dnr 184–2024/25).</w:t>
            </w:r>
          </w:p>
          <w:p w14:paraId="320E304E" w14:textId="655FE02C" w:rsidR="002050F9" w:rsidRDefault="002050F9" w:rsidP="00757D8D">
            <w:pPr>
              <w:outlineLvl w:val="0"/>
              <w:rPr>
                <w:bCs/>
              </w:rPr>
            </w:pPr>
          </w:p>
          <w:p w14:paraId="5904AB25" w14:textId="7735A943" w:rsidR="002050F9" w:rsidRDefault="002050F9" w:rsidP="002050F9">
            <w:pPr>
              <w:outlineLvl w:val="0"/>
              <w:rPr>
                <w:bCs/>
              </w:rPr>
            </w:pPr>
            <w:r w:rsidRPr="00041348">
              <w:rPr>
                <w:bCs/>
              </w:rPr>
              <w:t>Statssekreterar</w:t>
            </w:r>
            <w:r>
              <w:rPr>
                <w:bCs/>
              </w:rPr>
              <w:t>na</w:t>
            </w:r>
            <w:r w:rsidRPr="00041348">
              <w:rPr>
                <w:bCs/>
              </w:rPr>
              <w:t xml:space="preserve"> redog</w:t>
            </w:r>
            <w:r>
              <w:rPr>
                <w:bCs/>
              </w:rPr>
              <w:t>j</w:t>
            </w:r>
            <w:r w:rsidRPr="00041348">
              <w:rPr>
                <w:bCs/>
              </w:rPr>
              <w:t>orde för regeringens ståndpunkt i enlighet med överläggningspromemorian</w:t>
            </w:r>
            <w:r>
              <w:rPr>
                <w:bCs/>
              </w:rPr>
              <w:t>, se bilaga 2.</w:t>
            </w:r>
          </w:p>
          <w:p w14:paraId="2A27EEE6" w14:textId="6F31E134" w:rsidR="002050F9" w:rsidRDefault="002050F9" w:rsidP="00757D8D">
            <w:pPr>
              <w:outlineLvl w:val="0"/>
              <w:rPr>
                <w:b/>
                <w:szCs w:val="24"/>
              </w:rPr>
            </w:pPr>
          </w:p>
          <w:p w14:paraId="6799712A" w14:textId="04973A0B" w:rsidR="002050F9" w:rsidRDefault="002050F9" w:rsidP="00757D8D">
            <w:pPr>
              <w:outlineLvl w:val="0"/>
              <w:rPr>
                <w:b/>
                <w:szCs w:val="24"/>
              </w:rPr>
            </w:pPr>
            <w:r>
              <w:rPr>
                <w:bCs/>
              </w:rPr>
              <w:t>Ordföranden konstaterade att det fanns stöd för regeringens ståndpunkt.</w:t>
            </w:r>
          </w:p>
          <w:p w14:paraId="49C09703" w14:textId="3194DED9" w:rsidR="00757D8D" w:rsidRPr="002A3730" w:rsidRDefault="00757D8D" w:rsidP="00757D8D">
            <w:pPr>
              <w:outlineLvl w:val="0"/>
              <w:rPr>
                <w:b/>
                <w:szCs w:val="24"/>
              </w:rPr>
            </w:pPr>
          </w:p>
        </w:tc>
      </w:tr>
      <w:tr w:rsidR="00757D8D" w14:paraId="2C8ABE0A" w14:textId="77777777" w:rsidTr="008035C8">
        <w:tc>
          <w:tcPr>
            <w:tcW w:w="567" w:type="dxa"/>
          </w:tcPr>
          <w:p w14:paraId="442699FD" w14:textId="0329E9CE" w:rsidR="00757D8D" w:rsidRPr="00C92C53" w:rsidRDefault="00757D8D" w:rsidP="00757D8D">
            <w:pPr>
              <w:pStyle w:val="Default"/>
              <w:rPr>
                <w:b/>
              </w:rPr>
            </w:pPr>
            <w:r w:rsidRPr="00C92C53">
              <w:rPr>
                <w:b/>
              </w:rPr>
              <w:t>§</w:t>
            </w:r>
            <w:r>
              <w:rPr>
                <w:b/>
              </w:rPr>
              <w:t xml:space="preserve"> 3</w:t>
            </w:r>
          </w:p>
        </w:tc>
        <w:tc>
          <w:tcPr>
            <w:tcW w:w="7655" w:type="dxa"/>
          </w:tcPr>
          <w:p w14:paraId="438C0688" w14:textId="46FA4533" w:rsidR="00757D8D" w:rsidRDefault="00757D8D" w:rsidP="00757D8D">
            <w:pPr>
              <w:outlineLvl w:val="0"/>
              <w:rPr>
                <w:b/>
                <w:szCs w:val="24"/>
              </w:rPr>
            </w:pPr>
            <w:r>
              <w:rPr>
                <w:b/>
                <w:szCs w:val="24"/>
              </w:rPr>
              <w:t>EU:s årsbudget 2026</w:t>
            </w:r>
          </w:p>
          <w:p w14:paraId="036C534F" w14:textId="0A4AF9C5" w:rsidR="002050F9" w:rsidRDefault="002050F9" w:rsidP="002050F9">
            <w:pPr>
              <w:outlineLvl w:val="0"/>
              <w:rPr>
                <w:bCs/>
              </w:rPr>
            </w:pPr>
            <w:r w:rsidRPr="00A05E5B">
              <w:rPr>
                <w:bCs/>
                <w:szCs w:val="24"/>
              </w:rPr>
              <w:t>Utskottet överlade med</w:t>
            </w:r>
            <w:r>
              <w:rPr>
                <w:b/>
                <w:szCs w:val="24"/>
              </w:rPr>
              <w:t xml:space="preserve"> </w:t>
            </w:r>
            <w:r>
              <w:rPr>
                <w:bCs/>
              </w:rPr>
              <w:t xml:space="preserve">statssekreterare Johanna Lybeck Lilja, </w:t>
            </w:r>
            <w:r w:rsidRPr="00A31F87">
              <w:rPr>
                <w:bCs/>
              </w:rPr>
              <w:t>biträdd av medarbetare från Finansdepartementet.</w:t>
            </w:r>
          </w:p>
          <w:p w14:paraId="795CAC9E" w14:textId="7357101F" w:rsidR="002050F9" w:rsidRDefault="002050F9" w:rsidP="002050F9">
            <w:pPr>
              <w:outlineLvl w:val="0"/>
              <w:rPr>
                <w:bCs/>
              </w:rPr>
            </w:pPr>
          </w:p>
          <w:p w14:paraId="555F25E8" w14:textId="42A5F33B" w:rsidR="002050F9" w:rsidRDefault="002050F9" w:rsidP="002050F9">
            <w:pPr>
              <w:outlineLvl w:val="0"/>
              <w:rPr>
                <w:bCs/>
              </w:rPr>
            </w:pPr>
            <w:r>
              <w:rPr>
                <w:bCs/>
              </w:rPr>
              <w:t>Underlaget utgjordes av Regeringskansliets ö</w:t>
            </w:r>
            <w:r w:rsidRPr="002050F9">
              <w:rPr>
                <w:bCs/>
              </w:rPr>
              <w:t>verläggningspromemoria o</w:t>
            </w:r>
            <w:r>
              <w:rPr>
                <w:bCs/>
              </w:rPr>
              <w:t xml:space="preserve">m </w:t>
            </w:r>
            <w:r w:rsidRPr="002050F9">
              <w:rPr>
                <w:bCs/>
              </w:rPr>
              <w:t xml:space="preserve">EU:s årsbudget 2026 </w:t>
            </w:r>
            <w:r w:rsidRPr="00041348">
              <w:rPr>
                <w:bCs/>
              </w:rPr>
              <w:t>(dnr 184–2024/25).</w:t>
            </w:r>
          </w:p>
          <w:p w14:paraId="3E3E2081" w14:textId="77777777" w:rsidR="002050F9" w:rsidRDefault="002050F9" w:rsidP="002050F9">
            <w:pPr>
              <w:outlineLvl w:val="0"/>
              <w:rPr>
                <w:bCs/>
              </w:rPr>
            </w:pPr>
          </w:p>
          <w:p w14:paraId="054193B1" w14:textId="2E81A1A9" w:rsidR="002050F9" w:rsidRDefault="002050F9" w:rsidP="002050F9">
            <w:pPr>
              <w:outlineLvl w:val="0"/>
              <w:rPr>
                <w:bCs/>
              </w:rPr>
            </w:pPr>
            <w:r w:rsidRPr="00041348">
              <w:rPr>
                <w:bCs/>
              </w:rPr>
              <w:t>Statssekreterar</w:t>
            </w:r>
            <w:r>
              <w:rPr>
                <w:bCs/>
              </w:rPr>
              <w:t>en</w:t>
            </w:r>
            <w:r w:rsidRPr="00041348">
              <w:rPr>
                <w:bCs/>
              </w:rPr>
              <w:t xml:space="preserve"> redog</w:t>
            </w:r>
            <w:r>
              <w:rPr>
                <w:bCs/>
              </w:rPr>
              <w:t>j</w:t>
            </w:r>
            <w:r w:rsidRPr="00041348">
              <w:rPr>
                <w:bCs/>
              </w:rPr>
              <w:t>orde för regeringens ståndpunkt i enlighet med överläggningspromemorian</w:t>
            </w:r>
            <w:r>
              <w:rPr>
                <w:bCs/>
              </w:rPr>
              <w:t>:</w:t>
            </w:r>
          </w:p>
          <w:p w14:paraId="46B55951" w14:textId="363064D9" w:rsidR="00517AA3" w:rsidRDefault="00517AA3" w:rsidP="002050F9">
            <w:pPr>
              <w:outlineLvl w:val="0"/>
              <w:rPr>
                <w:bCs/>
              </w:rPr>
            </w:pPr>
          </w:p>
          <w:p w14:paraId="2DB97B40" w14:textId="77777777"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dvs. att verka för en begränsning av EU:s utgifter inom budgetramen och därmed </w:t>
            </w:r>
          </w:p>
          <w:p w14:paraId="5FF5807A" w14:textId="3D234D49"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av den svenska avgiften till EU. Det övergripande målet i arbetet med 2026 års EU-budget är därmed, liksom tidigare år, att nå en så restriktiv budget som möjligt som med god marginal ryms inom de beslutade taken i den fleråriga budgetramen för åren 2021–2027. Betalningsanslagen ska baseras på realistiska och väl underbyggda och verifierade prognoser och spegla tidigare genomförande. </w:t>
            </w:r>
          </w:p>
          <w:p w14:paraId="0E58BF3E" w14:textId="77777777" w:rsidR="00517AA3" w:rsidRPr="00517AA3" w:rsidRDefault="00517AA3" w:rsidP="00517AA3">
            <w:pPr>
              <w:widowControl/>
              <w:autoSpaceDE w:val="0"/>
              <w:autoSpaceDN w:val="0"/>
              <w:adjustRightInd w:val="0"/>
              <w:ind w:left="567"/>
              <w:rPr>
                <w:color w:val="000000"/>
                <w:sz w:val="22"/>
                <w:szCs w:val="22"/>
              </w:rPr>
            </w:pPr>
          </w:p>
          <w:p w14:paraId="7999AC4D" w14:textId="684EB9FC" w:rsidR="00517AA3" w:rsidRPr="00517AA3" w:rsidRDefault="00517AA3" w:rsidP="00517AA3">
            <w:pPr>
              <w:ind w:left="567"/>
              <w:outlineLvl w:val="0"/>
              <w:rPr>
                <w:bCs/>
                <w:sz w:val="22"/>
                <w:szCs w:val="22"/>
              </w:rPr>
            </w:pPr>
            <w:r w:rsidRPr="00517AA3">
              <w:rPr>
                <w:color w:val="000000"/>
                <w:sz w:val="22"/>
                <w:szCs w:val="22"/>
              </w:rPr>
              <w:t>Sverige verkar vidare för ett lojalt genomförande av halvtidsöversynen av den fleråriga budgetramen, särskilt vad gäller den så kallade kaskadmekanismen för räntebetalningar kopplade till EU:s återhämtningsinstrument.</w:t>
            </w:r>
          </w:p>
          <w:p w14:paraId="53BF2DAA" w14:textId="77777777" w:rsidR="00517AA3" w:rsidRDefault="00517AA3" w:rsidP="00517AA3">
            <w:pPr>
              <w:ind w:left="567"/>
              <w:outlineLvl w:val="0"/>
              <w:rPr>
                <w:b/>
                <w:szCs w:val="24"/>
              </w:rPr>
            </w:pPr>
          </w:p>
          <w:p w14:paraId="15DEF113" w14:textId="43273F96" w:rsidR="002050F9" w:rsidRDefault="002050F9" w:rsidP="00517AA3">
            <w:pPr>
              <w:outlineLvl w:val="0"/>
              <w:rPr>
                <w:b/>
                <w:szCs w:val="24"/>
              </w:rPr>
            </w:pPr>
            <w:r>
              <w:rPr>
                <w:bCs/>
              </w:rPr>
              <w:t>Ordföranden konstaterade att det fanns stöd för regeringens ståndpunkt.</w:t>
            </w:r>
          </w:p>
          <w:p w14:paraId="17EE5049" w14:textId="24D32285" w:rsidR="00757D8D" w:rsidRPr="002A3730" w:rsidRDefault="00757D8D" w:rsidP="00757D8D">
            <w:pPr>
              <w:outlineLvl w:val="0"/>
              <w:rPr>
                <w:bCs/>
                <w:szCs w:val="24"/>
              </w:rPr>
            </w:pPr>
          </w:p>
        </w:tc>
      </w:tr>
      <w:tr w:rsidR="00757D8D" w14:paraId="381DDF23" w14:textId="77777777" w:rsidTr="008035C8">
        <w:tc>
          <w:tcPr>
            <w:tcW w:w="567" w:type="dxa"/>
          </w:tcPr>
          <w:p w14:paraId="3B83AFC3" w14:textId="79FB31EA" w:rsidR="00757D8D" w:rsidRDefault="00757D8D" w:rsidP="00757D8D">
            <w:pPr>
              <w:tabs>
                <w:tab w:val="left" w:pos="1701"/>
              </w:tabs>
              <w:rPr>
                <w:b/>
                <w:snapToGrid w:val="0"/>
              </w:rPr>
            </w:pPr>
            <w:r w:rsidRPr="00C92C53">
              <w:rPr>
                <w:b/>
              </w:rPr>
              <w:lastRenderedPageBreak/>
              <w:t>§</w:t>
            </w:r>
            <w:r>
              <w:rPr>
                <w:b/>
              </w:rPr>
              <w:t xml:space="preserve"> 4</w:t>
            </w:r>
          </w:p>
        </w:tc>
        <w:tc>
          <w:tcPr>
            <w:tcW w:w="7655" w:type="dxa"/>
          </w:tcPr>
          <w:p w14:paraId="3BAB142E" w14:textId="030C95C3" w:rsidR="00757D8D" w:rsidRDefault="00757D8D" w:rsidP="00757D8D">
            <w:pPr>
              <w:outlineLvl w:val="0"/>
              <w:rPr>
                <w:b/>
                <w:bCs/>
              </w:rPr>
            </w:pPr>
            <w:r w:rsidRPr="00DA51DD">
              <w:rPr>
                <w:b/>
              </w:rPr>
              <w:t>Ändringar i EU-förordningar för att stärka försvarsindustrin</w:t>
            </w:r>
          </w:p>
          <w:p w14:paraId="112E7346" w14:textId="60756705" w:rsidR="002050F9" w:rsidRDefault="002050F9" w:rsidP="002050F9">
            <w:pPr>
              <w:outlineLvl w:val="0"/>
              <w:rPr>
                <w:bCs/>
              </w:rPr>
            </w:pPr>
            <w:r w:rsidRPr="00A05E5B">
              <w:rPr>
                <w:bCs/>
                <w:szCs w:val="24"/>
              </w:rPr>
              <w:t>Utskottet överlade med</w:t>
            </w:r>
            <w:r>
              <w:rPr>
                <w:b/>
                <w:szCs w:val="24"/>
              </w:rPr>
              <w:t xml:space="preserve"> </w:t>
            </w:r>
            <w:r>
              <w:rPr>
                <w:bCs/>
              </w:rPr>
              <w:t xml:space="preserve">statssekreterare Johanna Lybeck Lilja, </w:t>
            </w:r>
            <w:r w:rsidRPr="00A31F87">
              <w:rPr>
                <w:bCs/>
              </w:rPr>
              <w:t>biträdd av medarbetare från Finansdepartementet.</w:t>
            </w:r>
          </w:p>
          <w:p w14:paraId="12FE08C8" w14:textId="36A38B97" w:rsidR="002050F9" w:rsidRDefault="002050F9" w:rsidP="002050F9">
            <w:pPr>
              <w:outlineLvl w:val="0"/>
              <w:rPr>
                <w:bCs/>
              </w:rPr>
            </w:pPr>
          </w:p>
          <w:p w14:paraId="14A3CE09" w14:textId="131C8EA5" w:rsidR="002050F9" w:rsidRDefault="002050F9" w:rsidP="002050F9">
            <w:pPr>
              <w:outlineLvl w:val="0"/>
              <w:rPr>
                <w:bCs/>
              </w:rPr>
            </w:pPr>
            <w:r>
              <w:rPr>
                <w:bCs/>
              </w:rPr>
              <w:t>Underlaget utgjordes av Regeringskansliets fakta</w:t>
            </w:r>
            <w:r w:rsidRPr="002050F9">
              <w:rPr>
                <w:bCs/>
              </w:rPr>
              <w:t xml:space="preserve">promemoria </w:t>
            </w:r>
            <w:r>
              <w:rPr>
                <w:bCs/>
              </w:rPr>
              <w:t>2024/25:FPM41.</w:t>
            </w:r>
          </w:p>
          <w:p w14:paraId="499910C1" w14:textId="10249A87" w:rsidR="002050F9" w:rsidRDefault="002050F9" w:rsidP="002050F9">
            <w:pPr>
              <w:outlineLvl w:val="0"/>
              <w:rPr>
                <w:bCs/>
              </w:rPr>
            </w:pPr>
          </w:p>
          <w:p w14:paraId="7116A8C8" w14:textId="73CFBE03" w:rsidR="002050F9" w:rsidRDefault="002050F9" w:rsidP="002050F9">
            <w:pPr>
              <w:outlineLvl w:val="0"/>
              <w:rPr>
                <w:bCs/>
              </w:rPr>
            </w:pPr>
            <w:r w:rsidRPr="00041348">
              <w:rPr>
                <w:bCs/>
              </w:rPr>
              <w:t>Statssekreterar</w:t>
            </w:r>
            <w:r>
              <w:rPr>
                <w:bCs/>
              </w:rPr>
              <w:t>en</w:t>
            </w:r>
            <w:r w:rsidRPr="00041348">
              <w:rPr>
                <w:bCs/>
              </w:rPr>
              <w:t xml:space="preserve"> redog</w:t>
            </w:r>
            <w:r>
              <w:rPr>
                <w:bCs/>
              </w:rPr>
              <w:t>j</w:t>
            </w:r>
            <w:r w:rsidRPr="00041348">
              <w:rPr>
                <w:bCs/>
              </w:rPr>
              <w:t xml:space="preserve">orde för regeringens ståndpunkt i enlighet med </w:t>
            </w:r>
            <w:r>
              <w:rPr>
                <w:bCs/>
              </w:rPr>
              <w:t>fakta</w:t>
            </w:r>
            <w:r w:rsidRPr="002050F9">
              <w:rPr>
                <w:bCs/>
              </w:rPr>
              <w:t>promemoria</w:t>
            </w:r>
            <w:r>
              <w:rPr>
                <w:bCs/>
              </w:rPr>
              <w:t>n:</w:t>
            </w:r>
          </w:p>
          <w:p w14:paraId="6748DB6C" w14:textId="60AB6619" w:rsidR="002050F9" w:rsidRDefault="002050F9" w:rsidP="002050F9">
            <w:pPr>
              <w:outlineLvl w:val="0"/>
              <w:rPr>
                <w:bCs/>
              </w:rPr>
            </w:pPr>
          </w:p>
          <w:p w14:paraId="4BA2FE97" w14:textId="0DAB2A36" w:rsidR="0015111A" w:rsidRPr="0015111A" w:rsidRDefault="0015111A" w:rsidP="0015111A">
            <w:pPr>
              <w:ind w:left="567"/>
              <w:outlineLvl w:val="0"/>
              <w:rPr>
                <w:bCs/>
                <w:sz w:val="22"/>
                <w:szCs w:val="22"/>
              </w:rPr>
            </w:pPr>
            <w:r w:rsidRPr="0015111A">
              <w:rPr>
                <w:bCs/>
                <w:sz w:val="22"/>
                <w:szCs w:val="22"/>
              </w:rPr>
              <w:t>Regeringen välkomnar de delar av förslaget som ger möjlighet att omfördela medel för att stärka försvarssektorn. Det är positivt att kommissionen agerar på Europeiska rådets uppmaning att öka finansieringen av det europeiska försvaret och stärka den europeiska försvarstekniska och försvarsindustriella basen. Befintliga EU-instrument och omprioritering av befintliga resurser kan spela en viktig roll i det arbetet. Regeringen anser att det är angeläget att genomförandet av förslaget tar hänsyn till redan beslutade arbetsprogram samt pågående projekt i de aktuella fonderna och programmen.</w:t>
            </w:r>
          </w:p>
          <w:p w14:paraId="785115F0" w14:textId="77777777" w:rsidR="0015111A" w:rsidRPr="0015111A" w:rsidRDefault="0015111A" w:rsidP="0015111A">
            <w:pPr>
              <w:ind w:left="567"/>
              <w:outlineLvl w:val="0"/>
              <w:rPr>
                <w:bCs/>
                <w:sz w:val="22"/>
                <w:szCs w:val="22"/>
              </w:rPr>
            </w:pPr>
          </w:p>
          <w:p w14:paraId="2A78C98A" w14:textId="7A7F14E2" w:rsidR="0015111A" w:rsidRPr="0015111A" w:rsidRDefault="0015111A" w:rsidP="0015111A">
            <w:pPr>
              <w:ind w:left="567"/>
              <w:outlineLvl w:val="0"/>
              <w:rPr>
                <w:bCs/>
                <w:sz w:val="22"/>
                <w:szCs w:val="22"/>
              </w:rPr>
            </w:pPr>
            <w:r w:rsidRPr="0015111A">
              <w:rPr>
                <w:bCs/>
                <w:sz w:val="22"/>
                <w:szCs w:val="22"/>
              </w:rPr>
              <w:t>Regeringen anser att det är viktigt att upprätthålla sunda budgetprinciper i den fleråriga budgetramen. Regeringen motsätter sig därför kommissionens förslag om ökad för- och medfinansiering från EU. Regeringen motsätter sig också att medel som har återbetalats eller som inte har använts i EIC-pilotfasen i forskningsprogrammet Horisont 2020 öronmärks på det sätt som föreslås, i stället för att återgå till EU:s budget. Att avvika från sunda budgetprinciper kan bli prejudicerande och innebära budgetära konsekvenser.</w:t>
            </w:r>
          </w:p>
          <w:p w14:paraId="6BF5616D" w14:textId="77777777" w:rsidR="00757D8D" w:rsidRPr="0015111A" w:rsidRDefault="00757D8D" w:rsidP="0015111A">
            <w:pPr>
              <w:ind w:left="567"/>
              <w:outlineLvl w:val="0"/>
              <w:rPr>
                <w:b/>
                <w:bCs/>
                <w:sz w:val="22"/>
                <w:szCs w:val="22"/>
              </w:rPr>
            </w:pPr>
          </w:p>
          <w:p w14:paraId="52E02022" w14:textId="77777777" w:rsidR="002050F9" w:rsidRDefault="002050F9" w:rsidP="002050F9">
            <w:pPr>
              <w:outlineLvl w:val="0"/>
              <w:rPr>
                <w:b/>
                <w:szCs w:val="24"/>
              </w:rPr>
            </w:pPr>
            <w:r>
              <w:rPr>
                <w:bCs/>
              </w:rPr>
              <w:t>Ordföranden konstaterade att det fanns stöd för regeringens ståndpunkt.</w:t>
            </w:r>
          </w:p>
          <w:p w14:paraId="45FA8DC7" w14:textId="5D06E112" w:rsidR="006C08D4" w:rsidRDefault="006C08D4" w:rsidP="00757D8D">
            <w:pPr>
              <w:outlineLvl w:val="0"/>
              <w:rPr>
                <w:b/>
                <w:bCs/>
              </w:rPr>
            </w:pPr>
          </w:p>
        </w:tc>
      </w:tr>
      <w:tr w:rsidR="00757D8D" w14:paraId="20B894FB" w14:textId="77777777" w:rsidTr="008035C8">
        <w:tc>
          <w:tcPr>
            <w:tcW w:w="567" w:type="dxa"/>
          </w:tcPr>
          <w:p w14:paraId="34A9F0DB" w14:textId="34B6D30D" w:rsidR="00757D8D" w:rsidRDefault="00757D8D" w:rsidP="00757D8D">
            <w:pPr>
              <w:tabs>
                <w:tab w:val="left" w:pos="1701"/>
              </w:tabs>
              <w:rPr>
                <w:b/>
                <w:snapToGrid w:val="0"/>
              </w:rPr>
            </w:pPr>
            <w:r w:rsidRPr="00C92C53">
              <w:rPr>
                <w:b/>
              </w:rPr>
              <w:t>§</w:t>
            </w:r>
            <w:r>
              <w:rPr>
                <w:b/>
              </w:rPr>
              <w:t xml:space="preserve"> 5</w:t>
            </w:r>
          </w:p>
        </w:tc>
        <w:tc>
          <w:tcPr>
            <w:tcW w:w="7655" w:type="dxa"/>
          </w:tcPr>
          <w:p w14:paraId="7381826B" w14:textId="453EE665" w:rsidR="00757D8D" w:rsidRDefault="00757D8D" w:rsidP="00757D8D">
            <w:pPr>
              <w:outlineLvl w:val="0"/>
              <w:rPr>
                <w:b/>
                <w:bCs/>
              </w:rPr>
            </w:pPr>
            <w:r>
              <w:rPr>
                <w:b/>
              </w:rPr>
              <w:t>Aktuella EU-frågor: Genomförandet av den svenska planen för återhämtning och resiliens</w:t>
            </w:r>
          </w:p>
          <w:p w14:paraId="1376B1D7" w14:textId="52369991" w:rsidR="00757D8D" w:rsidRDefault="002050F9" w:rsidP="00757D8D">
            <w:pPr>
              <w:outlineLvl w:val="0"/>
              <w:rPr>
                <w:bCs/>
              </w:rPr>
            </w:pPr>
            <w:r>
              <w:rPr>
                <w:bCs/>
              </w:rPr>
              <w:t>Statssekreterare Johanna Lybeck Lilja,</w:t>
            </w:r>
            <w:r w:rsidRPr="00A31F87">
              <w:rPr>
                <w:bCs/>
              </w:rPr>
              <w:t xml:space="preserve"> biträdd av medarbetare från Finansdepartementet</w:t>
            </w:r>
            <w:r>
              <w:rPr>
                <w:bCs/>
              </w:rPr>
              <w:t xml:space="preserve"> informerade om aktuella EU-frågor</w:t>
            </w:r>
            <w:r w:rsidRPr="002050F9">
              <w:rPr>
                <w:bCs/>
              </w:rPr>
              <w:t>: Genomförandet av den svenska planen för återhämtning och resiliens</w:t>
            </w:r>
            <w:r>
              <w:rPr>
                <w:bCs/>
              </w:rPr>
              <w:t>.</w:t>
            </w:r>
          </w:p>
          <w:p w14:paraId="7689D4E0" w14:textId="7DB7E91B" w:rsidR="002050F9" w:rsidRPr="002050F9" w:rsidRDefault="002050F9" w:rsidP="00757D8D">
            <w:pPr>
              <w:outlineLvl w:val="0"/>
              <w:rPr>
                <w:bCs/>
              </w:rPr>
            </w:pPr>
          </w:p>
        </w:tc>
      </w:tr>
      <w:tr w:rsidR="00757D8D" w14:paraId="45BC8FD6" w14:textId="77777777" w:rsidTr="008035C8">
        <w:tc>
          <w:tcPr>
            <w:tcW w:w="567" w:type="dxa"/>
          </w:tcPr>
          <w:p w14:paraId="00D15431" w14:textId="64CB59A2" w:rsidR="00757D8D" w:rsidRPr="00C92C53" w:rsidRDefault="00757D8D" w:rsidP="00757D8D">
            <w:pPr>
              <w:tabs>
                <w:tab w:val="left" w:pos="1701"/>
              </w:tabs>
              <w:rPr>
                <w:b/>
              </w:rPr>
            </w:pPr>
            <w:r w:rsidRPr="00C92C53">
              <w:rPr>
                <w:b/>
              </w:rPr>
              <w:t>§</w:t>
            </w:r>
            <w:r>
              <w:rPr>
                <w:b/>
              </w:rPr>
              <w:t xml:space="preserve"> 6</w:t>
            </w:r>
          </w:p>
        </w:tc>
        <w:tc>
          <w:tcPr>
            <w:tcW w:w="7655" w:type="dxa"/>
          </w:tcPr>
          <w:p w14:paraId="1B418E04" w14:textId="545D3ADA" w:rsidR="006C08D4" w:rsidRDefault="00757D8D" w:rsidP="00757D8D">
            <w:pPr>
              <w:outlineLvl w:val="0"/>
              <w:rPr>
                <w:b/>
                <w:szCs w:val="24"/>
              </w:rPr>
            </w:pPr>
            <w:r w:rsidRPr="002A3730">
              <w:rPr>
                <w:b/>
                <w:szCs w:val="24"/>
              </w:rPr>
              <w:t>Anmälningar</w:t>
            </w:r>
          </w:p>
          <w:p w14:paraId="17A7990F" w14:textId="0B2E6783" w:rsidR="002050F9" w:rsidRPr="002050F9" w:rsidRDefault="002050F9" w:rsidP="00757D8D">
            <w:pPr>
              <w:outlineLvl w:val="0"/>
              <w:rPr>
                <w:bCs/>
                <w:szCs w:val="24"/>
              </w:rPr>
            </w:pPr>
            <w:r w:rsidRPr="002050F9">
              <w:rPr>
                <w:bCs/>
                <w:szCs w:val="24"/>
              </w:rPr>
              <w:t>Sammanträdet den 17 juni</w:t>
            </w:r>
            <w:r>
              <w:rPr>
                <w:bCs/>
                <w:szCs w:val="24"/>
              </w:rPr>
              <w:t xml:space="preserve"> ställdes in, då inga ärenden är </w:t>
            </w:r>
            <w:r w:rsidR="00517AA3">
              <w:rPr>
                <w:bCs/>
                <w:szCs w:val="24"/>
              </w:rPr>
              <w:t>in</w:t>
            </w:r>
            <w:r>
              <w:rPr>
                <w:bCs/>
                <w:szCs w:val="24"/>
              </w:rPr>
              <w:t xml:space="preserve">planerade. </w:t>
            </w:r>
          </w:p>
          <w:p w14:paraId="79978B01" w14:textId="26067D63" w:rsidR="002050F9" w:rsidRDefault="002050F9" w:rsidP="00757D8D">
            <w:pPr>
              <w:outlineLvl w:val="0"/>
              <w:rPr>
                <w:b/>
                <w:bCs/>
              </w:rPr>
            </w:pPr>
          </w:p>
        </w:tc>
      </w:tr>
      <w:tr w:rsidR="00757D8D" w14:paraId="5EE801D5" w14:textId="77777777" w:rsidTr="008035C8">
        <w:tc>
          <w:tcPr>
            <w:tcW w:w="567" w:type="dxa"/>
          </w:tcPr>
          <w:p w14:paraId="6DE6EE77" w14:textId="4AFA9741" w:rsidR="00757D8D" w:rsidRPr="00C92C53" w:rsidRDefault="00757D8D" w:rsidP="00757D8D">
            <w:pPr>
              <w:tabs>
                <w:tab w:val="left" w:pos="1701"/>
              </w:tabs>
              <w:rPr>
                <w:b/>
              </w:rPr>
            </w:pPr>
            <w:r>
              <w:rPr>
                <w:b/>
                <w:snapToGrid w:val="0"/>
              </w:rPr>
              <w:t>§ 7</w:t>
            </w:r>
          </w:p>
        </w:tc>
        <w:tc>
          <w:tcPr>
            <w:tcW w:w="7655" w:type="dxa"/>
          </w:tcPr>
          <w:p w14:paraId="1AE3257B" w14:textId="77777777" w:rsidR="002050F9" w:rsidRDefault="00757D8D" w:rsidP="00757D8D">
            <w:pPr>
              <w:outlineLvl w:val="0"/>
              <w:rPr>
                <w:b/>
                <w:szCs w:val="24"/>
              </w:rPr>
            </w:pPr>
            <w:r w:rsidRPr="002A3730">
              <w:rPr>
                <w:b/>
                <w:szCs w:val="24"/>
              </w:rPr>
              <w:t>Justering av protokoll</w:t>
            </w:r>
          </w:p>
          <w:p w14:paraId="4F573062" w14:textId="42A4D58E" w:rsidR="00757D8D" w:rsidRPr="002050F9" w:rsidRDefault="002050F9" w:rsidP="00757D8D">
            <w:pPr>
              <w:outlineLvl w:val="0"/>
              <w:rPr>
                <w:bCs/>
              </w:rPr>
            </w:pPr>
            <w:r w:rsidRPr="002050F9">
              <w:rPr>
                <w:bCs/>
                <w:szCs w:val="24"/>
              </w:rPr>
              <w:t>Utskottet justerade protokoll nr 2024/25:52</w:t>
            </w:r>
            <w:r>
              <w:rPr>
                <w:bCs/>
                <w:szCs w:val="24"/>
              </w:rPr>
              <w:t>.</w:t>
            </w:r>
            <w:r w:rsidR="00757D8D" w:rsidRPr="002050F9">
              <w:rPr>
                <w:bCs/>
                <w:szCs w:val="24"/>
              </w:rPr>
              <w:br/>
            </w:r>
          </w:p>
        </w:tc>
      </w:tr>
      <w:tr w:rsidR="00757D8D" w14:paraId="58F609A8" w14:textId="77777777" w:rsidTr="008035C8">
        <w:tc>
          <w:tcPr>
            <w:tcW w:w="567" w:type="dxa"/>
          </w:tcPr>
          <w:p w14:paraId="3189E062" w14:textId="7F2F03D7" w:rsidR="00757D8D" w:rsidRDefault="00757D8D" w:rsidP="002A3730">
            <w:pPr>
              <w:tabs>
                <w:tab w:val="left" w:pos="1701"/>
              </w:tabs>
              <w:rPr>
                <w:b/>
                <w:snapToGrid w:val="0"/>
              </w:rPr>
            </w:pPr>
            <w:r>
              <w:rPr>
                <w:b/>
                <w:snapToGrid w:val="0"/>
              </w:rPr>
              <w:t>§ 8</w:t>
            </w:r>
          </w:p>
        </w:tc>
        <w:tc>
          <w:tcPr>
            <w:tcW w:w="7655" w:type="dxa"/>
          </w:tcPr>
          <w:p w14:paraId="5D1CEABC" w14:textId="48A172B1" w:rsidR="00757D8D" w:rsidRDefault="00757D8D" w:rsidP="002A3730">
            <w:pPr>
              <w:outlineLvl w:val="0"/>
              <w:rPr>
                <w:b/>
              </w:rPr>
            </w:pPr>
            <w:r>
              <w:rPr>
                <w:b/>
              </w:rPr>
              <w:t>Uppföljning och utvärdering av Riksbankens penningpolitik 2024 (FiU24)</w:t>
            </w:r>
          </w:p>
          <w:p w14:paraId="74B9BC6D" w14:textId="109F014E" w:rsidR="002050F9" w:rsidRDefault="002050F9" w:rsidP="002A3730">
            <w:pPr>
              <w:outlineLvl w:val="0"/>
              <w:rPr>
                <w:bCs/>
              </w:rPr>
            </w:pPr>
            <w:r w:rsidRPr="002050F9">
              <w:rPr>
                <w:bCs/>
              </w:rPr>
              <w:t xml:space="preserve">Utskottet </w:t>
            </w:r>
            <w:r>
              <w:rPr>
                <w:bCs/>
              </w:rPr>
              <w:t xml:space="preserve">fortsatte beredningen av </w:t>
            </w:r>
            <w:r w:rsidRPr="002050F9">
              <w:rPr>
                <w:bCs/>
              </w:rPr>
              <w:t xml:space="preserve">Riksbankens </w:t>
            </w:r>
            <w:r>
              <w:rPr>
                <w:bCs/>
              </w:rPr>
              <w:t xml:space="preserve">redogörelse för </w:t>
            </w:r>
            <w:r w:rsidRPr="002050F9">
              <w:rPr>
                <w:bCs/>
              </w:rPr>
              <w:t>penningpolitik</w:t>
            </w:r>
            <w:r>
              <w:rPr>
                <w:bCs/>
              </w:rPr>
              <w:t>en</w:t>
            </w:r>
            <w:r w:rsidRPr="002050F9">
              <w:rPr>
                <w:bCs/>
              </w:rPr>
              <w:t xml:space="preserve"> 2024</w:t>
            </w:r>
            <w:r>
              <w:rPr>
                <w:bCs/>
              </w:rPr>
              <w:t xml:space="preserve">. </w:t>
            </w:r>
          </w:p>
          <w:p w14:paraId="3F01D172" w14:textId="43CCE086" w:rsidR="002050F9" w:rsidRDefault="002050F9" w:rsidP="002A3730">
            <w:pPr>
              <w:outlineLvl w:val="0"/>
              <w:rPr>
                <w:bCs/>
              </w:rPr>
            </w:pPr>
          </w:p>
          <w:p w14:paraId="25CE53EA" w14:textId="0821568E" w:rsidR="002050F9" w:rsidRPr="002050F9" w:rsidRDefault="002050F9" w:rsidP="002A3730">
            <w:pPr>
              <w:outlineLvl w:val="0"/>
              <w:rPr>
                <w:bCs/>
              </w:rPr>
            </w:pPr>
            <w:r>
              <w:rPr>
                <w:bCs/>
              </w:rPr>
              <w:t xml:space="preserve">Ärendet bordlades.                                                                                  </w:t>
            </w:r>
          </w:p>
          <w:p w14:paraId="1171E1F4" w14:textId="42374348" w:rsidR="00757D8D" w:rsidRDefault="00757D8D" w:rsidP="002A3730">
            <w:pPr>
              <w:outlineLvl w:val="0"/>
              <w:rPr>
                <w:b/>
                <w:bCs/>
              </w:rPr>
            </w:pPr>
          </w:p>
        </w:tc>
      </w:tr>
      <w:tr w:rsidR="00757D8D" w14:paraId="0F906861" w14:textId="77777777" w:rsidTr="008035C8">
        <w:tc>
          <w:tcPr>
            <w:tcW w:w="567" w:type="dxa"/>
          </w:tcPr>
          <w:p w14:paraId="71DD5ED3" w14:textId="00664AE5" w:rsidR="00757D8D" w:rsidRDefault="00757D8D" w:rsidP="002A3730">
            <w:pPr>
              <w:tabs>
                <w:tab w:val="left" w:pos="1701"/>
              </w:tabs>
              <w:rPr>
                <w:b/>
                <w:snapToGrid w:val="0"/>
              </w:rPr>
            </w:pPr>
            <w:r>
              <w:rPr>
                <w:b/>
                <w:snapToGrid w:val="0"/>
              </w:rPr>
              <w:t>§ 9</w:t>
            </w:r>
          </w:p>
        </w:tc>
        <w:tc>
          <w:tcPr>
            <w:tcW w:w="7655" w:type="dxa"/>
          </w:tcPr>
          <w:p w14:paraId="69AC1EBB" w14:textId="241FEACF" w:rsidR="002050F9" w:rsidRDefault="00757D8D" w:rsidP="002050F9">
            <w:pPr>
              <w:outlineLvl w:val="0"/>
              <w:rPr>
                <w:bCs/>
              </w:rPr>
            </w:pPr>
            <w:r w:rsidRPr="004A7EEE">
              <w:rPr>
                <w:b/>
              </w:rPr>
              <w:t>Extra ändringsbudget för 2025 –</w:t>
            </w:r>
            <w:r>
              <w:rPr>
                <w:b/>
              </w:rPr>
              <w:t xml:space="preserve"> Kapitaltillskott till Apotek Produktion &amp; Laboratorier AB</w:t>
            </w:r>
            <w:r w:rsidRPr="004A7EEE">
              <w:rPr>
                <w:b/>
              </w:rPr>
              <w:t xml:space="preserve"> (FiU33)</w:t>
            </w:r>
            <w:r w:rsidR="002050F9">
              <w:rPr>
                <w:b/>
              </w:rPr>
              <w:br/>
            </w:r>
            <w:r w:rsidR="002050F9" w:rsidRPr="002050F9">
              <w:rPr>
                <w:bCs/>
              </w:rPr>
              <w:t xml:space="preserve">Utskottet </w:t>
            </w:r>
            <w:r w:rsidR="002050F9">
              <w:rPr>
                <w:bCs/>
              </w:rPr>
              <w:t>inledde beredningen av</w:t>
            </w:r>
            <w:r w:rsidR="00517AA3">
              <w:rPr>
                <w:bCs/>
              </w:rPr>
              <w:t xml:space="preserve"> proposition 2024/25:185.</w:t>
            </w:r>
          </w:p>
          <w:p w14:paraId="777FCFE0" w14:textId="7D56CBEB" w:rsidR="00517AA3" w:rsidRDefault="00517AA3" w:rsidP="002050F9">
            <w:pPr>
              <w:outlineLvl w:val="0"/>
              <w:rPr>
                <w:bCs/>
              </w:rPr>
            </w:pPr>
          </w:p>
          <w:p w14:paraId="45403CC0" w14:textId="77777777" w:rsidR="0015111A" w:rsidRDefault="00517AA3" w:rsidP="00517AA3">
            <w:pPr>
              <w:outlineLvl w:val="0"/>
              <w:rPr>
                <w:bCs/>
              </w:rPr>
            </w:pPr>
            <w:r>
              <w:rPr>
                <w:bCs/>
              </w:rPr>
              <w:t xml:space="preserve">Ärendet bordlades.        </w:t>
            </w:r>
          </w:p>
          <w:p w14:paraId="13799250" w14:textId="6646CD56" w:rsidR="00517AA3" w:rsidRPr="002050F9" w:rsidRDefault="00517AA3" w:rsidP="00517AA3">
            <w:pPr>
              <w:outlineLvl w:val="0"/>
              <w:rPr>
                <w:bCs/>
              </w:rPr>
            </w:pPr>
            <w:r>
              <w:rPr>
                <w:bCs/>
              </w:rPr>
              <w:t xml:space="preserve">                                                                          </w:t>
            </w:r>
          </w:p>
          <w:p w14:paraId="548BBAF7" w14:textId="3966165F" w:rsidR="00757D8D" w:rsidRDefault="00757D8D" w:rsidP="002A3730">
            <w:pPr>
              <w:outlineLvl w:val="0"/>
              <w:rPr>
                <w:b/>
                <w:bCs/>
              </w:rPr>
            </w:pPr>
          </w:p>
        </w:tc>
      </w:tr>
      <w:tr w:rsidR="002A3730" w14:paraId="448AFCE1" w14:textId="77777777" w:rsidTr="008035C8">
        <w:tc>
          <w:tcPr>
            <w:tcW w:w="567" w:type="dxa"/>
          </w:tcPr>
          <w:p w14:paraId="265C4579" w14:textId="14E783C9" w:rsidR="002A3730" w:rsidRDefault="002A3730" w:rsidP="002A3730">
            <w:pPr>
              <w:tabs>
                <w:tab w:val="left" w:pos="1701"/>
              </w:tabs>
              <w:rPr>
                <w:b/>
                <w:snapToGrid w:val="0"/>
              </w:rPr>
            </w:pPr>
            <w:r>
              <w:rPr>
                <w:b/>
                <w:snapToGrid w:val="0"/>
              </w:rPr>
              <w:lastRenderedPageBreak/>
              <w:t xml:space="preserve">§ </w:t>
            </w:r>
            <w:r w:rsidR="00757D8D">
              <w:rPr>
                <w:b/>
                <w:snapToGrid w:val="0"/>
              </w:rPr>
              <w:t>1</w:t>
            </w:r>
            <w:r w:rsidR="00517AA3">
              <w:rPr>
                <w:b/>
                <w:snapToGrid w:val="0"/>
              </w:rPr>
              <w:t>0</w:t>
            </w:r>
          </w:p>
        </w:tc>
        <w:tc>
          <w:tcPr>
            <w:tcW w:w="7655" w:type="dxa"/>
          </w:tcPr>
          <w:p w14:paraId="00914D18" w14:textId="10B7666D" w:rsidR="002A3730" w:rsidRDefault="002A3730" w:rsidP="002A3730">
            <w:pPr>
              <w:outlineLvl w:val="0"/>
              <w:rPr>
                <w:b/>
              </w:rPr>
            </w:pPr>
            <w:r>
              <w:rPr>
                <w:b/>
              </w:rPr>
              <w:t>Nästa sammanträde</w:t>
            </w:r>
          </w:p>
          <w:p w14:paraId="66E1241C" w14:textId="4788790F" w:rsidR="00517AA3" w:rsidRPr="00517AA3" w:rsidRDefault="00517AA3" w:rsidP="002A3730">
            <w:pPr>
              <w:outlineLvl w:val="0"/>
              <w:rPr>
                <w:bCs/>
              </w:rPr>
            </w:pPr>
            <w:r w:rsidRPr="00517AA3">
              <w:rPr>
                <w:bCs/>
              </w:rPr>
              <w:t>Torsdag 12 juni kl. 10.30.</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2F50798C" w14:textId="3D53B133" w:rsidR="002A3730" w:rsidRDefault="002A3730" w:rsidP="002A3730">
            <w:pPr>
              <w:outlineLvl w:val="0"/>
            </w:pPr>
          </w:p>
          <w:p w14:paraId="16576EC6" w14:textId="33415794" w:rsidR="002A3730" w:rsidRDefault="002A3730" w:rsidP="002A3730">
            <w:pPr>
              <w:outlineLvl w:val="0"/>
            </w:pPr>
          </w:p>
          <w:p w14:paraId="23B717D8" w14:textId="77777777" w:rsidR="00CC59FF" w:rsidRDefault="00CC59FF" w:rsidP="002A3730">
            <w:pPr>
              <w:outlineLvl w:val="0"/>
            </w:pPr>
          </w:p>
          <w:p w14:paraId="0D44F565" w14:textId="77777777" w:rsidR="00CC59FF" w:rsidRDefault="00CC59FF" w:rsidP="002A3730">
            <w:pPr>
              <w:outlineLvl w:val="0"/>
            </w:pPr>
          </w:p>
          <w:p w14:paraId="7B13580B" w14:textId="6EF6F298" w:rsidR="002A3730" w:rsidRPr="00BD39D1" w:rsidRDefault="002A3730" w:rsidP="002A3730">
            <w:pPr>
              <w:outlineLvl w:val="0"/>
            </w:pPr>
            <w:r>
              <w:t>Justera</w:t>
            </w:r>
            <w:r w:rsidR="0038062B">
              <w:t xml:space="preserve">t </w:t>
            </w:r>
            <w:r>
              <w:t xml:space="preserve">den </w:t>
            </w:r>
            <w:r w:rsidR="00517AA3">
              <w:t>12 juni 2025</w:t>
            </w:r>
            <w:r>
              <w:t xml:space="preserve"> av</w:t>
            </w:r>
            <w:r w:rsidR="00517AA3">
              <w:t xml:space="preserve"> 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0675663C" w:rsidR="002050F9" w:rsidRDefault="002050F9">
      <w:pPr>
        <w:widowControl/>
        <w:rPr>
          <w:sz w:val="20"/>
        </w:rPr>
      </w:pPr>
      <w:r>
        <w:rPr>
          <w:sz w:val="20"/>
        </w:rPr>
        <w:br w:type="page"/>
      </w:r>
    </w:p>
    <w:p w14:paraId="7A7B2BBF" w14:textId="71C60A2F"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1C0803">
        <w:rPr>
          <w:sz w:val="22"/>
          <w:szCs w:val="22"/>
        </w:rPr>
        <w:t>53</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1724A37E" w:rsidR="00EF6F88" w:rsidRPr="000E151F" w:rsidRDefault="001C0803" w:rsidP="002B2C82">
            <w:pPr>
              <w:spacing w:line="360" w:lineRule="auto"/>
              <w:rPr>
                <w:sz w:val="22"/>
                <w:szCs w:val="22"/>
              </w:rPr>
            </w:pPr>
            <w:r>
              <w:rPr>
                <w:sz w:val="22"/>
                <w:szCs w:val="22"/>
              </w:rPr>
              <w:t>§1-2</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341E7DFD" w:rsidR="00EF6F88" w:rsidRPr="000E151F" w:rsidRDefault="001C0803" w:rsidP="002B2C82">
            <w:pPr>
              <w:rPr>
                <w:sz w:val="22"/>
                <w:szCs w:val="22"/>
              </w:rPr>
            </w:pPr>
            <w:r>
              <w:rPr>
                <w:sz w:val="22"/>
                <w:szCs w:val="22"/>
              </w:rPr>
              <w:t>§3</w:t>
            </w:r>
            <w:r w:rsidR="00517AA3">
              <w:rPr>
                <w:sz w:val="22"/>
                <w:szCs w:val="22"/>
              </w:rPr>
              <w:t>-10</w:t>
            </w: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1C0803"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1C0803" w:rsidRPr="000E151F" w:rsidRDefault="001C0803" w:rsidP="001C0803">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7536D189"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3A52ECD7"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1C0803" w:rsidRPr="000E151F" w:rsidRDefault="001C0803" w:rsidP="001C0803">
            <w:pPr>
              <w:rPr>
                <w:sz w:val="22"/>
                <w:szCs w:val="22"/>
              </w:rPr>
            </w:pPr>
          </w:p>
        </w:tc>
      </w:tr>
      <w:tr w:rsidR="001C0803"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1C0803" w:rsidRPr="00A946FF" w:rsidRDefault="001C0803" w:rsidP="001C0803">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218A4EDA" w:rsidR="001C0803" w:rsidRPr="000E151F" w:rsidRDefault="001C0803" w:rsidP="001C0803">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1A54B539" w:rsidR="001C0803" w:rsidRPr="000E151F" w:rsidRDefault="001C0803" w:rsidP="001C0803">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1C0803" w:rsidRPr="000E151F" w:rsidRDefault="001C0803" w:rsidP="001C0803">
            <w:pPr>
              <w:rPr>
                <w:sz w:val="22"/>
                <w:szCs w:val="22"/>
              </w:rPr>
            </w:pPr>
          </w:p>
        </w:tc>
      </w:tr>
      <w:tr w:rsidR="001C0803"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1C0803" w:rsidRPr="00A946FF" w:rsidRDefault="001C0803" w:rsidP="001C0803">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03EDFC42"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3EB8F944"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1C0803" w:rsidRPr="000E151F" w:rsidRDefault="001C0803" w:rsidP="001C0803">
            <w:pPr>
              <w:rPr>
                <w:sz w:val="22"/>
                <w:szCs w:val="22"/>
              </w:rPr>
            </w:pPr>
          </w:p>
        </w:tc>
      </w:tr>
      <w:tr w:rsidR="001C0803"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1C0803" w:rsidRPr="000E151F" w:rsidRDefault="001C0803" w:rsidP="001C0803">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5BF31AC2"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593F69F6"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1C0803" w:rsidRPr="000E151F" w:rsidRDefault="001C0803" w:rsidP="001C0803">
            <w:pPr>
              <w:rPr>
                <w:sz w:val="22"/>
                <w:szCs w:val="22"/>
              </w:rPr>
            </w:pPr>
          </w:p>
        </w:tc>
      </w:tr>
      <w:tr w:rsidR="001C0803"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1C0803" w:rsidRDefault="001C0803" w:rsidP="001C0803">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185679D1"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0D0EE69"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1C0803" w:rsidRPr="000E151F" w:rsidRDefault="001C0803" w:rsidP="001C0803">
            <w:pPr>
              <w:rPr>
                <w:sz w:val="22"/>
                <w:szCs w:val="22"/>
              </w:rPr>
            </w:pPr>
          </w:p>
        </w:tc>
      </w:tr>
      <w:tr w:rsidR="001C0803"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1C0803" w:rsidRDefault="001C0803" w:rsidP="001C0803">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5BA5E66E" w:rsidR="001C0803" w:rsidRPr="000E151F" w:rsidRDefault="001C0803" w:rsidP="001C0803">
            <w:pPr>
              <w:rPr>
                <w:sz w:val="22"/>
                <w:szCs w:val="22"/>
              </w:rPr>
            </w:pPr>
            <w:r>
              <w:rPr>
                <w:sz w:val="22"/>
                <w:szCs w:val="22"/>
              </w:rPr>
              <w:t>-</w:t>
            </w: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1A572F81" w:rsidR="001C0803" w:rsidRPr="000E151F" w:rsidRDefault="001C0803" w:rsidP="001C0803">
            <w:pPr>
              <w:rPr>
                <w:sz w:val="22"/>
                <w:szCs w:val="22"/>
              </w:rPr>
            </w:pPr>
            <w:r>
              <w:rPr>
                <w:sz w:val="22"/>
                <w:szCs w:val="22"/>
              </w:rPr>
              <w:t>-</w:t>
            </w: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1C0803" w:rsidRPr="000E151F" w:rsidRDefault="001C0803" w:rsidP="001C0803">
            <w:pPr>
              <w:rPr>
                <w:sz w:val="22"/>
                <w:szCs w:val="22"/>
              </w:rPr>
            </w:pPr>
          </w:p>
        </w:tc>
      </w:tr>
      <w:tr w:rsidR="001C0803"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1C0803" w:rsidRDefault="001C0803" w:rsidP="001C0803">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3FA73558"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1DC616FF"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1C0803" w:rsidRPr="000E151F" w:rsidRDefault="001C0803" w:rsidP="001C0803">
            <w:pPr>
              <w:rPr>
                <w:sz w:val="22"/>
                <w:szCs w:val="22"/>
              </w:rPr>
            </w:pPr>
          </w:p>
        </w:tc>
      </w:tr>
      <w:tr w:rsidR="001C0803"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1C0803" w:rsidRDefault="001C0803" w:rsidP="001C0803">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0CB6559A"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536CF1C7"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1C0803" w:rsidRPr="000E151F" w:rsidRDefault="001C0803" w:rsidP="001C0803">
            <w:pPr>
              <w:rPr>
                <w:sz w:val="22"/>
                <w:szCs w:val="22"/>
              </w:rPr>
            </w:pPr>
          </w:p>
        </w:tc>
      </w:tr>
      <w:tr w:rsidR="001C0803"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1C0803" w:rsidRDefault="001C0803" w:rsidP="001C0803">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49FEA63F"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15844187"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1C0803" w:rsidRPr="000E151F" w:rsidRDefault="001C0803" w:rsidP="001C0803">
            <w:pPr>
              <w:rPr>
                <w:sz w:val="22"/>
                <w:szCs w:val="22"/>
              </w:rPr>
            </w:pPr>
          </w:p>
        </w:tc>
      </w:tr>
      <w:tr w:rsidR="001C0803"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1C0803" w:rsidRDefault="001C0803" w:rsidP="001C0803">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493CACA8"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0DD2908B"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1C0803" w:rsidRPr="000E151F" w:rsidRDefault="001C0803" w:rsidP="001C0803">
            <w:pPr>
              <w:rPr>
                <w:sz w:val="22"/>
                <w:szCs w:val="22"/>
              </w:rPr>
            </w:pPr>
          </w:p>
        </w:tc>
      </w:tr>
      <w:tr w:rsidR="001C0803"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1C0803" w:rsidRPr="000E151F" w:rsidRDefault="001C0803" w:rsidP="001C0803">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37B886D8"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61FFD652"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1C0803" w:rsidRPr="000E151F" w:rsidRDefault="001C0803" w:rsidP="001C0803">
            <w:pPr>
              <w:rPr>
                <w:sz w:val="22"/>
                <w:szCs w:val="22"/>
              </w:rPr>
            </w:pPr>
          </w:p>
        </w:tc>
      </w:tr>
      <w:tr w:rsidR="001C0803"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1C0803" w:rsidRPr="000E151F" w:rsidRDefault="001C0803" w:rsidP="001C0803">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3D19CFD4"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2ECDFFFA"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1C0803" w:rsidRPr="000E151F" w:rsidRDefault="001C0803" w:rsidP="001C0803">
            <w:pPr>
              <w:rPr>
                <w:sz w:val="22"/>
                <w:szCs w:val="22"/>
              </w:rPr>
            </w:pPr>
          </w:p>
        </w:tc>
      </w:tr>
      <w:tr w:rsidR="001C0803"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1C0803" w:rsidRPr="000E151F" w:rsidRDefault="001C0803" w:rsidP="001C0803">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2246DD2C"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2FE1DAC9"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1C0803" w:rsidRPr="000E151F" w:rsidRDefault="001C0803" w:rsidP="001C0803">
            <w:pPr>
              <w:rPr>
                <w:sz w:val="22"/>
                <w:szCs w:val="22"/>
              </w:rPr>
            </w:pPr>
          </w:p>
        </w:tc>
      </w:tr>
      <w:tr w:rsidR="001C0803"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1C0803" w:rsidRPr="000E151F" w:rsidRDefault="001C0803" w:rsidP="001C0803">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139F9CB5"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06931702"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1C0803" w:rsidRPr="000E151F" w:rsidRDefault="001C0803" w:rsidP="001C0803">
            <w:pPr>
              <w:rPr>
                <w:sz w:val="22"/>
                <w:szCs w:val="22"/>
              </w:rPr>
            </w:pPr>
          </w:p>
        </w:tc>
      </w:tr>
      <w:tr w:rsidR="001C0803"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1C0803" w:rsidRPr="000E151F" w:rsidRDefault="001C0803" w:rsidP="001C0803">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6D4B7650"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53E64DDD"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1C0803" w:rsidRPr="000E151F" w:rsidRDefault="001C0803" w:rsidP="001C0803">
            <w:pPr>
              <w:rPr>
                <w:sz w:val="22"/>
                <w:szCs w:val="22"/>
              </w:rPr>
            </w:pPr>
          </w:p>
        </w:tc>
      </w:tr>
      <w:tr w:rsidR="001C0803"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1C0803" w:rsidRDefault="001C0803" w:rsidP="001C0803">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0306BB80"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45460295"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1C0803" w:rsidRPr="000E151F" w:rsidRDefault="001C0803" w:rsidP="001C0803">
            <w:pPr>
              <w:rPr>
                <w:sz w:val="22"/>
                <w:szCs w:val="22"/>
              </w:rPr>
            </w:pPr>
          </w:p>
        </w:tc>
      </w:tr>
      <w:tr w:rsidR="001C0803"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1C0803" w:rsidRPr="000E151F" w:rsidRDefault="001C0803" w:rsidP="001C0803">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3453C849"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29DDEC2A"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1C0803" w:rsidRPr="000E151F" w:rsidRDefault="001C0803" w:rsidP="001C0803">
            <w:pPr>
              <w:rPr>
                <w:sz w:val="22"/>
                <w:szCs w:val="22"/>
              </w:rPr>
            </w:pPr>
          </w:p>
        </w:tc>
      </w:tr>
      <w:tr w:rsidR="001C0803"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1C0803" w:rsidRPr="000E151F" w:rsidRDefault="001C0803" w:rsidP="001C0803">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1C0803" w:rsidRPr="000E151F" w:rsidRDefault="001C0803" w:rsidP="001C080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1C0803" w:rsidRPr="000E151F" w:rsidRDefault="001C0803" w:rsidP="001C0803">
            <w:pPr>
              <w:rPr>
                <w:sz w:val="22"/>
                <w:szCs w:val="22"/>
              </w:rPr>
            </w:pPr>
          </w:p>
        </w:tc>
      </w:tr>
      <w:tr w:rsidR="001C080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1C0803" w:rsidRPr="000E151F" w:rsidRDefault="001C0803" w:rsidP="001C080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1C0803" w:rsidRPr="000E151F" w:rsidRDefault="001C0803" w:rsidP="001C080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1C0803" w:rsidRPr="000E151F" w:rsidRDefault="001C0803" w:rsidP="001C0803">
            <w:pPr>
              <w:rPr>
                <w:sz w:val="22"/>
                <w:szCs w:val="22"/>
              </w:rPr>
            </w:pPr>
          </w:p>
        </w:tc>
      </w:tr>
      <w:tr w:rsidR="001C080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1C0803" w:rsidRPr="000E151F" w:rsidRDefault="001C0803" w:rsidP="001C080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0685E18E"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41B9DF86"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1C0803" w:rsidRPr="000E151F" w:rsidRDefault="001C0803" w:rsidP="001C0803">
            <w:pPr>
              <w:rPr>
                <w:sz w:val="22"/>
                <w:szCs w:val="22"/>
              </w:rPr>
            </w:pPr>
          </w:p>
        </w:tc>
      </w:tr>
      <w:tr w:rsidR="001C080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1C0803" w:rsidRPr="000E151F" w:rsidRDefault="001C0803" w:rsidP="001C080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592AC506" w:rsidR="001C0803" w:rsidRPr="000E151F" w:rsidRDefault="001C0803" w:rsidP="001C080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12C0F079" w:rsidR="001C0803" w:rsidRPr="000E151F" w:rsidRDefault="001C0803" w:rsidP="001C080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1C0803" w:rsidRPr="000E151F" w:rsidRDefault="001C0803" w:rsidP="001C0803">
            <w:pPr>
              <w:rPr>
                <w:sz w:val="22"/>
                <w:szCs w:val="22"/>
              </w:rPr>
            </w:pPr>
          </w:p>
        </w:tc>
      </w:tr>
      <w:tr w:rsidR="001C080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1C0803" w:rsidRPr="000E151F" w:rsidRDefault="001C0803" w:rsidP="001C0803">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58D5591C" w:rsidR="001C0803" w:rsidRPr="000E151F" w:rsidRDefault="001C0803" w:rsidP="001C080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0ED60ECD" w:rsidR="001C0803" w:rsidRPr="000E151F" w:rsidRDefault="001C0803" w:rsidP="001C0803">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1C0803" w:rsidRPr="000E151F" w:rsidRDefault="001C0803" w:rsidP="001C080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1C0803" w:rsidRPr="000E151F" w:rsidRDefault="001C0803" w:rsidP="001C080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1C0803" w:rsidRPr="000E151F" w:rsidRDefault="001C0803" w:rsidP="001C080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1C0803" w:rsidRPr="000E151F" w:rsidRDefault="001C0803" w:rsidP="001C080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20F48E99" w:rsidR="000E2953" w:rsidRPr="000E151F" w:rsidRDefault="001C0803"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0BC87086" w:rsidR="000E2953" w:rsidRPr="000E151F" w:rsidRDefault="001C0803"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450294D5" w:rsidR="000E2953" w:rsidRPr="000E151F" w:rsidRDefault="001C0803"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239186FE" w:rsidR="003A581E" w:rsidRPr="000E151F" w:rsidRDefault="001C0803"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0F14785D" w:rsidR="003A581E" w:rsidRPr="000E151F" w:rsidRDefault="001C0803" w:rsidP="000E2953">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55864D46" w:rsidR="002050F9" w:rsidRDefault="002050F9">
      <w:pPr>
        <w:widowControl/>
        <w:rPr>
          <w:spacing w:val="2"/>
          <w:sz w:val="18"/>
        </w:rPr>
      </w:pPr>
      <w:r>
        <w:rPr>
          <w:spacing w:val="2"/>
          <w:sz w:val="18"/>
        </w:rPr>
        <w:br w:type="page"/>
      </w:r>
    </w:p>
    <w:p w14:paraId="5D6D4154" w14:textId="77777777" w:rsidR="002050F9" w:rsidRDefault="002050F9" w:rsidP="002050F9">
      <w:pPr>
        <w:pStyle w:val="Sidhuvud"/>
        <w:tabs>
          <w:tab w:val="clear" w:pos="4536"/>
          <w:tab w:val="left" w:pos="3402"/>
          <w:tab w:val="left" w:pos="5529"/>
        </w:tabs>
        <w:ind w:left="-851"/>
        <w:rPr>
          <w:sz w:val="22"/>
        </w:rPr>
      </w:pPr>
    </w:p>
    <w:p w14:paraId="2E0B8799" w14:textId="20404A40" w:rsidR="002050F9" w:rsidRPr="00517AA3" w:rsidRDefault="002050F9" w:rsidP="002050F9">
      <w:pPr>
        <w:pStyle w:val="Sidhuvud"/>
        <w:tabs>
          <w:tab w:val="clear" w:pos="4536"/>
          <w:tab w:val="left" w:pos="3402"/>
          <w:tab w:val="left" w:pos="5529"/>
        </w:tabs>
        <w:ind w:left="-851"/>
        <w:rPr>
          <w:szCs w:val="24"/>
        </w:rPr>
      </w:pPr>
      <w:r w:rsidRPr="00517AA3">
        <w:rPr>
          <w:szCs w:val="24"/>
        </w:rPr>
        <w:t>Bilaga 2 till protokoll 2024/25:53</w:t>
      </w:r>
    </w:p>
    <w:p w14:paraId="1C4F6CBE" w14:textId="10D41BE5" w:rsidR="004C6601" w:rsidRPr="00517AA3" w:rsidRDefault="004C6601" w:rsidP="00EF6F88">
      <w:pPr>
        <w:pStyle w:val="Sidhuvud"/>
        <w:tabs>
          <w:tab w:val="clear" w:pos="4536"/>
          <w:tab w:val="left" w:pos="3402"/>
          <w:tab w:val="left" w:pos="5529"/>
        </w:tabs>
        <w:ind w:left="-851"/>
        <w:rPr>
          <w:spacing w:val="2"/>
          <w:szCs w:val="24"/>
        </w:rPr>
      </w:pPr>
    </w:p>
    <w:p w14:paraId="1E18E153" w14:textId="77777777" w:rsidR="00517AA3" w:rsidRPr="00517AA3" w:rsidRDefault="00517AA3" w:rsidP="00517AA3">
      <w:pPr>
        <w:widowControl/>
        <w:autoSpaceDE w:val="0"/>
        <w:autoSpaceDN w:val="0"/>
        <w:adjustRightInd w:val="0"/>
        <w:rPr>
          <w:color w:val="000000"/>
          <w:szCs w:val="24"/>
        </w:rPr>
      </w:pPr>
      <w:r w:rsidRPr="00517AA3">
        <w:rPr>
          <w:color w:val="000000"/>
          <w:szCs w:val="24"/>
        </w:rPr>
        <w:t xml:space="preserve">Regeringens preliminära övergripande ståndpunkter är: </w:t>
      </w:r>
    </w:p>
    <w:p w14:paraId="7DE275FB" w14:textId="77777777" w:rsidR="00517AA3" w:rsidRDefault="00517AA3" w:rsidP="00517AA3">
      <w:pPr>
        <w:widowControl/>
        <w:autoSpaceDE w:val="0"/>
        <w:autoSpaceDN w:val="0"/>
        <w:adjustRightInd w:val="0"/>
        <w:rPr>
          <w:rFonts w:ascii="Garamond" w:hAnsi="Garamond" w:cs="Garamond"/>
          <w:color w:val="000000"/>
          <w:sz w:val="25"/>
          <w:szCs w:val="25"/>
        </w:rPr>
      </w:pPr>
    </w:p>
    <w:p w14:paraId="3B88EF2A" w14:textId="10E35FE4"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Regeringens budgetrestriktiva linje ligger fast. Svensk avgift bör hållas nere. EU:s budget som andel av BNI för reguljära utgifter ska fortsatt vara omkring 1 procent. Det är viktigt att EU:s framtida offentligfinansiella åtagande är kompatibelt med en konsolidering av medlemsstaternas offentliga finanser och bevarande av nationellt finanspolitiskt manöverutrymme. Hållbara statsfinanser i medlemsstaterna är en förutsättning för att kunna möta morgondagens utmaningar. Den svenska avgiften hålls nere genom nivån på taken i fleråriga budgetram och fortsatta rabatt-arrangemang. </w:t>
      </w:r>
    </w:p>
    <w:p w14:paraId="1E0406E0" w14:textId="77777777" w:rsidR="00517AA3" w:rsidRPr="00517AA3" w:rsidRDefault="00517AA3" w:rsidP="00517AA3">
      <w:pPr>
        <w:widowControl/>
        <w:autoSpaceDE w:val="0"/>
        <w:autoSpaceDN w:val="0"/>
        <w:adjustRightInd w:val="0"/>
        <w:ind w:left="567"/>
        <w:rPr>
          <w:color w:val="000000"/>
          <w:sz w:val="22"/>
          <w:szCs w:val="22"/>
        </w:rPr>
      </w:pPr>
    </w:p>
    <w:p w14:paraId="0F4BF913" w14:textId="113449E8"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Nästa fleråriga budgetram måste vara redo att ge fortsatt stöd till Ukraina för makrofinansiell likviditet, militärt stöd, återhämtning och uppbyggnad. Medel till Ukraina bör vara en självklar del av nästa fleråriga budgetram. Sverige står redo att stötta Ukraina så länge som det krävs och i den omfattning som behövs. Det är viktigt att EU är enat i sitt stöd till Ukraina. Det kan komma att inkludera ytterligare lånefinansiering om situationen kräver det. </w:t>
      </w:r>
    </w:p>
    <w:p w14:paraId="5185B317" w14:textId="77777777" w:rsidR="00517AA3" w:rsidRPr="00517AA3" w:rsidRDefault="00517AA3" w:rsidP="00517AA3">
      <w:pPr>
        <w:widowControl/>
        <w:autoSpaceDE w:val="0"/>
        <w:autoSpaceDN w:val="0"/>
        <w:adjustRightInd w:val="0"/>
        <w:ind w:left="567"/>
        <w:rPr>
          <w:color w:val="000000"/>
          <w:sz w:val="22"/>
          <w:szCs w:val="22"/>
        </w:rPr>
      </w:pPr>
    </w:p>
    <w:p w14:paraId="709F0712" w14:textId="73D51B50"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Regeringen vill se en politik och en flerårig budgetram som bättre avspeglar EU:s aktuella utmaningar och regeringens fyra prioriteringar: kriget, konkurrenskraft, klimatet, kriminaliteten. Regeringen vill se verkliga reformer av de politikområden som omfattas av ett offentligfinansiellt åtagande, både sett till struktur och innehåll. Satsningar på befintliga eller nya områden behöver motsvaras av neddragningar på andra områden. Positioner som innebär positiva prioriteringar i budgettermer behöver därför formuleras med beaktande av principen att nedprioriteringar samtidigt ska anges. </w:t>
      </w:r>
    </w:p>
    <w:p w14:paraId="5E71126F" w14:textId="77777777" w:rsidR="00517AA3" w:rsidRPr="00517AA3" w:rsidRDefault="00517AA3" w:rsidP="00517AA3">
      <w:pPr>
        <w:widowControl/>
        <w:autoSpaceDE w:val="0"/>
        <w:autoSpaceDN w:val="0"/>
        <w:adjustRightInd w:val="0"/>
        <w:ind w:left="567"/>
        <w:rPr>
          <w:color w:val="000000"/>
          <w:sz w:val="22"/>
          <w:szCs w:val="22"/>
        </w:rPr>
      </w:pPr>
    </w:p>
    <w:p w14:paraId="4FF7AEE0" w14:textId="1B887EB1"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Utformningen av fleråriga budgetramen i kommande och följande perioder behöver hitta en balans mellan att kunna införliva nya medlemsstater, inklusive ett land av Ukrainas storlek, och politikens omfattning och innehåll. Här behöver de stora skillnaderna i ekonomisk struktur och utvecklingsnivå och tidsperspektivet för utvidgningen beaktas men även medlemsstaternas prioriteringar, behoven och politikens ändamålsenlighet och effekter i de nya medlemsstaterna. Detta gäller särskilt den gemensamma jordbrukspolitiken och sammanhållningspolitiken. </w:t>
      </w:r>
    </w:p>
    <w:p w14:paraId="645949E5" w14:textId="77777777" w:rsidR="00517AA3" w:rsidRPr="00517AA3" w:rsidRDefault="00517AA3" w:rsidP="00517AA3">
      <w:pPr>
        <w:widowControl/>
        <w:autoSpaceDE w:val="0"/>
        <w:autoSpaceDN w:val="0"/>
        <w:adjustRightInd w:val="0"/>
        <w:ind w:left="567"/>
        <w:rPr>
          <w:color w:val="000000"/>
          <w:sz w:val="22"/>
          <w:szCs w:val="22"/>
        </w:rPr>
      </w:pPr>
    </w:p>
    <w:p w14:paraId="6BFC99A5" w14:textId="32DD06C4"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Den fleråriga budgetramen och den politik den finansierar behöver en enklare struktur, få tematiska områden och färre program. Detta för att skapa ändamålsenlig beredskap, flexibilitet och handlingsberedskap i en föränderlig värld, till exempel för att hantera kriser och säkerställa gränsskydd. En reformerad struktur behöver vara förenlig med bindande tak. </w:t>
      </w:r>
    </w:p>
    <w:p w14:paraId="284FAC0B" w14:textId="77777777" w:rsidR="00517AA3" w:rsidRPr="00517AA3" w:rsidRDefault="00517AA3" w:rsidP="00517AA3">
      <w:pPr>
        <w:widowControl/>
        <w:autoSpaceDE w:val="0"/>
        <w:autoSpaceDN w:val="0"/>
        <w:adjustRightInd w:val="0"/>
        <w:ind w:left="567"/>
        <w:rPr>
          <w:color w:val="000000"/>
          <w:sz w:val="22"/>
          <w:szCs w:val="22"/>
        </w:rPr>
      </w:pPr>
    </w:p>
    <w:p w14:paraId="549F39B7" w14:textId="5074B4FA"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Flexibilitetskonceptet behöver omdefinieras och omregleras i syfte att skapa förenlighet med sunda budgetprinciper. Centrala principer är att ha tillräckliga marginaler av oallokerade medel under bindande tak och inrättande av en enkel uppsättning arrangemang som tydligt skiljer på nödlägen under pågående budgetår och nya eller ändrade prioriteringar. </w:t>
      </w:r>
    </w:p>
    <w:p w14:paraId="623F9923" w14:textId="77777777" w:rsidR="00517AA3" w:rsidRPr="00517AA3" w:rsidRDefault="00517AA3" w:rsidP="00517AA3">
      <w:pPr>
        <w:widowControl/>
        <w:autoSpaceDE w:val="0"/>
        <w:autoSpaceDN w:val="0"/>
        <w:adjustRightInd w:val="0"/>
        <w:ind w:left="567"/>
        <w:rPr>
          <w:color w:val="000000"/>
          <w:sz w:val="22"/>
          <w:szCs w:val="22"/>
        </w:rPr>
      </w:pPr>
    </w:p>
    <w:p w14:paraId="7B75F52C" w14:textId="1387F7F1"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Långsiktig konkurrenskraft kräver förbättrade ramvillkor såsom FoU, innovation, regelförenklingar och en fördjupad inre marknad framför allt för tjänster. Vidare krävs en fördjupad kapitalmarknadsunion med bättre kapitalförsörjning. </w:t>
      </w:r>
    </w:p>
    <w:p w14:paraId="62760C3C" w14:textId="77940885"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br w:type="page"/>
      </w:r>
    </w:p>
    <w:p w14:paraId="0517D373" w14:textId="77777777" w:rsidR="00517AA3" w:rsidRPr="00517AA3" w:rsidRDefault="00517AA3" w:rsidP="00517AA3">
      <w:pPr>
        <w:widowControl/>
        <w:autoSpaceDE w:val="0"/>
        <w:autoSpaceDN w:val="0"/>
        <w:adjustRightInd w:val="0"/>
        <w:ind w:left="567"/>
        <w:rPr>
          <w:color w:val="000000"/>
          <w:sz w:val="22"/>
          <w:szCs w:val="22"/>
        </w:rPr>
      </w:pPr>
    </w:p>
    <w:p w14:paraId="774B9510" w14:textId="3CE2C395"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Regeringen är i princip för en ny genomförandemodell som bygger på prestationsbaserad budgetering. Prestationsbaserad budgetering och genomförande kan på vissa områden ha flera fördelar vad avser politikens fokus på resultat och dess måluppfyllnad. Det kräver att politiken i sig utformas med relevanta mål och ändamålsenliga åtgärder och att modellen dels respekterar finanspolitisk autonomi dels blir proportionerlig i den grad den binder medlemsstater i förhållande till beroendet av EU-medel. Relevanta lärdomar ska dras från utformningen och genomförandet av Faciliteten för återhämtning och resiliens (RRF). Skillnader i administrativa strukturer och förvaltningstraditioner bör beaktas. Vi måste undvika dels en alltför stor administrativ börda och tillförsäkra att en modell för prestationsbaserad budgetering införs på ett balanserat och ändamålsenligt </w:t>
      </w:r>
    </w:p>
    <w:p w14:paraId="59F783A6" w14:textId="77777777"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sätt dels krav på förändringar i centrala delar av den svenska förvaltningsmodellen. </w:t>
      </w:r>
    </w:p>
    <w:p w14:paraId="5C9FBFF5" w14:textId="77777777" w:rsidR="00517AA3" w:rsidRPr="00517AA3" w:rsidRDefault="00517AA3" w:rsidP="00517AA3">
      <w:pPr>
        <w:widowControl/>
        <w:autoSpaceDE w:val="0"/>
        <w:autoSpaceDN w:val="0"/>
        <w:adjustRightInd w:val="0"/>
        <w:ind w:left="567"/>
        <w:rPr>
          <w:color w:val="000000"/>
          <w:sz w:val="22"/>
          <w:szCs w:val="22"/>
        </w:rPr>
      </w:pPr>
    </w:p>
    <w:p w14:paraId="07825E43" w14:textId="6EAF781C"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Regeringen understryker att kopplingen mellan EU-finansiering och rättsstatlighet ska förstärkas och utvidgas. Medlemsstater som inte följer rättsstatens principer ska inte få ta del av EU-stöd. Rättsstatskonditionalitet och efterlevnad av stadgan om de grundläggande rättigheterna bör gälla för hela budgeten, även den gemensamma jordbrukspolitiken. En genomförandemodell med nationell plan kan vara ett viktigt verktyg för att skapa en ex-ante länk mellan EU-medel och efterlevnaden av rättsstatens principer. </w:t>
      </w:r>
    </w:p>
    <w:p w14:paraId="1BDFAAFD" w14:textId="77777777" w:rsidR="00517AA3" w:rsidRPr="00517AA3" w:rsidRDefault="00517AA3" w:rsidP="00517AA3">
      <w:pPr>
        <w:widowControl/>
        <w:autoSpaceDE w:val="0"/>
        <w:autoSpaceDN w:val="0"/>
        <w:adjustRightInd w:val="0"/>
        <w:ind w:left="567"/>
        <w:rPr>
          <w:color w:val="000000"/>
          <w:sz w:val="22"/>
          <w:szCs w:val="22"/>
        </w:rPr>
      </w:pPr>
    </w:p>
    <w:p w14:paraId="2F66D37C" w14:textId="65C04338"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Nyckelprinciper för EU-finansiering såsom nationell medfinansiering, strikta återtagande-regler och excellens ska bibehållas. </w:t>
      </w:r>
    </w:p>
    <w:p w14:paraId="6BE5F685" w14:textId="77777777" w:rsidR="00517AA3" w:rsidRPr="00517AA3" w:rsidRDefault="00517AA3" w:rsidP="00517AA3">
      <w:pPr>
        <w:widowControl/>
        <w:autoSpaceDE w:val="0"/>
        <w:autoSpaceDN w:val="0"/>
        <w:adjustRightInd w:val="0"/>
        <w:ind w:left="567"/>
        <w:rPr>
          <w:color w:val="000000"/>
          <w:sz w:val="22"/>
          <w:szCs w:val="22"/>
        </w:rPr>
      </w:pPr>
    </w:p>
    <w:p w14:paraId="5EBC7D7A" w14:textId="77777777"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 xml:space="preserve">Regeringen ser inget behov av, och är kritisk till, nya egna medelskomponenter. </w:t>
      </w:r>
    </w:p>
    <w:p w14:paraId="65D745F9" w14:textId="77777777" w:rsidR="00517AA3" w:rsidRPr="00517AA3" w:rsidRDefault="00517AA3" w:rsidP="00517AA3">
      <w:pPr>
        <w:widowControl/>
        <w:autoSpaceDE w:val="0"/>
        <w:autoSpaceDN w:val="0"/>
        <w:adjustRightInd w:val="0"/>
        <w:ind w:left="567"/>
        <w:rPr>
          <w:color w:val="000000"/>
          <w:sz w:val="22"/>
          <w:szCs w:val="22"/>
        </w:rPr>
      </w:pPr>
    </w:p>
    <w:p w14:paraId="343ED085" w14:textId="0026A6BD" w:rsidR="00517AA3" w:rsidRPr="00517AA3" w:rsidRDefault="00517AA3" w:rsidP="00517AA3">
      <w:pPr>
        <w:widowControl/>
        <w:autoSpaceDE w:val="0"/>
        <w:autoSpaceDN w:val="0"/>
        <w:adjustRightInd w:val="0"/>
        <w:ind w:left="567"/>
        <w:rPr>
          <w:color w:val="000000"/>
          <w:sz w:val="22"/>
          <w:szCs w:val="22"/>
        </w:rPr>
      </w:pPr>
      <w:r w:rsidRPr="00517AA3">
        <w:rPr>
          <w:color w:val="000000"/>
          <w:sz w:val="22"/>
          <w:szCs w:val="22"/>
        </w:rPr>
        <w:t>Regeringen är emot gemensam upplåning i syfte att finansiera bidrag till medlemsstater.</w:t>
      </w:r>
    </w:p>
    <w:sectPr w:rsidR="00517AA3" w:rsidRPr="00517AA3"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0"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3"/>
  </w:num>
  <w:num w:numId="11">
    <w:abstractNumId w:val="9"/>
  </w:num>
  <w:num w:numId="12">
    <w:abstractNumId w:val="7"/>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D3BAA"/>
    <w:rsid w:val="000E010A"/>
    <w:rsid w:val="000E151F"/>
    <w:rsid w:val="000E2953"/>
    <w:rsid w:val="000E58AB"/>
    <w:rsid w:val="000E6D32"/>
    <w:rsid w:val="0010300B"/>
    <w:rsid w:val="00103F5F"/>
    <w:rsid w:val="00104A51"/>
    <w:rsid w:val="00111135"/>
    <w:rsid w:val="00112605"/>
    <w:rsid w:val="00114574"/>
    <w:rsid w:val="00116AAA"/>
    <w:rsid w:val="00126BB8"/>
    <w:rsid w:val="0013018A"/>
    <w:rsid w:val="001418E1"/>
    <w:rsid w:val="00141BE2"/>
    <w:rsid w:val="001436E6"/>
    <w:rsid w:val="00146CDA"/>
    <w:rsid w:val="0015111A"/>
    <w:rsid w:val="00157F95"/>
    <w:rsid w:val="00161AA6"/>
    <w:rsid w:val="001655F6"/>
    <w:rsid w:val="001756F2"/>
    <w:rsid w:val="001765D3"/>
    <w:rsid w:val="00183CBA"/>
    <w:rsid w:val="001852E2"/>
    <w:rsid w:val="00192BEE"/>
    <w:rsid w:val="0019466E"/>
    <w:rsid w:val="00194EBF"/>
    <w:rsid w:val="001B0A1C"/>
    <w:rsid w:val="001B0DA9"/>
    <w:rsid w:val="001B212B"/>
    <w:rsid w:val="001B4CE1"/>
    <w:rsid w:val="001C0803"/>
    <w:rsid w:val="001D09A0"/>
    <w:rsid w:val="001D4484"/>
    <w:rsid w:val="001D7293"/>
    <w:rsid w:val="001E237A"/>
    <w:rsid w:val="001E403E"/>
    <w:rsid w:val="001E7E3D"/>
    <w:rsid w:val="001F54B4"/>
    <w:rsid w:val="001F64CD"/>
    <w:rsid w:val="001F7917"/>
    <w:rsid w:val="00200515"/>
    <w:rsid w:val="00200FDD"/>
    <w:rsid w:val="002035E8"/>
    <w:rsid w:val="002050F9"/>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93DD6"/>
    <w:rsid w:val="00294515"/>
    <w:rsid w:val="00296D10"/>
    <w:rsid w:val="002A3730"/>
    <w:rsid w:val="002A5D58"/>
    <w:rsid w:val="002B1A3B"/>
    <w:rsid w:val="002B480E"/>
    <w:rsid w:val="002B5D70"/>
    <w:rsid w:val="002C0221"/>
    <w:rsid w:val="002C1771"/>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8062B"/>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9357F"/>
    <w:rsid w:val="0049574D"/>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17AA3"/>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A74AC"/>
    <w:rsid w:val="006B7B0C"/>
    <w:rsid w:val="006C08D4"/>
    <w:rsid w:val="006C1499"/>
    <w:rsid w:val="006C21FA"/>
    <w:rsid w:val="006D0D77"/>
    <w:rsid w:val="006D3126"/>
    <w:rsid w:val="006D3360"/>
    <w:rsid w:val="006D5482"/>
    <w:rsid w:val="006E04F7"/>
    <w:rsid w:val="00701F1D"/>
    <w:rsid w:val="007055E3"/>
    <w:rsid w:val="00723D66"/>
    <w:rsid w:val="007243F5"/>
    <w:rsid w:val="00725B05"/>
    <w:rsid w:val="0073741E"/>
    <w:rsid w:val="00743A44"/>
    <w:rsid w:val="00750FF0"/>
    <w:rsid w:val="00751AFD"/>
    <w:rsid w:val="00755F03"/>
    <w:rsid w:val="00757D8D"/>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559F3"/>
    <w:rsid w:val="008649E8"/>
    <w:rsid w:val="00870671"/>
    <w:rsid w:val="0087266F"/>
    <w:rsid w:val="00873755"/>
    <w:rsid w:val="0089258A"/>
    <w:rsid w:val="00893998"/>
    <w:rsid w:val="0089581D"/>
    <w:rsid w:val="008A1F6A"/>
    <w:rsid w:val="008A458A"/>
    <w:rsid w:val="008B3639"/>
    <w:rsid w:val="008B71CE"/>
    <w:rsid w:val="008C0FEC"/>
    <w:rsid w:val="008C1DA0"/>
    <w:rsid w:val="008C79F1"/>
    <w:rsid w:val="008D303B"/>
    <w:rsid w:val="008D51ED"/>
    <w:rsid w:val="008E106B"/>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05E5B"/>
    <w:rsid w:val="00A1088E"/>
    <w:rsid w:val="00A25498"/>
    <w:rsid w:val="00A257B8"/>
    <w:rsid w:val="00A401A5"/>
    <w:rsid w:val="00A40A44"/>
    <w:rsid w:val="00A44FE3"/>
    <w:rsid w:val="00A46556"/>
    <w:rsid w:val="00A56380"/>
    <w:rsid w:val="00A63190"/>
    <w:rsid w:val="00A640B1"/>
    <w:rsid w:val="00A67BD4"/>
    <w:rsid w:val="00A67C77"/>
    <w:rsid w:val="00A744C3"/>
    <w:rsid w:val="00A75B9F"/>
    <w:rsid w:val="00A934F0"/>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3C35"/>
    <w:rsid w:val="00C3449C"/>
    <w:rsid w:val="00C35200"/>
    <w:rsid w:val="00C3579D"/>
    <w:rsid w:val="00C447CF"/>
    <w:rsid w:val="00C45FAF"/>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59FF"/>
    <w:rsid w:val="00CC60EB"/>
    <w:rsid w:val="00CD1527"/>
    <w:rsid w:val="00CD47D4"/>
    <w:rsid w:val="00CD7E8B"/>
    <w:rsid w:val="00CE09AE"/>
    <w:rsid w:val="00CF36BC"/>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6209"/>
    <w:rsid w:val="00DA1CE8"/>
    <w:rsid w:val="00DA30F0"/>
    <w:rsid w:val="00DB1740"/>
    <w:rsid w:val="00DB1AB2"/>
    <w:rsid w:val="00DC5A2B"/>
    <w:rsid w:val="00DD11DB"/>
    <w:rsid w:val="00DE3126"/>
    <w:rsid w:val="00DE54FF"/>
    <w:rsid w:val="00DF06AE"/>
    <w:rsid w:val="00E0219D"/>
    <w:rsid w:val="00E15BE8"/>
    <w:rsid w:val="00E16DC2"/>
    <w:rsid w:val="00E2015B"/>
    <w:rsid w:val="00E264E7"/>
    <w:rsid w:val="00E27E50"/>
    <w:rsid w:val="00E43F8A"/>
    <w:rsid w:val="00E443F3"/>
    <w:rsid w:val="00E4502B"/>
    <w:rsid w:val="00E471AC"/>
    <w:rsid w:val="00E5492F"/>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020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AA3"/>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link w:val="SidhuvudChar"/>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 w:type="character" w:customStyle="1" w:styleId="SidhuvudChar">
    <w:name w:val="Sidhuvud Char"/>
    <w:basedOn w:val="Standardstycketeckensnitt"/>
    <w:link w:val="Sidhuvud"/>
    <w:rsid w:val="002050F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1495</Words>
  <Characters>10408</Characters>
  <Application>Microsoft Office Word</Application>
  <DocSecurity>0</DocSecurity>
  <Lines>86</Lines>
  <Paragraphs>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Pia Sandberg</cp:lastModifiedBy>
  <cp:revision>17</cp:revision>
  <cp:lastPrinted>2025-06-11T11:43:00Z</cp:lastPrinted>
  <dcterms:created xsi:type="dcterms:W3CDTF">2025-06-09T10:57:00Z</dcterms:created>
  <dcterms:modified xsi:type="dcterms:W3CDTF">2025-06-11T11:43:00Z</dcterms:modified>
</cp:coreProperties>
</file>