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13B5B1D2" w:rsidR="00F65DF8" w:rsidRPr="0012669A" w:rsidRDefault="00197781" w:rsidP="00F65DF8">
            <w:pPr>
              <w:rPr>
                <w:b/>
              </w:rPr>
            </w:pPr>
            <w:r w:rsidRPr="0012669A">
              <w:rPr>
                <w:b/>
              </w:rPr>
              <w:t>UTSKOTTSSAMMANTRÄDE 20</w:t>
            </w:r>
            <w:r w:rsidR="002C5A9C">
              <w:rPr>
                <w:b/>
              </w:rPr>
              <w:t>2</w:t>
            </w:r>
            <w:r w:rsidR="0090760E">
              <w:rPr>
                <w:b/>
              </w:rPr>
              <w:t>3</w:t>
            </w:r>
            <w:r w:rsidRPr="0012669A">
              <w:rPr>
                <w:b/>
              </w:rPr>
              <w:t>/</w:t>
            </w:r>
            <w:r w:rsidR="00113C2E" w:rsidRPr="0012669A">
              <w:rPr>
                <w:b/>
              </w:rPr>
              <w:t>2</w:t>
            </w:r>
            <w:r w:rsidR="0090760E">
              <w:rPr>
                <w:b/>
              </w:rPr>
              <w:t>4</w:t>
            </w:r>
            <w:r w:rsidR="0060686F">
              <w:rPr>
                <w:b/>
              </w:rPr>
              <w:t>:</w:t>
            </w:r>
            <w:r w:rsidR="007F1893">
              <w:rPr>
                <w:b/>
              </w:rPr>
              <w:t>2</w:t>
            </w:r>
            <w:r w:rsidR="001324AA">
              <w:rPr>
                <w:b/>
              </w:rPr>
              <w:t>9</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57A96662" w:rsidR="00F65DF8" w:rsidRPr="0012669A" w:rsidRDefault="00D46F51" w:rsidP="005F596C">
            <w:r w:rsidRPr="0012669A">
              <w:t>20</w:t>
            </w:r>
            <w:r w:rsidR="00F053F8" w:rsidRPr="0012669A">
              <w:t>2</w:t>
            </w:r>
            <w:r w:rsidR="00093F5C">
              <w:t>4</w:t>
            </w:r>
            <w:r w:rsidRPr="0012669A">
              <w:t>-</w:t>
            </w:r>
            <w:r w:rsidR="00093F5C">
              <w:t>0</w:t>
            </w:r>
            <w:r w:rsidR="001324AA">
              <w:t>5</w:t>
            </w:r>
            <w:r w:rsidR="004D2A50">
              <w:t>-</w:t>
            </w:r>
            <w:r w:rsidR="001324AA">
              <w:t>02</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760E54E8" w:rsidR="00393315" w:rsidRPr="0012669A" w:rsidRDefault="0069776B" w:rsidP="00920FCA">
            <w:r>
              <w:t>10</w:t>
            </w:r>
            <w:r w:rsidR="006A30F1">
              <w:t>.</w:t>
            </w:r>
            <w:r>
              <w:t>3</w:t>
            </w:r>
            <w:r w:rsidR="00AC75E3">
              <w:t>0</w:t>
            </w:r>
            <w:r w:rsidR="0073639C">
              <w:t>–</w:t>
            </w:r>
            <w:r w:rsidR="00520D18">
              <w:t>11.30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B14D10" w:rsidRPr="0012669A" w14:paraId="204E300E" w14:textId="77777777" w:rsidTr="001324AA">
        <w:trPr>
          <w:trHeight w:val="950"/>
        </w:trPr>
        <w:tc>
          <w:tcPr>
            <w:tcW w:w="567" w:type="dxa"/>
          </w:tcPr>
          <w:p w14:paraId="52FCF130" w14:textId="07D50676" w:rsidR="00B14D10" w:rsidRDefault="00B14D10" w:rsidP="00DC0D46">
            <w:pPr>
              <w:tabs>
                <w:tab w:val="left" w:pos="1701"/>
              </w:tabs>
              <w:rPr>
                <w:b/>
                <w:snapToGrid w:val="0"/>
              </w:rPr>
            </w:pPr>
            <w:r>
              <w:rPr>
                <w:b/>
                <w:snapToGrid w:val="0"/>
              </w:rPr>
              <w:t xml:space="preserve">§ </w:t>
            </w:r>
            <w:r w:rsidR="001324AA">
              <w:rPr>
                <w:b/>
                <w:snapToGrid w:val="0"/>
              </w:rPr>
              <w:t>1</w:t>
            </w:r>
          </w:p>
        </w:tc>
        <w:tc>
          <w:tcPr>
            <w:tcW w:w="7162" w:type="dxa"/>
          </w:tcPr>
          <w:p w14:paraId="355DB532" w14:textId="77777777" w:rsidR="00B14D10" w:rsidRPr="00920FCA" w:rsidRDefault="00B14D10" w:rsidP="00B14D10">
            <w:pPr>
              <w:widowControl w:val="0"/>
              <w:tabs>
                <w:tab w:val="left" w:pos="1701"/>
              </w:tabs>
              <w:rPr>
                <w:b/>
                <w:bCs/>
                <w:szCs w:val="23"/>
              </w:rPr>
            </w:pPr>
            <w:r w:rsidRPr="00920FCA">
              <w:rPr>
                <w:b/>
                <w:bCs/>
                <w:szCs w:val="23"/>
              </w:rPr>
              <w:t>Justering av protokoll</w:t>
            </w:r>
          </w:p>
          <w:p w14:paraId="66FD02E6" w14:textId="77777777" w:rsidR="00B14D10" w:rsidRPr="00920FCA" w:rsidRDefault="00B14D10" w:rsidP="00B14D10">
            <w:pPr>
              <w:widowControl w:val="0"/>
              <w:tabs>
                <w:tab w:val="left" w:pos="1701"/>
              </w:tabs>
              <w:rPr>
                <w:b/>
                <w:bCs/>
                <w:szCs w:val="23"/>
              </w:rPr>
            </w:pPr>
          </w:p>
          <w:p w14:paraId="4CBD96C7" w14:textId="3C756E3D" w:rsidR="00B14D10" w:rsidRPr="007B1677" w:rsidRDefault="00B14D10" w:rsidP="00B14D10">
            <w:pPr>
              <w:widowControl w:val="0"/>
              <w:tabs>
                <w:tab w:val="left" w:pos="1701"/>
              </w:tabs>
              <w:rPr>
                <w:szCs w:val="23"/>
              </w:rPr>
            </w:pPr>
            <w:r w:rsidRPr="00920FCA">
              <w:rPr>
                <w:szCs w:val="23"/>
              </w:rPr>
              <w:t>Utskottet justerade protokoll 2023/24:</w:t>
            </w:r>
            <w:r>
              <w:rPr>
                <w:szCs w:val="23"/>
              </w:rPr>
              <w:t>2</w:t>
            </w:r>
            <w:r w:rsidR="001324AA">
              <w:rPr>
                <w:szCs w:val="23"/>
              </w:rPr>
              <w:t>7 och 2023/24:28</w:t>
            </w:r>
            <w:r w:rsidRPr="00920FCA">
              <w:rPr>
                <w:szCs w:val="23"/>
              </w:rPr>
              <w:t>.</w:t>
            </w:r>
            <w:r>
              <w:rPr>
                <w:szCs w:val="23"/>
              </w:rPr>
              <w:br/>
            </w:r>
          </w:p>
        </w:tc>
      </w:tr>
      <w:tr w:rsidR="001324AA" w:rsidRPr="0012669A" w14:paraId="13652A5C" w14:textId="77777777" w:rsidTr="001324AA">
        <w:trPr>
          <w:trHeight w:val="950"/>
        </w:trPr>
        <w:tc>
          <w:tcPr>
            <w:tcW w:w="567" w:type="dxa"/>
          </w:tcPr>
          <w:p w14:paraId="15F63299" w14:textId="0E400105" w:rsidR="001324AA" w:rsidRDefault="001324AA" w:rsidP="00DC0D46">
            <w:pPr>
              <w:tabs>
                <w:tab w:val="left" w:pos="1701"/>
              </w:tabs>
              <w:rPr>
                <w:b/>
                <w:snapToGrid w:val="0"/>
              </w:rPr>
            </w:pPr>
            <w:r>
              <w:rPr>
                <w:b/>
                <w:snapToGrid w:val="0"/>
              </w:rPr>
              <w:t>§ 2</w:t>
            </w:r>
          </w:p>
        </w:tc>
        <w:tc>
          <w:tcPr>
            <w:tcW w:w="7162" w:type="dxa"/>
          </w:tcPr>
          <w:p w14:paraId="4C92D9FA" w14:textId="77777777" w:rsidR="001324AA" w:rsidRDefault="001324AA" w:rsidP="001324AA">
            <w:pPr>
              <w:widowControl w:val="0"/>
              <w:tabs>
                <w:tab w:val="left" w:pos="1701"/>
              </w:tabs>
            </w:pPr>
            <w:r w:rsidRPr="0095459B">
              <w:rPr>
                <w:b/>
                <w:bCs/>
              </w:rPr>
              <w:t>Regional utveckling (NU12)</w:t>
            </w:r>
            <w:r w:rsidRPr="0095459B">
              <w:rPr>
                <w:b/>
                <w:bCs/>
              </w:rPr>
              <w:br/>
            </w:r>
          </w:p>
          <w:p w14:paraId="048E8C78" w14:textId="2A20EF8E" w:rsidR="001324AA" w:rsidRPr="00C20634" w:rsidRDefault="001324AA" w:rsidP="001324AA">
            <w:pPr>
              <w:widowControl w:val="0"/>
              <w:tabs>
                <w:tab w:val="left" w:pos="1701"/>
              </w:tabs>
            </w:pPr>
            <w:r w:rsidRPr="00C20634">
              <w:t>Utskottet fortsatte beredningen av motioner.</w:t>
            </w:r>
          </w:p>
          <w:p w14:paraId="6BAF940F" w14:textId="77777777" w:rsidR="001324AA" w:rsidRPr="00C20634" w:rsidRDefault="001324AA" w:rsidP="001324AA">
            <w:pPr>
              <w:widowControl w:val="0"/>
              <w:tabs>
                <w:tab w:val="left" w:pos="1701"/>
              </w:tabs>
            </w:pPr>
          </w:p>
          <w:p w14:paraId="49CFF3B1" w14:textId="1EDC4CAF" w:rsidR="001324AA" w:rsidRDefault="001324AA" w:rsidP="001324AA">
            <w:pPr>
              <w:widowControl w:val="0"/>
              <w:tabs>
                <w:tab w:val="left" w:pos="1701"/>
              </w:tabs>
            </w:pPr>
            <w:r>
              <w:t>Utskottet justerade betänkande 2023/24:NU12.</w:t>
            </w:r>
          </w:p>
          <w:p w14:paraId="0476878E" w14:textId="523B0BFB" w:rsidR="00520D18" w:rsidRDefault="00520D18" w:rsidP="001324AA">
            <w:pPr>
              <w:widowControl w:val="0"/>
              <w:tabs>
                <w:tab w:val="left" w:pos="1701"/>
              </w:tabs>
            </w:pPr>
          </w:p>
          <w:p w14:paraId="3E477B45" w14:textId="30EB4EEA" w:rsidR="00520D18" w:rsidRDefault="00520D18" w:rsidP="001324AA">
            <w:pPr>
              <w:widowControl w:val="0"/>
              <w:tabs>
                <w:tab w:val="left" w:pos="1701"/>
              </w:tabs>
            </w:pPr>
            <w:r w:rsidRPr="00520D18">
              <w:t xml:space="preserve">Det antecknades att utskottets beslut i punkt </w:t>
            </w:r>
            <w:r>
              <w:t>3</w:t>
            </w:r>
            <w:r w:rsidRPr="00520D18">
              <w:t xml:space="preserve"> fattades med ordförandens utslagsröst.</w:t>
            </w:r>
          </w:p>
          <w:p w14:paraId="49C4AB09" w14:textId="77777777" w:rsidR="001324AA" w:rsidRDefault="001324AA" w:rsidP="001324AA">
            <w:pPr>
              <w:widowControl w:val="0"/>
              <w:tabs>
                <w:tab w:val="left" w:pos="1701"/>
              </w:tabs>
            </w:pPr>
          </w:p>
          <w:p w14:paraId="79822341" w14:textId="77777777" w:rsidR="001324AA" w:rsidRDefault="001324AA" w:rsidP="0005439B">
            <w:pPr>
              <w:widowControl w:val="0"/>
              <w:tabs>
                <w:tab w:val="left" w:pos="1701"/>
              </w:tabs>
            </w:pPr>
            <w:r>
              <w:t>S-, SD-, V-, C- och MP-ledamöterna anmälde reservationer.</w:t>
            </w:r>
          </w:p>
          <w:p w14:paraId="20FFE0F0" w14:textId="199B6519" w:rsidR="0005439B" w:rsidRPr="0005439B" w:rsidRDefault="0005439B" w:rsidP="0005439B">
            <w:pPr>
              <w:widowControl w:val="0"/>
              <w:tabs>
                <w:tab w:val="left" w:pos="1701"/>
              </w:tabs>
            </w:pPr>
          </w:p>
        </w:tc>
      </w:tr>
      <w:tr w:rsidR="001324AA" w:rsidRPr="0012669A" w14:paraId="6EFDB732" w14:textId="77777777" w:rsidTr="001324AA">
        <w:trPr>
          <w:trHeight w:val="950"/>
        </w:trPr>
        <w:tc>
          <w:tcPr>
            <w:tcW w:w="567" w:type="dxa"/>
          </w:tcPr>
          <w:p w14:paraId="2CF68188" w14:textId="264E6B7E" w:rsidR="001324AA" w:rsidRDefault="001324AA" w:rsidP="00DC0D46">
            <w:pPr>
              <w:tabs>
                <w:tab w:val="left" w:pos="1701"/>
              </w:tabs>
              <w:rPr>
                <w:b/>
                <w:snapToGrid w:val="0"/>
              </w:rPr>
            </w:pPr>
            <w:r>
              <w:rPr>
                <w:b/>
                <w:snapToGrid w:val="0"/>
              </w:rPr>
              <w:t>§ 3</w:t>
            </w:r>
          </w:p>
        </w:tc>
        <w:tc>
          <w:tcPr>
            <w:tcW w:w="7162" w:type="dxa"/>
          </w:tcPr>
          <w:p w14:paraId="4754CBBD" w14:textId="77777777" w:rsidR="001324AA" w:rsidRDefault="001324AA" w:rsidP="00B14D10">
            <w:pPr>
              <w:widowControl w:val="0"/>
              <w:tabs>
                <w:tab w:val="left" w:pos="1701"/>
              </w:tabs>
              <w:rPr>
                <w:b/>
                <w:bCs/>
              </w:rPr>
            </w:pPr>
            <w:r w:rsidRPr="00107F8D">
              <w:rPr>
                <w:b/>
                <w:bCs/>
              </w:rPr>
              <w:t>Riksdagens skrivelser till regeringen – åtgärder under 2023</w:t>
            </w:r>
            <w:r>
              <w:rPr>
                <w:b/>
                <w:bCs/>
              </w:rPr>
              <w:t xml:space="preserve"> (NU3y)</w:t>
            </w:r>
          </w:p>
          <w:p w14:paraId="25770607" w14:textId="77777777" w:rsidR="001324AA" w:rsidRDefault="001324AA" w:rsidP="00B14D10">
            <w:pPr>
              <w:widowControl w:val="0"/>
              <w:tabs>
                <w:tab w:val="left" w:pos="1701"/>
              </w:tabs>
              <w:rPr>
                <w:b/>
                <w:bCs/>
              </w:rPr>
            </w:pPr>
          </w:p>
          <w:p w14:paraId="25E769BF" w14:textId="106E74B2" w:rsidR="001324AA" w:rsidRPr="001324AA" w:rsidRDefault="001324AA" w:rsidP="001324AA">
            <w:pPr>
              <w:widowControl w:val="0"/>
              <w:tabs>
                <w:tab w:val="left" w:pos="1701"/>
              </w:tabs>
            </w:pPr>
            <w:r w:rsidRPr="001324AA">
              <w:t xml:space="preserve">Utskottet fortsatte behandlingen av </w:t>
            </w:r>
            <w:r w:rsidR="00AD4CC4">
              <w:t xml:space="preserve">frågan om </w:t>
            </w:r>
            <w:r w:rsidRPr="001324AA">
              <w:t>ett yttrande till</w:t>
            </w:r>
            <w:r>
              <w:t xml:space="preserve"> </w:t>
            </w:r>
            <w:r w:rsidRPr="001324AA">
              <w:t>konstitutionsutskottet</w:t>
            </w:r>
            <w:r>
              <w:t xml:space="preserve"> </w:t>
            </w:r>
            <w:r w:rsidRPr="001324AA">
              <w:t>över skrivelse 202</w:t>
            </w:r>
            <w:r>
              <w:t>3</w:t>
            </w:r>
            <w:r w:rsidRPr="001324AA">
              <w:t>/2</w:t>
            </w:r>
            <w:r>
              <w:t>4</w:t>
            </w:r>
            <w:r w:rsidRPr="001324AA">
              <w:t>:75</w:t>
            </w:r>
            <w:r w:rsidR="00AD4CC4">
              <w:t>.</w:t>
            </w:r>
          </w:p>
          <w:p w14:paraId="39D0886C" w14:textId="77777777" w:rsidR="001324AA" w:rsidRPr="001324AA" w:rsidRDefault="001324AA" w:rsidP="001324AA">
            <w:pPr>
              <w:widowControl w:val="0"/>
              <w:tabs>
                <w:tab w:val="left" w:pos="1701"/>
              </w:tabs>
            </w:pPr>
          </w:p>
          <w:p w14:paraId="100E6E61" w14:textId="65B57DD7" w:rsidR="001324AA" w:rsidRPr="001324AA" w:rsidRDefault="001324AA" w:rsidP="001324AA">
            <w:pPr>
              <w:widowControl w:val="0"/>
              <w:tabs>
                <w:tab w:val="left" w:pos="1701"/>
              </w:tabs>
            </w:pPr>
            <w:r w:rsidRPr="001324AA">
              <w:t>Utskottet justerade yttrande 202</w:t>
            </w:r>
            <w:r>
              <w:t>3</w:t>
            </w:r>
            <w:r w:rsidRPr="001324AA">
              <w:t>/2</w:t>
            </w:r>
            <w:r>
              <w:t>4</w:t>
            </w:r>
            <w:r w:rsidRPr="001324AA">
              <w:t>:NU</w:t>
            </w:r>
            <w:r>
              <w:t>3</w:t>
            </w:r>
            <w:r w:rsidRPr="001324AA">
              <w:t>y.</w:t>
            </w:r>
          </w:p>
          <w:p w14:paraId="14AD3C3C" w14:textId="77777777" w:rsidR="001324AA" w:rsidRPr="001324AA" w:rsidRDefault="001324AA" w:rsidP="001324AA">
            <w:pPr>
              <w:widowControl w:val="0"/>
              <w:tabs>
                <w:tab w:val="left" w:pos="1701"/>
              </w:tabs>
            </w:pPr>
          </w:p>
          <w:p w14:paraId="07D41A32" w14:textId="5ECCC0BC" w:rsidR="001324AA" w:rsidRPr="0005439B" w:rsidRDefault="001324AA" w:rsidP="001324AA">
            <w:pPr>
              <w:widowControl w:val="0"/>
              <w:tabs>
                <w:tab w:val="left" w:pos="1701"/>
              </w:tabs>
            </w:pPr>
            <w:r w:rsidRPr="0005439B">
              <w:t xml:space="preserve">S-, </w:t>
            </w:r>
            <w:r w:rsidR="0005439B" w:rsidRPr="0005439B">
              <w:t xml:space="preserve">V-, </w:t>
            </w:r>
            <w:r w:rsidRPr="0005439B">
              <w:t>C- och MP-ledamöterna anmälde avvikande meningar.</w:t>
            </w:r>
            <w:r w:rsidRPr="001324AA">
              <w:br/>
            </w:r>
          </w:p>
        </w:tc>
      </w:tr>
      <w:tr w:rsidR="001324AA" w:rsidRPr="0012669A" w14:paraId="2734B4D8" w14:textId="77777777" w:rsidTr="001324AA">
        <w:trPr>
          <w:trHeight w:val="950"/>
        </w:trPr>
        <w:tc>
          <w:tcPr>
            <w:tcW w:w="567" w:type="dxa"/>
          </w:tcPr>
          <w:p w14:paraId="655F6AA4" w14:textId="3394720B" w:rsidR="001324AA" w:rsidRDefault="001324AA" w:rsidP="00DC0D46">
            <w:pPr>
              <w:tabs>
                <w:tab w:val="left" w:pos="1701"/>
              </w:tabs>
              <w:rPr>
                <w:b/>
                <w:snapToGrid w:val="0"/>
              </w:rPr>
            </w:pPr>
            <w:r>
              <w:rPr>
                <w:b/>
                <w:snapToGrid w:val="0"/>
              </w:rPr>
              <w:t>§ 4</w:t>
            </w:r>
          </w:p>
        </w:tc>
        <w:tc>
          <w:tcPr>
            <w:tcW w:w="7162" w:type="dxa"/>
          </w:tcPr>
          <w:p w14:paraId="144209BB" w14:textId="77777777" w:rsidR="001324AA" w:rsidRDefault="001324AA" w:rsidP="00B14D10">
            <w:pPr>
              <w:widowControl w:val="0"/>
              <w:tabs>
                <w:tab w:val="left" w:pos="1701"/>
              </w:tabs>
              <w:rPr>
                <w:b/>
                <w:bCs/>
                <w:szCs w:val="23"/>
              </w:rPr>
            </w:pPr>
            <w:r w:rsidRPr="001324AA">
              <w:rPr>
                <w:b/>
                <w:bCs/>
                <w:szCs w:val="23"/>
              </w:rPr>
              <w:t>Förordning om granskning av utländska investeringar</w:t>
            </w:r>
          </w:p>
          <w:p w14:paraId="6351DA06" w14:textId="77777777" w:rsidR="001324AA" w:rsidRDefault="001324AA" w:rsidP="00B14D10">
            <w:pPr>
              <w:widowControl w:val="0"/>
              <w:tabs>
                <w:tab w:val="left" w:pos="1701"/>
              </w:tabs>
              <w:rPr>
                <w:b/>
                <w:bCs/>
                <w:szCs w:val="23"/>
              </w:rPr>
            </w:pPr>
          </w:p>
          <w:p w14:paraId="7F817337" w14:textId="65BAB2D3" w:rsidR="00520D18" w:rsidRPr="00520D18" w:rsidRDefault="00520D18" w:rsidP="00520D18">
            <w:pPr>
              <w:widowControl w:val="0"/>
              <w:tabs>
                <w:tab w:val="left" w:pos="1701"/>
              </w:tabs>
              <w:rPr>
                <w:szCs w:val="23"/>
              </w:rPr>
            </w:pPr>
            <w:r w:rsidRPr="00520D18">
              <w:rPr>
                <w:szCs w:val="23"/>
              </w:rPr>
              <w:t xml:space="preserve">Utskottet överlade med </w:t>
            </w:r>
            <w:r>
              <w:rPr>
                <w:szCs w:val="23"/>
              </w:rPr>
              <w:t>statsrådet</w:t>
            </w:r>
            <w:r w:rsidRPr="00520D18">
              <w:rPr>
                <w:szCs w:val="23"/>
              </w:rPr>
              <w:t xml:space="preserve"> </w:t>
            </w:r>
            <w:r>
              <w:rPr>
                <w:szCs w:val="23"/>
              </w:rPr>
              <w:t>Johan Forssell</w:t>
            </w:r>
            <w:r w:rsidRPr="00520D18">
              <w:rPr>
                <w:szCs w:val="23"/>
              </w:rPr>
              <w:t xml:space="preserve">, </w:t>
            </w:r>
            <w:r w:rsidR="00AD4CC4">
              <w:rPr>
                <w:szCs w:val="23"/>
              </w:rPr>
              <w:t>biträdd</w:t>
            </w:r>
            <w:r w:rsidRPr="00520D18">
              <w:rPr>
                <w:szCs w:val="23"/>
              </w:rPr>
              <w:t xml:space="preserve"> av medarbetare från </w:t>
            </w:r>
            <w:r>
              <w:rPr>
                <w:szCs w:val="23"/>
              </w:rPr>
              <w:t>Utrikes</w:t>
            </w:r>
            <w:r w:rsidRPr="00520D18">
              <w:rPr>
                <w:szCs w:val="23"/>
              </w:rPr>
              <w:t xml:space="preserve">departementet. </w:t>
            </w:r>
          </w:p>
          <w:p w14:paraId="242E0FC0" w14:textId="77777777" w:rsidR="00520D18" w:rsidRPr="00520D18" w:rsidRDefault="00520D18" w:rsidP="00520D18">
            <w:pPr>
              <w:widowControl w:val="0"/>
              <w:tabs>
                <w:tab w:val="left" w:pos="1701"/>
              </w:tabs>
              <w:rPr>
                <w:szCs w:val="23"/>
              </w:rPr>
            </w:pPr>
          </w:p>
          <w:p w14:paraId="161EFB84" w14:textId="77777777" w:rsidR="00520D18" w:rsidRPr="00520D18" w:rsidRDefault="00520D18" w:rsidP="00520D18">
            <w:pPr>
              <w:widowControl w:val="0"/>
              <w:tabs>
                <w:tab w:val="left" w:pos="1701"/>
              </w:tabs>
              <w:rPr>
                <w:szCs w:val="23"/>
              </w:rPr>
            </w:pPr>
            <w:r w:rsidRPr="00520D18">
              <w:rPr>
                <w:szCs w:val="23"/>
              </w:rPr>
              <w:t xml:space="preserve">Underlaget utgjordes av regeringens överläggningspromemoria </w:t>
            </w:r>
          </w:p>
          <w:p w14:paraId="3DA3A45C" w14:textId="78C0774B" w:rsidR="00520D18" w:rsidRPr="00520D18" w:rsidRDefault="00520D18" w:rsidP="00520D18">
            <w:pPr>
              <w:widowControl w:val="0"/>
              <w:tabs>
                <w:tab w:val="left" w:pos="1701"/>
              </w:tabs>
              <w:rPr>
                <w:szCs w:val="23"/>
              </w:rPr>
            </w:pPr>
            <w:r w:rsidRPr="00520D18">
              <w:rPr>
                <w:szCs w:val="23"/>
              </w:rPr>
              <w:t xml:space="preserve">(dnr. </w:t>
            </w:r>
            <w:r>
              <w:rPr>
                <w:szCs w:val="23"/>
              </w:rPr>
              <w:t>1712</w:t>
            </w:r>
            <w:r w:rsidRPr="00520D18">
              <w:rPr>
                <w:szCs w:val="23"/>
              </w:rPr>
              <w:t>–2023/24).</w:t>
            </w:r>
          </w:p>
          <w:p w14:paraId="49E53A1C" w14:textId="77777777" w:rsidR="00520D18" w:rsidRPr="00520D18" w:rsidRDefault="00520D18" w:rsidP="00520D18">
            <w:pPr>
              <w:widowControl w:val="0"/>
              <w:tabs>
                <w:tab w:val="left" w:pos="1701"/>
              </w:tabs>
              <w:rPr>
                <w:szCs w:val="23"/>
              </w:rPr>
            </w:pPr>
          </w:p>
          <w:p w14:paraId="79F31218" w14:textId="780D25D7" w:rsidR="00520D18" w:rsidRPr="00520D18" w:rsidRDefault="00520D18" w:rsidP="00520D18">
            <w:pPr>
              <w:widowControl w:val="0"/>
              <w:tabs>
                <w:tab w:val="left" w:pos="1701"/>
              </w:tabs>
              <w:rPr>
                <w:szCs w:val="23"/>
              </w:rPr>
            </w:pPr>
            <w:r w:rsidRPr="00520D18">
              <w:rPr>
                <w:szCs w:val="23"/>
              </w:rPr>
              <w:t>Sta</w:t>
            </w:r>
            <w:r>
              <w:rPr>
                <w:szCs w:val="23"/>
              </w:rPr>
              <w:t>tsrådet</w:t>
            </w:r>
            <w:r w:rsidRPr="00520D18">
              <w:rPr>
                <w:szCs w:val="23"/>
              </w:rPr>
              <w:t xml:space="preserve"> redogjorde för regeringens ståndpunkt i enlighet med överläggningspromemorian:</w:t>
            </w:r>
          </w:p>
          <w:p w14:paraId="7D0A1F52" w14:textId="77777777" w:rsidR="00520D18" w:rsidRPr="00520D18" w:rsidRDefault="00520D18" w:rsidP="00520D18">
            <w:pPr>
              <w:widowControl w:val="0"/>
              <w:tabs>
                <w:tab w:val="left" w:pos="1701"/>
              </w:tabs>
              <w:rPr>
                <w:szCs w:val="23"/>
              </w:rPr>
            </w:pPr>
          </w:p>
          <w:p w14:paraId="5B529E27" w14:textId="0DD020E6" w:rsidR="00520D18" w:rsidRDefault="00520D18" w:rsidP="00520D18">
            <w:pPr>
              <w:widowControl w:val="0"/>
              <w:tabs>
                <w:tab w:val="left" w:pos="1701"/>
              </w:tabs>
              <w:ind w:left="571"/>
              <w:rPr>
                <w:szCs w:val="23"/>
              </w:rPr>
            </w:pPr>
            <w:r w:rsidRPr="00520D18">
              <w:rPr>
                <w:szCs w:val="23"/>
              </w:rPr>
              <w:t xml:space="preserve">Utländska direktinvesteringar har stor betydelse för Sveriges och EU:s ekonomi och konkurrenskraft men det är uppenbart att det också finns risker med att utländska aktörer investerar och får inflytande i företag som bedriver skyddsvärd verksamhet. Det är centralt att EU och Sverige i grunden förblir öppna för investeringar. Samtidigt behöver det finnas förutsättningar för att vid behov kunna förhindra eller reglera utländska investeringar </w:t>
            </w:r>
            <w:r w:rsidRPr="00520D18">
              <w:rPr>
                <w:szCs w:val="23"/>
              </w:rPr>
              <w:lastRenderedPageBreak/>
              <w:t>som kan inverka skadligt på säkerhet eller allmän ordning.</w:t>
            </w:r>
          </w:p>
          <w:p w14:paraId="048ADC1E" w14:textId="77777777" w:rsidR="00520D18" w:rsidRPr="00520D18" w:rsidRDefault="00520D18" w:rsidP="00520D18">
            <w:pPr>
              <w:widowControl w:val="0"/>
              <w:tabs>
                <w:tab w:val="left" w:pos="1701"/>
              </w:tabs>
              <w:ind w:left="571"/>
              <w:rPr>
                <w:szCs w:val="23"/>
              </w:rPr>
            </w:pPr>
          </w:p>
          <w:p w14:paraId="7B75395C" w14:textId="3583F96C" w:rsidR="00520D18" w:rsidRDefault="00520D18" w:rsidP="00520D18">
            <w:pPr>
              <w:widowControl w:val="0"/>
              <w:tabs>
                <w:tab w:val="left" w:pos="1701"/>
              </w:tabs>
              <w:ind w:left="571"/>
              <w:rPr>
                <w:szCs w:val="23"/>
              </w:rPr>
            </w:pPr>
            <w:r w:rsidRPr="00520D18">
              <w:rPr>
                <w:szCs w:val="23"/>
              </w:rPr>
              <w:t>Regeringen stödjer förslag som förbättrar och underlättar samarbetet mellan EU:s medlemsstater och kommissionen. Regeringen välkomnar att det blir obligatoriskt för medlemsstater att ha ett granskningssystem och att det ställs vissa grundläggande krav på systemens utformning för att samarbetet ska fungera väl. Dessa krav får inte medföra oskälig administrativ börda för berörda myndigheter och företag. Regeringen kommer att verka för balanserade bestämmelser om vad granskningssystemen måste omfatta och om hur samarbete och dialog med andra medlemsstater och kommissionen ska gå till. Regler om att vidta åtgärder på begäran av andra medlemsstater och kommissionen måste också anpassas efter vad som är lämpligt under svenska förhållanden.</w:t>
            </w:r>
          </w:p>
          <w:p w14:paraId="23046A72" w14:textId="7B745274" w:rsidR="00520D18" w:rsidRDefault="00520D18" w:rsidP="00520D18">
            <w:pPr>
              <w:widowControl w:val="0"/>
              <w:tabs>
                <w:tab w:val="left" w:pos="1701"/>
              </w:tabs>
              <w:ind w:left="571"/>
              <w:rPr>
                <w:szCs w:val="23"/>
              </w:rPr>
            </w:pPr>
          </w:p>
          <w:p w14:paraId="7E3CDE39" w14:textId="5E2B2617" w:rsidR="00520D18" w:rsidRDefault="00520D18" w:rsidP="00520D18">
            <w:pPr>
              <w:widowControl w:val="0"/>
              <w:tabs>
                <w:tab w:val="left" w:pos="1701"/>
              </w:tabs>
              <w:ind w:left="571"/>
              <w:rPr>
                <w:szCs w:val="23"/>
              </w:rPr>
            </w:pPr>
            <w:r w:rsidRPr="00520D18">
              <w:rPr>
                <w:szCs w:val="23"/>
              </w:rPr>
              <w:t>Medlemsstaternas ansvar och beslutsrätt över området nationell säkerhet måste även fortsättningsvis respekteras. Grundläggande för regeringen är att den slutliga bedömningen av vilka investeringar som ska lämnas utan åtgärd, förbjudas eller förenas med villkor är en fråga för medlemsstaterna. Grundläggande är också att förordningen inte förhindrar Sverige att införa granskning inom sektorer utöver vad som föreslås vara obligatoriskt enligt förslaget.</w:t>
            </w:r>
          </w:p>
          <w:p w14:paraId="38612D3A" w14:textId="77777777" w:rsidR="00520D18" w:rsidRPr="00520D18" w:rsidRDefault="00520D18" w:rsidP="00520D18">
            <w:pPr>
              <w:widowControl w:val="0"/>
              <w:tabs>
                <w:tab w:val="left" w:pos="1701"/>
              </w:tabs>
              <w:ind w:left="571"/>
              <w:rPr>
                <w:szCs w:val="23"/>
              </w:rPr>
            </w:pPr>
          </w:p>
          <w:p w14:paraId="00261D95" w14:textId="0310E0FE" w:rsidR="00520D18" w:rsidRDefault="00520D18" w:rsidP="00520D18">
            <w:pPr>
              <w:widowControl w:val="0"/>
              <w:tabs>
                <w:tab w:val="left" w:pos="1701"/>
              </w:tabs>
              <w:ind w:left="571"/>
              <w:rPr>
                <w:szCs w:val="23"/>
              </w:rPr>
            </w:pPr>
            <w:r w:rsidRPr="00520D18">
              <w:rPr>
                <w:szCs w:val="23"/>
              </w:rPr>
              <w:t>Det behöver också klargöras hur den föreslagna skyldigheten att beakta mediernas frihet och mångfald förhåller sig till tryckfrihetsförordningen och yttrandefrihetsgrundlagen. Regler om sekretess måste också ses över med beaktande av svensk reglering av offentlighet och sekretess.</w:t>
            </w:r>
          </w:p>
          <w:p w14:paraId="3994185C" w14:textId="77777777" w:rsidR="00520D18" w:rsidRPr="00520D18" w:rsidRDefault="00520D18" w:rsidP="00520D18">
            <w:pPr>
              <w:widowControl w:val="0"/>
              <w:tabs>
                <w:tab w:val="left" w:pos="1701"/>
              </w:tabs>
              <w:ind w:left="571"/>
              <w:rPr>
                <w:szCs w:val="23"/>
              </w:rPr>
            </w:pPr>
          </w:p>
          <w:p w14:paraId="388C3170" w14:textId="51498DC2" w:rsidR="00520D18" w:rsidRPr="00520D18" w:rsidRDefault="00520D18" w:rsidP="00520D18">
            <w:pPr>
              <w:widowControl w:val="0"/>
              <w:tabs>
                <w:tab w:val="left" w:pos="1701"/>
              </w:tabs>
              <w:ind w:left="571"/>
              <w:rPr>
                <w:szCs w:val="23"/>
              </w:rPr>
            </w:pPr>
            <w:r w:rsidRPr="00520D18">
              <w:rPr>
                <w:szCs w:val="23"/>
              </w:rPr>
              <w:t>Regeringen ska agera för att förslagets ekonomiska konsekvenser begränsas både för statens budget och för EU-budgeten.</w:t>
            </w:r>
          </w:p>
          <w:p w14:paraId="7575B425" w14:textId="77777777" w:rsidR="00520D18" w:rsidRPr="00520D18" w:rsidRDefault="00520D18" w:rsidP="00520D18">
            <w:pPr>
              <w:widowControl w:val="0"/>
              <w:tabs>
                <w:tab w:val="left" w:pos="1701"/>
              </w:tabs>
              <w:rPr>
                <w:szCs w:val="23"/>
              </w:rPr>
            </w:pPr>
          </w:p>
          <w:p w14:paraId="5BFA963F" w14:textId="3762C7D4" w:rsidR="001324AA" w:rsidRDefault="00520D18" w:rsidP="00520D18">
            <w:pPr>
              <w:widowControl w:val="0"/>
              <w:tabs>
                <w:tab w:val="left" w:pos="1701"/>
              </w:tabs>
              <w:rPr>
                <w:szCs w:val="23"/>
              </w:rPr>
            </w:pPr>
            <w:r w:rsidRPr="00520D18">
              <w:rPr>
                <w:szCs w:val="23"/>
              </w:rPr>
              <w:t xml:space="preserve">Ordföranden konstaterade att det fanns stöd för regeringens ståndpunkt. </w:t>
            </w:r>
          </w:p>
          <w:p w14:paraId="6398E642" w14:textId="7BC64E6F" w:rsidR="00520D18" w:rsidRDefault="00520D18" w:rsidP="00520D18">
            <w:pPr>
              <w:widowControl w:val="0"/>
              <w:tabs>
                <w:tab w:val="left" w:pos="1701"/>
              </w:tabs>
              <w:rPr>
                <w:szCs w:val="23"/>
              </w:rPr>
            </w:pPr>
          </w:p>
          <w:p w14:paraId="01BBFE13" w14:textId="076F4F92" w:rsidR="00520D18" w:rsidRDefault="00520D18" w:rsidP="00520D18">
            <w:pPr>
              <w:widowControl w:val="0"/>
              <w:tabs>
                <w:tab w:val="left" w:pos="1701"/>
              </w:tabs>
              <w:rPr>
                <w:szCs w:val="23"/>
              </w:rPr>
            </w:pPr>
            <w:r w:rsidRPr="00520D18">
              <w:rPr>
                <w:szCs w:val="23"/>
              </w:rPr>
              <w:t>Vid sammanträdet närvarade även en tjänsteman från EU-nämndens kansli.</w:t>
            </w:r>
          </w:p>
          <w:p w14:paraId="188AFDBB" w14:textId="01776216" w:rsidR="00520D18" w:rsidRPr="001324AA" w:rsidRDefault="00520D18" w:rsidP="00520D18">
            <w:pPr>
              <w:widowControl w:val="0"/>
              <w:tabs>
                <w:tab w:val="left" w:pos="1701"/>
              </w:tabs>
              <w:rPr>
                <w:szCs w:val="23"/>
              </w:rPr>
            </w:pPr>
          </w:p>
        </w:tc>
      </w:tr>
      <w:tr w:rsidR="001324AA" w:rsidRPr="0012669A" w14:paraId="10480230" w14:textId="77777777" w:rsidTr="001324AA">
        <w:trPr>
          <w:trHeight w:val="950"/>
        </w:trPr>
        <w:tc>
          <w:tcPr>
            <w:tcW w:w="567" w:type="dxa"/>
          </w:tcPr>
          <w:p w14:paraId="032EB0B1" w14:textId="45ACE648" w:rsidR="001324AA" w:rsidRDefault="001324AA" w:rsidP="00DC0D46">
            <w:pPr>
              <w:tabs>
                <w:tab w:val="left" w:pos="1701"/>
              </w:tabs>
              <w:rPr>
                <w:b/>
                <w:snapToGrid w:val="0"/>
              </w:rPr>
            </w:pPr>
            <w:r>
              <w:rPr>
                <w:b/>
                <w:snapToGrid w:val="0"/>
              </w:rPr>
              <w:lastRenderedPageBreak/>
              <w:t>§ 5</w:t>
            </w:r>
          </w:p>
        </w:tc>
        <w:tc>
          <w:tcPr>
            <w:tcW w:w="7162" w:type="dxa"/>
          </w:tcPr>
          <w:p w14:paraId="108E7B8C" w14:textId="26972128" w:rsidR="001324AA" w:rsidRDefault="001324AA" w:rsidP="001324AA">
            <w:pPr>
              <w:widowControl w:val="0"/>
              <w:tabs>
                <w:tab w:val="left" w:pos="1701"/>
              </w:tabs>
              <w:rPr>
                <w:b/>
                <w:bCs/>
                <w:szCs w:val="23"/>
              </w:rPr>
            </w:pPr>
            <w:r w:rsidRPr="001324AA">
              <w:rPr>
                <w:b/>
                <w:bCs/>
                <w:szCs w:val="23"/>
              </w:rPr>
              <w:t>Vitbok om utgående investeringar</w:t>
            </w:r>
          </w:p>
          <w:p w14:paraId="0EDFBCA6" w14:textId="3854E55D" w:rsidR="00520D18" w:rsidRDefault="00520D18" w:rsidP="001324AA">
            <w:pPr>
              <w:widowControl w:val="0"/>
              <w:tabs>
                <w:tab w:val="left" w:pos="1701"/>
              </w:tabs>
              <w:rPr>
                <w:b/>
                <w:bCs/>
                <w:szCs w:val="23"/>
              </w:rPr>
            </w:pPr>
          </w:p>
          <w:p w14:paraId="468FE06F" w14:textId="09F37BAA" w:rsidR="00520D18" w:rsidRPr="00520D18" w:rsidRDefault="00520D18" w:rsidP="00520D18">
            <w:pPr>
              <w:widowControl w:val="0"/>
              <w:tabs>
                <w:tab w:val="left" w:pos="1701"/>
              </w:tabs>
              <w:rPr>
                <w:szCs w:val="23"/>
              </w:rPr>
            </w:pPr>
            <w:r w:rsidRPr="00520D18">
              <w:rPr>
                <w:szCs w:val="23"/>
              </w:rPr>
              <w:t xml:space="preserve">Utskottet överlade med </w:t>
            </w:r>
            <w:r>
              <w:rPr>
                <w:szCs w:val="23"/>
              </w:rPr>
              <w:t>statsrådet</w:t>
            </w:r>
            <w:r w:rsidRPr="00520D18">
              <w:rPr>
                <w:szCs w:val="23"/>
              </w:rPr>
              <w:t xml:space="preserve"> </w:t>
            </w:r>
            <w:r>
              <w:rPr>
                <w:szCs w:val="23"/>
              </w:rPr>
              <w:t>Johan Forssell</w:t>
            </w:r>
            <w:r w:rsidRPr="00520D18">
              <w:rPr>
                <w:szCs w:val="23"/>
              </w:rPr>
              <w:t xml:space="preserve">, </w:t>
            </w:r>
            <w:r w:rsidR="00AD4CC4">
              <w:rPr>
                <w:szCs w:val="23"/>
              </w:rPr>
              <w:t>biträdd</w:t>
            </w:r>
            <w:r w:rsidRPr="00520D18">
              <w:rPr>
                <w:szCs w:val="23"/>
              </w:rPr>
              <w:t xml:space="preserve"> av medarbetare från </w:t>
            </w:r>
            <w:r>
              <w:rPr>
                <w:szCs w:val="23"/>
              </w:rPr>
              <w:t>Utrikes</w:t>
            </w:r>
            <w:r w:rsidRPr="00520D18">
              <w:rPr>
                <w:szCs w:val="23"/>
              </w:rPr>
              <w:t xml:space="preserve">departementet. </w:t>
            </w:r>
          </w:p>
          <w:p w14:paraId="18A1CA55" w14:textId="77777777" w:rsidR="00520D18" w:rsidRPr="00520D18" w:rsidRDefault="00520D18" w:rsidP="00520D18">
            <w:pPr>
              <w:widowControl w:val="0"/>
              <w:tabs>
                <w:tab w:val="left" w:pos="1701"/>
              </w:tabs>
              <w:rPr>
                <w:szCs w:val="23"/>
              </w:rPr>
            </w:pPr>
          </w:p>
          <w:p w14:paraId="11DBE7B6" w14:textId="77777777" w:rsidR="00520D18" w:rsidRPr="00520D18" w:rsidRDefault="00520D18" w:rsidP="00520D18">
            <w:pPr>
              <w:widowControl w:val="0"/>
              <w:tabs>
                <w:tab w:val="left" w:pos="1701"/>
              </w:tabs>
              <w:rPr>
                <w:szCs w:val="23"/>
              </w:rPr>
            </w:pPr>
            <w:r w:rsidRPr="00520D18">
              <w:rPr>
                <w:szCs w:val="23"/>
              </w:rPr>
              <w:t xml:space="preserve">Underlaget utgjordes av regeringens överläggningspromemoria </w:t>
            </w:r>
          </w:p>
          <w:p w14:paraId="3C54F9E0" w14:textId="39012FB3" w:rsidR="00520D18" w:rsidRPr="00520D18" w:rsidRDefault="00520D18" w:rsidP="00520D18">
            <w:pPr>
              <w:widowControl w:val="0"/>
              <w:tabs>
                <w:tab w:val="left" w:pos="1701"/>
              </w:tabs>
              <w:rPr>
                <w:szCs w:val="23"/>
              </w:rPr>
            </w:pPr>
            <w:r w:rsidRPr="00520D18">
              <w:rPr>
                <w:szCs w:val="23"/>
              </w:rPr>
              <w:t xml:space="preserve">(dnr. </w:t>
            </w:r>
            <w:r>
              <w:rPr>
                <w:szCs w:val="23"/>
              </w:rPr>
              <w:t>1695</w:t>
            </w:r>
            <w:r w:rsidRPr="00520D18">
              <w:rPr>
                <w:szCs w:val="23"/>
              </w:rPr>
              <w:t>–2023/24).</w:t>
            </w:r>
          </w:p>
          <w:p w14:paraId="0CF76DE3" w14:textId="77777777" w:rsidR="00520D18" w:rsidRDefault="00520D18" w:rsidP="001324AA">
            <w:pPr>
              <w:widowControl w:val="0"/>
              <w:tabs>
                <w:tab w:val="left" w:pos="1701"/>
              </w:tabs>
              <w:rPr>
                <w:szCs w:val="23"/>
              </w:rPr>
            </w:pPr>
          </w:p>
          <w:p w14:paraId="0FB116BF" w14:textId="0B3F53A4" w:rsidR="00520D18" w:rsidRDefault="00520D18" w:rsidP="001324AA">
            <w:pPr>
              <w:widowControl w:val="0"/>
              <w:tabs>
                <w:tab w:val="left" w:pos="1701"/>
              </w:tabs>
              <w:rPr>
                <w:szCs w:val="23"/>
              </w:rPr>
            </w:pPr>
            <w:r w:rsidRPr="00520D18">
              <w:rPr>
                <w:szCs w:val="23"/>
              </w:rPr>
              <w:t>Statsrådet redogjorde för regeringens ståndpunkt i enlighet med överläggningspromemorian:</w:t>
            </w:r>
          </w:p>
          <w:p w14:paraId="17787A92" w14:textId="77777777" w:rsidR="00520D18" w:rsidRPr="00520D18" w:rsidRDefault="00520D18" w:rsidP="001324AA">
            <w:pPr>
              <w:widowControl w:val="0"/>
              <w:tabs>
                <w:tab w:val="left" w:pos="1701"/>
              </w:tabs>
              <w:rPr>
                <w:szCs w:val="23"/>
              </w:rPr>
            </w:pPr>
          </w:p>
          <w:p w14:paraId="24F37F7B" w14:textId="48A539C7" w:rsidR="00520D18" w:rsidRDefault="00520D18" w:rsidP="00520D18">
            <w:pPr>
              <w:widowControl w:val="0"/>
              <w:tabs>
                <w:tab w:val="left" w:pos="1701"/>
              </w:tabs>
              <w:ind w:left="429"/>
              <w:rPr>
                <w:szCs w:val="23"/>
              </w:rPr>
            </w:pPr>
            <w:r w:rsidRPr="00520D18">
              <w:rPr>
                <w:szCs w:val="23"/>
              </w:rPr>
              <w:t xml:space="preserve">Att till fullo förstå och ha en fullgod analys av eventuella risker, men också fördelarna, med utgående investeringar är av största vikt innan beslut fattas om att vidta nya åtgärder på EU-nivå eller nationellt. Det är särskilt viktigt att förstå och analysera risker och möjligheter med utgående investeringar som rör strategiskt </w:t>
            </w:r>
            <w:r w:rsidRPr="00520D18">
              <w:rPr>
                <w:szCs w:val="23"/>
              </w:rPr>
              <w:lastRenderedPageBreak/>
              <w:t>skyddsvärd teknik och know-how.</w:t>
            </w:r>
          </w:p>
          <w:p w14:paraId="05A65898" w14:textId="77777777" w:rsidR="00520D18" w:rsidRPr="00520D18" w:rsidRDefault="00520D18" w:rsidP="00520D18">
            <w:pPr>
              <w:widowControl w:val="0"/>
              <w:tabs>
                <w:tab w:val="left" w:pos="1701"/>
              </w:tabs>
              <w:ind w:left="429"/>
              <w:rPr>
                <w:szCs w:val="23"/>
              </w:rPr>
            </w:pPr>
          </w:p>
          <w:p w14:paraId="2C6E551F" w14:textId="59A175C4" w:rsidR="00520D18" w:rsidRDefault="00520D18" w:rsidP="00520D18">
            <w:pPr>
              <w:widowControl w:val="0"/>
              <w:tabs>
                <w:tab w:val="left" w:pos="1701"/>
              </w:tabs>
              <w:ind w:left="429"/>
              <w:rPr>
                <w:szCs w:val="23"/>
              </w:rPr>
            </w:pPr>
            <w:r w:rsidRPr="00520D18">
              <w:rPr>
                <w:szCs w:val="23"/>
              </w:rPr>
              <w:t>Det av kommissionen rekommenderade tillvägagångssättet med införandet av en insamling av data gällande utgående investeringar skulle kunna vara ett av flera sätt att få information. Behovet och lämpligheten av övervakning av utgående investeringar måste analyseras och övervägas med försiktighet. En avvägning behövs huruvida ett dylikt tillvägagångssätt är proportionerligt och om kostnaderna och den administrativa bördan för medlemsstaterna och företagen kan motiveras i förhållande till syftet.</w:t>
            </w:r>
          </w:p>
          <w:p w14:paraId="222FC309" w14:textId="77777777" w:rsidR="00520D18" w:rsidRPr="00520D18" w:rsidRDefault="00520D18" w:rsidP="00520D18">
            <w:pPr>
              <w:widowControl w:val="0"/>
              <w:tabs>
                <w:tab w:val="left" w:pos="1701"/>
              </w:tabs>
              <w:ind w:left="429"/>
              <w:rPr>
                <w:szCs w:val="23"/>
              </w:rPr>
            </w:pPr>
          </w:p>
          <w:p w14:paraId="5E8BFA58" w14:textId="3E85B09E" w:rsidR="001324AA" w:rsidRPr="00520D18" w:rsidRDefault="00520D18" w:rsidP="00520D18">
            <w:pPr>
              <w:widowControl w:val="0"/>
              <w:tabs>
                <w:tab w:val="left" w:pos="1701"/>
              </w:tabs>
              <w:ind w:left="429"/>
              <w:rPr>
                <w:szCs w:val="23"/>
              </w:rPr>
            </w:pPr>
            <w:r w:rsidRPr="00520D18">
              <w:rPr>
                <w:szCs w:val="23"/>
              </w:rPr>
              <w:t>Medlemsstaternas fördragsfästa ansvar för nationell säkerhet måste säkerställas i förhållande till den information som förutses delas med</w:t>
            </w:r>
            <w:r>
              <w:rPr>
                <w:szCs w:val="23"/>
              </w:rPr>
              <w:t xml:space="preserve"> </w:t>
            </w:r>
            <w:r w:rsidRPr="00520D18">
              <w:rPr>
                <w:szCs w:val="23"/>
              </w:rPr>
              <w:t>kommissionen.</w:t>
            </w:r>
          </w:p>
          <w:p w14:paraId="7B5AE734" w14:textId="77777777" w:rsidR="001324AA" w:rsidRDefault="001324AA" w:rsidP="001324AA">
            <w:pPr>
              <w:widowControl w:val="0"/>
              <w:tabs>
                <w:tab w:val="left" w:pos="1701"/>
              </w:tabs>
              <w:rPr>
                <w:szCs w:val="23"/>
              </w:rPr>
            </w:pPr>
          </w:p>
          <w:p w14:paraId="57C95344" w14:textId="77777777" w:rsidR="00520D18" w:rsidRPr="00520D18" w:rsidRDefault="00520D18" w:rsidP="00520D18">
            <w:pPr>
              <w:widowControl w:val="0"/>
              <w:tabs>
                <w:tab w:val="left" w:pos="1701"/>
              </w:tabs>
              <w:rPr>
                <w:szCs w:val="23"/>
              </w:rPr>
            </w:pPr>
            <w:r w:rsidRPr="00520D18">
              <w:rPr>
                <w:szCs w:val="23"/>
              </w:rPr>
              <w:t xml:space="preserve">Ordföranden konstaterade att det fanns stöd för regeringens ståndpunkt. </w:t>
            </w:r>
          </w:p>
          <w:p w14:paraId="618C471F" w14:textId="77777777" w:rsidR="00520D18" w:rsidRPr="00520D18" w:rsidRDefault="00520D18" w:rsidP="00520D18">
            <w:pPr>
              <w:widowControl w:val="0"/>
              <w:tabs>
                <w:tab w:val="left" w:pos="1701"/>
              </w:tabs>
              <w:rPr>
                <w:szCs w:val="23"/>
              </w:rPr>
            </w:pPr>
          </w:p>
          <w:p w14:paraId="540A05B6" w14:textId="77777777" w:rsidR="00520D18" w:rsidRDefault="00520D18" w:rsidP="00520D18">
            <w:pPr>
              <w:widowControl w:val="0"/>
              <w:tabs>
                <w:tab w:val="left" w:pos="1701"/>
              </w:tabs>
              <w:rPr>
                <w:szCs w:val="23"/>
              </w:rPr>
            </w:pPr>
            <w:r w:rsidRPr="00520D18">
              <w:rPr>
                <w:szCs w:val="23"/>
              </w:rPr>
              <w:t>Vid sammanträdet närvarade även en tjänsteman från EU-nämndens kansli.</w:t>
            </w:r>
          </w:p>
          <w:p w14:paraId="313D1B2B" w14:textId="2A673286" w:rsidR="00520D18" w:rsidRPr="001324AA" w:rsidRDefault="00520D18" w:rsidP="00520D18">
            <w:pPr>
              <w:widowControl w:val="0"/>
              <w:tabs>
                <w:tab w:val="left" w:pos="1701"/>
              </w:tabs>
              <w:rPr>
                <w:szCs w:val="23"/>
              </w:rPr>
            </w:pPr>
          </w:p>
        </w:tc>
      </w:tr>
      <w:tr w:rsidR="001324AA" w:rsidRPr="0012669A" w14:paraId="58E2B46D" w14:textId="77777777" w:rsidTr="001324AA">
        <w:trPr>
          <w:trHeight w:val="950"/>
        </w:trPr>
        <w:tc>
          <w:tcPr>
            <w:tcW w:w="567" w:type="dxa"/>
          </w:tcPr>
          <w:p w14:paraId="1EA2E88A" w14:textId="3577F302" w:rsidR="001324AA" w:rsidRDefault="001324AA" w:rsidP="00DC0D46">
            <w:pPr>
              <w:tabs>
                <w:tab w:val="left" w:pos="1701"/>
              </w:tabs>
              <w:rPr>
                <w:b/>
                <w:snapToGrid w:val="0"/>
              </w:rPr>
            </w:pPr>
            <w:r>
              <w:rPr>
                <w:b/>
                <w:snapToGrid w:val="0"/>
              </w:rPr>
              <w:lastRenderedPageBreak/>
              <w:t>§ 6</w:t>
            </w:r>
          </w:p>
        </w:tc>
        <w:tc>
          <w:tcPr>
            <w:tcW w:w="7162" w:type="dxa"/>
          </w:tcPr>
          <w:p w14:paraId="793FB944" w14:textId="77777777" w:rsidR="001324AA" w:rsidRDefault="001324AA" w:rsidP="00B14D10">
            <w:pPr>
              <w:widowControl w:val="0"/>
              <w:tabs>
                <w:tab w:val="left" w:pos="1701"/>
              </w:tabs>
              <w:rPr>
                <w:b/>
                <w:bCs/>
              </w:rPr>
            </w:pPr>
            <w:r w:rsidRPr="00764146">
              <w:rPr>
                <w:b/>
                <w:bCs/>
              </w:rPr>
              <w:t>Möjligheten för ett eventuellt nationellt stopp för import av fossila bränslen från Ryssland</w:t>
            </w:r>
          </w:p>
          <w:p w14:paraId="25C1706A" w14:textId="77777777" w:rsidR="001324AA" w:rsidRDefault="001324AA" w:rsidP="00B14D10">
            <w:pPr>
              <w:widowControl w:val="0"/>
              <w:tabs>
                <w:tab w:val="left" w:pos="1701"/>
              </w:tabs>
              <w:rPr>
                <w:b/>
                <w:bCs/>
              </w:rPr>
            </w:pPr>
          </w:p>
          <w:p w14:paraId="3CD15F16" w14:textId="3D7754BA" w:rsidR="001324AA" w:rsidRDefault="001324AA" w:rsidP="00B14D10">
            <w:pPr>
              <w:widowControl w:val="0"/>
              <w:tabs>
                <w:tab w:val="left" w:pos="1701"/>
              </w:tabs>
              <w:rPr>
                <w:szCs w:val="23"/>
              </w:rPr>
            </w:pPr>
            <w:r w:rsidRPr="00764146">
              <w:rPr>
                <w:szCs w:val="23"/>
              </w:rPr>
              <w:t xml:space="preserve">Statssekreterare Daniel Liljeberg, </w:t>
            </w:r>
            <w:r w:rsidR="0069776B" w:rsidRPr="0069776B">
              <w:rPr>
                <w:szCs w:val="23"/>
              </w:rPr>
              <w:t xml:space="preserve">biträdd av medarbetare från Klimat- och näringslivsdepartementet, lämnade </w:t>
            </w:r>
            <w:r w:rsidR="0069776B">
              <w:rPr>
                <w:szCs w:val="23"/>
              </w:rPr>
              <w:t>information och svarade på frågor om m</w:t>
            </w:r>
            <w:r w:rsidR="0069776B" w:rsidRPr="0069776B">
              <w:rPr>
                <w:szCs w:val="23"/>
              </w:rPr>
              <w:t>öjligheten för ett eventuellt nationellt stopp för import av fossila bränslen från Ryssland</w:t>
            </w:r>
            <w:r w:rsidR="0069776B">
              <w:rPr>
                <w:szCs w:val="23"/>
              </w:rPr>
              <w:t>.</w:t>
            </w:r>
          </w:p>
          <w:p w14:paraId="6ABFBDD6" w14:textId="7A26C7F1" w:rsidR="001324AA" w:rsidRPr="00920FCA" w:rsidRDefault="001324AA" w:rsidP="00B14D10">
            <w:pPr>
              <w:widowControl w:val="0"/>
              <w:tabs>
                <w:tab w:val="left" w:pos="1701"/>
              </w:tabs>
              <w:rPr>
                <w:b/>
                <w:bCs/>
                <w:szCs w:val="23"/>
              </w:rPr>
            </w:pPr>
          </w:p>
        </w:tc>
      </w:tr>
      <w:tr w:rsidR="001324AA" w:rsidRPr="0012669A" w14:paraId="02954426" w14:textId="77777777" w:rsidTr="0005439B">
        <w:trPr>
          <w:trHeight w:val="568"/>
        </w:trPr>
        <w:tc>
          <w:tcPr>
            <w:tcW w:w="567" w:type="dxa"/>
          </w:tcPr>
          <w:p w14:paraId="5F1A85FD" w14:textId="2DD904DF" w:rsidR="001324AA" w:rsidRDefault="001324AA" w:rsidP="00DC0D46">
            <w:pPr>
              <w:tabs>
                <w:tab w:val="left" w:pos="1701"/>
              </w:tabs>
              <w:rPr>
                <w:b/>
                <w:snapToGrid w:val="0"/>
              </w:rPr>
            </w:pPr>
            <w:r>
              <w:rPr>
                <w:b/>
                <w:snapToGrid w:val="0"/>
              </w:rPr>
              <w:t>§ 7</w:t>
            </w:r>
          </w:p>
        </w:tc>
        <w:tc>
          <w:tcPr>
            <w:tcW w:w="7162" w:type="dxa"/>
          </w:tcPr>
          <w:p w14:paraId="489C9512" w14:textId="77777777" w:rsidR="001324AA" w:rsidRDefault="001324AA" w:rsidP="00B14D10">
            <w:pPr>
              <w:widowControl w:val="0"/>
              <w:tabs>
                <w:tab w:val="left" w:pos="1701"/>
              </w:tabs>
              <w:rPr>
                <w:b/>
                <w:bCs/>
              </w:rPr>
            </w:pPr>
            <w:r w:rsidRPr="001324AA">
              <w:rPr>
                <w:b/>
                <w:bCs/>
              </w:rPr>
              <w:t>Regeringens arbete med utredningen Ett förändrat regelverk för framtidens el- och gasnät (SOU 2023:64)</w:t>
            </w:r>
          </w:p>
          <w:p w14:paraId="04FFC4FC" w14:textId="77777777" w:rsidR="001324AA" w:rsidRDefault="001324AA" w:rsidP="00B14D10">
            <w:pPr>
              <w:widowControl w:val="0"/>
              <w:tabs>
                <w:tab w:val="left" w:pos="1701"/>
              </w:tabs>
              <w:rPr>
                <w:b/>
                <w:bCs/>
              </w:rPr>
            </w:pPr>
          </w:p>
          <w:p w14:paraId="3BA22925" w14:textId="77777777" w:rsidR="0069776B" w:rsidRDefault="0069776B" w:rsidP="00B14D10">
            <w:pPr>
              <w:widowControl w:val="0"/>
              <w:tabs>
                <w:tab w:val="left" w:pos="1701"/>
              </w:tabs>
            </w:pPr>
            <w:r w:rsidRPr="0069776B">
              <w:t xml:space="preserve">Statssekreterare Daniel Liljeberg, biträdd av medarbetare från Klimat- och näringslivsdepartementet, lämnade information och svarade på frågor om </w:t>
            </w:r>
            <w:r>
              <w:t>r</w:t>
            </w:r>
            <w:r w:rsidRPr="0069776B">
              <w:t>egeringens arbete med utredningen Ett förändrat regelverk för framtidens el- och gasnät (SOU 2023:64)</w:t>
            </w:r>
            <w:r>
              <w:t>.</w:t>
            </w:r>
          </w:p>
          <w:p w14:paraId="1793223D" w14:textId="0AAD765B" w:rsidR="00520D18" w:rsidRPr="001324AA" w:rsidRDefault="00520D18" w:rsidP="00B14D10">
            <w:pPr>
              <w:widowControl w:val="0"/>
              <w:tabs>
                <w:tab w:val="left" w:pos="1701"/>
              </w:tabs>
            </w:pPr>
          </w:p>
        </w:tc>
      </w:tr>
      <w:tr w:rsidR="001324AA" w:rsidRPr="0012669A" w14:paraId="506AA2BA" w14:textId="77777777" w:rsidTr="001324AA">
        <w:trPr>
          <w:trHeight w:val="950"/>
        </w:trPr>
        <w:tc>
          <w:tcPr>
            <w:tcW w:w="567" w:type="dxa"/>
          </w:tcPr>
          <w:p w14:paraId="7E6407A2" w14:textId="0BF595FD" w:rsidR="001324AA" w:rsidRDefault="001324AA" w:rsidP="00DC0D46">
            <w:pPr>
              <w:tabs>
                <w:tab w:val="left" w:pos="1701"/>
              </w:tabs>
              <w:rPr>
                <w:b/>
                <w:snapToGrid w:val="0"/>
              </w:rPr>
            </w:pPr>
            <w:r>
              <w:rPr>
                <w:b/>
                <w:snapToGrid w:val="0"/>
              </w:rPr>
              <w:t>§ 8</w:t>
            </w:r>
          </w:p>
        </w:tc>
        <w:tc>
          <w:tcPr>
            <w:tcW w:w="7162" w:type="dxa"/>
          </w:tcPr>
          <w:p w14:paraId="7F9D54F5" w14:textId="77777777" w:rsidR="001324AA" w:rsidRDefault="001324AA" w:rsidP="00B14D10">
            <w:pPr>
              <w:widowControl w:val="0"/>
              <w:tabs>
                <w:tab w:val="left" w:pos="1701"/>
              </w:tabs>
              <w:rPr>
                <w:b/>
                <w:bCs/>
                <w:iCs/>
              </w:rPr>
            </w:pPr>
            <w:r w:rsidRPr="006D1E09">
              <w:rPr>
                <w:b/>
                <w:bCs/>
                <w:iCs/>
              </w:rPr>
              <w:t>Natura 2000-tillstånd vid ansökan om bearbetningskoncession enligt minerallagen</w:t>
            </w:r>
            <w:r>
              <w:rPr>
                <w:b/>
                <w:bCs/>
                <w:iCs/>
              </w:rPr>
              <w:t xml:space="preserve"> (NU17)</w:t>
            </w:r>
          </w:p>
          <w:p w14:paraId="0EDF8847" w14:textId="73CEB628" w:rsidR="0069776B" w:rsidRPr="0069776B" w:rsidRDefault="001324AA" w:rsidP="0069776B">
            <w:pPr>
              <w:widowControl w:val="0"/>
              <w:tabs>
                <w:tab w:val="left" w:pos="1701"/>
              </w:tabs>
              <w:rPr>
                <w:szCs w:val="23"/>
              </w:rPr>
            </w:pPr>
            <w:r>
              <w:rPr>
                <w:b/>
                <w:bCs/>
                <w:iCs/>
              </w:rPr>
              <w:br/>
            </w:r>
            <w:r w:rsidR="0069776B" w:rsidRPr="0069776B">
              <w:rPr>
                <w:szCs w:val="23"/>
              </w:rPr>
              <w:t>Utskottet inledde beredningen av proposition 2023/24:</w:t>
            </w:r>
            <w:r w:rsidR="0069776B">
              <w:rPr>
                <w:szCs w:val="23"/>
              </w:rPr>
              <w:t>126</w:t>
            </w:r>
            <w:r w:rsidR="0069776B" w:rsidRPr="0069776B">
              <w:rPr>
                <w:szCs w:val="23"/>
              </w:rPr>
              <w:t xml:space="preserve"> och motion</w:t>
            </w:r>
            <w:r w:rsidR="0069776B">
              <w:rPr>
                <w:szCs w:val="23"/>
              </w:rPr>
              <w:t>er.</w:t>
            </w:r>
          </w:p>
          <w:p w14:paraId="307BB9A6" w14:textId="77777777" w:rsidR="0069776B" w:rsidRPr="0069776B" w:rsidRDefault="0069776B" w:rsidP="0069776B">
            <w:pPr>
              <w:widowControl w:val="0"/>
              <w:tabs>
                <w:tab w:val="left" w:pos="1701"/>
              </w:tabs>
              <w:rPr>
                <w:szCs w:val="23"/>
              </w:rPr>
            </w:pPr>
          </w:p>
          <w:p w14:paraId="737147B0" w14:textId="158DF571" w:rsidR="0069776B" w:rsidRDefault="0069776B" w:rsidP="0069776B">
            <w:pPr>
              <w:widowControl w:val="0"/>
              <w:tabs>
                <w:tab w:val="left" w:pos="1701"/>
              </w:tabs>
              <w:rPr>
                <w:szCs w:val="23"/>
              </w:rPr>
            </w:pPr>
            <w:r w:rsidRPr="0069776B">
              <w:rPr>
                <w:szCs w:val="23"/>
              </w:rPr>
              <w:t>Ärendet bordlades.</w:t>
            </w:r>
          </w:p>
          <w:p w14:paraId="5E85DC8B" w14:textId="74BD203B" w:rsidR="001324AA" w:rsidRPr="00764146" w:rsidRDefault="001324AA" w:rsidP="00B14D10">
            <w:pPr>
              <w:widowControl w:val="0"/>
              <w:tabs>
                <w:tab w:val="left" w:pos="1701"/>
              </w:tabs>
              <w:rPr>
                <w:b/>
                <w:bCs/>
              </w:rPr>
            </w:pPr>
          </w:p>
        </w:tc>
      </w:tr>
      <w:tr w:rsidR="001324AA" w:rsidRPr="0012669A" w14:paraId="0B7B6949" w14:textId="77777777" w:rsidTr="001324AA">
        <w:trPr>
          <w:trHeight w:val="950"/>
        </w:trPr>
        <w:tc>
          <w:tcPr>
            <w:tcW w:w="567" w:type="dxa"/>
          </w:tcPr>
          <w:p w14:paraId="4CD64DFE" w14:textId="07EEA081" w:rsidR="001324AA" w:rsidRDefault="001324AA" w:rsidP="00DC0D46">
            <w:pPr>
              <w:tabs>
                <w:tab w:val="left" w:pos="1701"/>
              </w:tabs>
              <w:rPr>
                <w:b/>
                <w:snapToGrid w:val="0"/>
              </w:rPr>
            </w:pPr>
            <w:r>
              <w:rPr>
                <w:b/>
                <w:snapToGrid w:val="0"/>
              </w:rPr>
              <w:t>§ 9</w:t>
            </w:r>
          </w:p>
        </w:tc>
        <w:tc>
          <w:tcPr>
            <w:tcW w:w="7162" w:type="dxa"/>
          </w:tcPr>
          <w:p w14:paraId="6230237A" w14:textId="77777777" w:rsidR="0069776B" w:rsidRDefault="001324AA" w:rsidP="0069776B">
            <w:pPr>
              <w:widowControl w:val="0"/>
              <w:tabs>
                <w:tab w:val="left" w:pos="1701"/>
              </w:tabs>
              <w:rPr>
                <w:szCs w:val="23"/>
              </w:rPr>
            </w:pPr>
            <w:r w:rsidRPr="006D1E09">
              <w:rPr>
                <w:b/>
                <w:bCs/>
              </w:rPr>
              <w:t>Strategi för företag i kulturella och kreativa branscher</w:t>
            </w:r>
            <w:r>
              <w:rPr>
                <w:b/>
                <w:bCs/>
              </w:rPr>
              <w:t xml:space="preserve"> (NU19)</w:t>
            </w:r>
            <w:r>
              <w:rPr>
                <w:b/>
                <w:bCs/>
              </w:rPr>
              <w:br/>
            </w:r>
          </w:p>
          <w:p w14:paraId="3E2218A5" w14:textId="32BEF0FF" w:rsidR="0069776B" w:rsidRPr="0069776B" w:rsidRDefault="0069776B" w:rsidP="0069776B">
            <w:pPr>
              <w:widowControl w:val="0"/>
              <w:tabs>
                <w:tab w:val="left" w:pos="1701"/>
              </w:tabs>
              <w:rPr>
                <w:szCs w:val="23"/>
              </w:rPr>
            </w:pPr>
            <w:r w:rsidRPr="0069776B">
              <w:rPr>
                <w:szCs w:val="23"/>
              </w:rPr>
              <w:t xml:space="preserve">Utskottet inledde beredningen av </w:t>
            </w:r>
            <w:r>
              <w:rPr>
                <w:szCs w:val="23"/>
              </w:rPr>
              <w:t>skrivelse</w:t>
            </w:r>
            <w:r w:rsidRPr="0069776B">
              <w:rPr>
                <w:szCs w:val="23"/>
              </w:rPr>
              <w:t xml:space="preserve"> 2023/24:1</w:t>
            </w:r>
            <w:r>
              <w:rPr>
                <w:szCs w:val="23"/>
              </w:rPr>
              <w:t>11</w:t>
            </w:r>
            <w:r w:rsidRPr="0069776B">
              <w:rPr>
                <w:szCs w:val="23"/>
              </w:rPr>
              <w:t xml:space="preserve"> och motioner.</w:t>
            </w:r>
          </w:p>
          <w:p w14:paraId="3D183B12" w14:textId="77777777" w:rsidR="0069776B" w:rsidRPr="0069776B" w:rsidRDefault="0069776B" w:rsidP="0069776B">
            <w:pPr>
              <w:widowControl w:val="0"/>
              <w:tabs>
                <w:tab w:val="left" w:pos="1701"/>
              </w:tabs>
              <w:rPr>
                <w:szCs w:val="23"/>
              </w:rPr>
            </w:pPr>
          </w:p>
          <w:p w14:paraId="547AF0F9" w14:textId="659F062A" w:rsidR="001324AA" w:rsidRPr="00764146" w:rsidRDefault="0069776B" w:rsidP="0069776B">
            <w:pPr>
              <w:widowControl w:val="0"/>
              <w:tabs>
                <w:tab w:val="left" w:pos="1701"/>
              </w:tabs>
              <w:rPr>
                <w:b/>
                <w:bCs/>
              </w:rPr>
            </w:pPr>
            <w:r w:rsidRPr="0069776B">
              <w:rPr>
                <w:szCs w:val="23"/>
              </w:rPr>
              <w:t>Ärendet bordlades.</w:t>
            </w:r>
            <w:r w:rsidR="001324AA">
              <w:rPr>
                <w:szCs w:val="23"/>
              </w:rPr>
              <w:br/>
            </w:r>
          </w:p>
        </w:tc>
      </w:tr>
      <w:tr w:rsidR="001324AA" w:rsidRPr="0012669A" w14:paraId="4529633A" w14:textId="77777777" w:rsidTr="001324AA">
        <w:trPr>
          <w:trHeight w:val="950"/>
        </w:trPr>
        <w:tc>
          <w:tcPr>
            <w:tcW w:w="567" w:type="dxa"/>
          </w:tcPr>
          <w:p w14:paraId="7766C02F" w14:textId="559B700B" w:rsidR="001324AA" w:rsidRDefault="001324AA" w:rsidP="00DC0D46">
            <w:pPr>
              <w:tabs>
                <w:tab w:val="left" w:pos="1701"/>
              </w:tabs>
              <w:rPr>
                <w:b/>
                <w:snapToGrid w:val="0"/>
              </w:rPr>
            </w:pPr>
            <w:r>
              <w:rPr>
                <w:b/>
                <w:snapToGrid w:val="0"/>
              </w:rPr>
              <w:t>§ 10</w:t>
            </w:r>
          </w:p>
        </w:tc>
        <w:tc>
          <w:tcPr>
            <w:tcW w:w="7162" w:type="dxa"/>
          </w:tcPr>
          <w:p w14:paraId="5DD4DBAE" w14:textId="77777777" w:rsidR="0069776B" w:rsidRPr="0069776B" w:rsidRDefault="0069776B" w:rsidP="0069776B">
            <w:pPr>
              <w:widowControl w:val="0"/>
              <w:tabs>
                <w:tab w:val="left" w:pos="1701"/>
              </w:tabs>
              <w:rPr>
                <w:b/>
                <w:bCs/>
              </w:rPr>
            </w:pPr>
            <w:r w:rsidRPr="0069776B">
              <w:rPr>
                <w:b/>
                <w:bCs/>
              </w:rPr>
              <w:t>Inkomna EU-dokument</w:t>
            </w:r>
          </w:p>
          <w:p w14:paraId="49FC87AA" w14:textId="77777777" w:rsidR="0069776B" w:rsidRPr="0069776B" w:rsidRDefault="0069776B" w:rsidP="0069776B">
            <w:pPr>
              <w:widowControl w:val="0"/>
              <w:tabs>
                <w:tab w:val="left" w:pos="1701"/>
              </w:tabs>
              <w:rPr>
                <w:b/>
                <w:bCs/>
              </w:rPr>
            </w:pPr>
          </w:p>
          <w:p w14:paraId="62F15F48" w14:textId="77777777" w:rsidR="001324AA" w:rsidRDefault="0069776B" w:rsidP="0069776B">
            <w:pPr>
              <w:widowControl w:val="0"/>
              <w:tabs>
                <w:tab w:val="left" w:pos="1701"/>
              </w:tabs>
            </w:pPr>
            <w:r w:rsidRPr="0069776B">
              <w:t>Anmäldes sammanställning över inkomna EU-dokument.</w:t>
            </w:r>
          </w:p>
          <w:p w14:paraId="3BE7C2CF" w14:textId="67FCA922" w:rsidR="0069776B" w:rsidRPr="0069776B" w:rsidRDefault="0069776B" w:rsidP="0069776B">
            <w:pPr>
              <w:widowControl w:val="0"/>
              <w:tabs>
                <w:tab w:val="left" w:pos="1701"/>
              </w:tabs>
            </w:pPr>
          </w:p>
        </w:tc>
      </w:tr>
      <w:tr w:rsidR="00520D18" w:rsidRPr="0012669A" w14:paraId="292634C2" w14:textId="77777777" w:rsidTr="0005439B">
        <w:trPr>
          <w:trHeight w:val="1126"/>
        </w:trPr>
        <w:tc>
          <w:tcPr>
            <w:tcW w:w="567" w:type="dxa"/>
          </w:tcPr>
          <w:p w14:paraId="310A269B" w14:textId="12AFE7DC" w:rsidR="00520D18" w:rsidRDefault="00520D18" w:rsidP="00DC0D46">
            <w:pPr>
              <w:tabs>
                <w:tab w:val="left" w:pos="1701"/>
              </w:tabs>
              <w:rPr>
                <w:b/>
                <w:snapToGrid w:val="0"/>
              </w:rPr>
            </w:pPr>
            <w:r>
              <w:rPr>
                <w:b/>
                <w:snapToGrid w:val="0"/>
              </w:rPr>
              <w:lastRenderedPageBreak/>
              <w:t>§ 11</w:t>
            </w:r>
          </w:p>
        </w:tc>
        <w:tc>
          <w:tcPr>
            <w:tcW w:w="7162" w:type="dxa"/>
          </w:tcPr>
          <w:p w14:paraId="159CAD9E" w14:textId="77777777" w:rsidR="00520D18" w:rsidRPr="00520D18" w:rsidRDefault="00520D18" w:rsidP="00520D18">
            <w:pPr>
              <w:spacing w:after="200" w:line="280" w:lineRule="exact"/>
              <w:rPr>
                <w:b/>
                <w:bCs/>
              </w:rPr>
            </w:pPr>
            <w:r w:rsidRPr="00520D18">
              <w:rPr>
                <w:b/>
                <w:bCs/>
              </w:rPr>
              <w:t>Överläggning om EU-fråga</w:t>
            </w:r>
          </w:p>
          <w:p w14:paraId="1359A3F3" w14:textId="1E6A320A" w:rsidR="00520D18" w:rsidRPr="00520D18" w:rsidRDefault="00520D18" w:rsidP="00520D18">
            <w:pPr>
              <w:spacing w:after="200" w:line="280" w:lineRule="exact"/>
            </w:pPr>
            <w:r w:rsidRPr="00520D18">
              <w:t xml:space="preserve">Utskottet beslutade att överlägga med regeringen om kommissionens </w:t>
            </w:r>
            <w:r>
              <w:t xml:space="preserve">meddelande om att stärka bioteknik och </w:t>
            </w:r>
            <w:proofErr w:type="spellStart"/>
            <w:r>
              <w:t>biotillverkning</w:t>
            </w:r>
            <w:proofErr w:type="spellEnd"/>
            <w:r>
              <w:t xml:space="preserve"> i EU</w:t>
            </w:r>
            <w:r w:rsidRPr="00520D18">
              <w:t>, 2023/</w:t>
            </w:r>
            <w:proofErr w:type="gramStart"/>
            <w:r w:rsidRPr="00520D18">
              <w:t>24:FPM</w:t>
            </w:r>
            <w:proofErr w:type="gramEnd"/>
            <w:r w:rsidRPr="00520D18">
              <w:t>53.</w:t>
            </w:r>
          </w:p>
          <w:p w14:paraId="6D77D4A8" w14:textId="41498A52" w:rsidR="00520D18" w:rsidRDefault="00520D18" w:rsidP="00520D18">
            <w:pPr>
              <w:spacing w:after="200" w:line="280" w:lineRule="exact"/>
              <w:rPr>
                <w:b/>
                <w:bCs/>
              </w:rPr>
            </w:pPr>
            <w:r w:rsidRPr="00520D18">
              <w:t>Denna paragraf förklarades omedelbart justerad.</w:t>
            </w:r>
          </w:p>
        </w:tc>
      </w:tr>
      <w:tr w:rsidR="001324AA" w:rsidRPr="0012669A" w14:paraId="2B4572F5" w14:textId="77777777" w:rsidTr="0005439B">
        <w:trPr>
          <w:trHeight w:val="1126"/>
        </w:trPr>
        <w:tc>
          <w:tcPr>
            <w:tcW w:w="567" w:type="dxa"/>
          </w:tcPr>
          <w:p w14:paraId="5DEFA371" w14:textId="24831B51" w:rsidR="001324AA" w:rsidRDefault="001324AA" w:rsidP="00DC0D46">
            <w:pPr>
              <w:tabs>
                <w:tab w:val="left" w:pos="1701"/>
              </w:tabs>
              <w:rPr>
                <w:b/>
                <w:snapToGrid w:val="0"/>
              </w:rPr>
            </w:pPr>
            <w:r>
              <w:rPr>
                <w:b/>
                <w:snapToGrid w:val="0"/>
              </w:rPr>
              <w:t>§ 1</w:t>
            </w:r>
            <w:r w:rsidR="00520D18">
              <w:rPr>
                <w:b/>
                <w:snapToGrid w:val="0"/>
              </w:rPr>
              <w:t>2</w:t>
            </w:r>
          </w:p>
        </w:tc>
        <w:tc>
          <w:tcPr>
            <w:tcW w:w="7162" w:type="dxa"/>
          </w:tcPr>
          <w:p w14:paraId="4D5E0728" w14:textId="51AF0C6C" w:rsidR="001324AA" w:rsidRPr="0005439B" w:rsidRDefault="001324AA" w:rsidP="0005439B">
            <w:pPr>
              <w:spacing w:after="200" w:line="280" w:lineRule="exact"/>
              <w:rPr>
                <w:szCs w:val="23"/>
              </w:rPr>
            </w:pPr>
            <w:r>
              <w:rPr>
                <w:b/>
                <w:bCs/>
              </w:rPr>
              <w:t>Anmälan av inkomna skrivelser</w:t>
            </w:r>
            <w:r>
              <w:rPr>
                <w:b/>
                <w:bCs/>
              </w:rPr>
              <w:br/>
            </w:r>
            <w:r w:rsidR="0005439B">
              <w:rPr>
                <w:szCs w:val="23"/>
              </w:rPr>
              <w:br/>
            </w:r>
            <w:r w:rsidR="0069776B" w:rsidRPr="0069776B">
              <w:rPr>
                <w:szCs w:val="23"/>
              </w:rPr>
              <w:t xml:space="preserve">Inkommen skrivelse anmäldes (dnr </w:t>
            </w:r>
            <w:r w:rsidR="0069776B">
              <w:rPr>
                <w:szCs w:val="23"/>
              </w:rPr>
              <w:t>1639</w:t>
            </w:r>
            <w:r w:rsidR="0069776B" w:rsidRPr="0069776B">
              <w:rPr>
                <w:szCs w:val="23"/>
              </w:rPr>
              <w:t>–2023/24).</w:t>
            </w:r>
          </w:p>
        </w:tc>
      </w:tr>
      <w:tr w:rsidR="00520D18" w:rsidRPr="0012669A" w14:paraId="2E5FC781" w14:textId="77777777" w:rsidTr="00520D18">
        <w:trPr>
          <w:trHeight w:val="2117"/>
        </w:trPr>
        <w:tc>
          <w:tcPr>
            <w:tcW w:w="567" w:type="dxa"/>
          </w:tcPr>
          <w:p w14:paraId="385104ED" w14:textId="22BF92CF" w:rsidR="00520D18" w:rsidRDefault="00520D18" w:rsidP="00DC0D46">
            <w:pPr>
              <w:tabs>
                <w:tab w:val="left" w:pos="1701"/>
              </w:tabs>
              <w:rPr>
                <w:b/>
                <w:snapToGrid w:val="0"/>
              </w:rPr>
            </w:pPr>
            <w:r>
              <w:rPr>
                <w:b/>
                <w:snapToGrid w:val="0"/>
              </w:rPr>
              <w:t>§ 13</w:t>
            </w:r>
          </w:p>
        </w:tc>
        <w:tc>
          <w:tcPr>
            <w:tcW w:w="7162" w:type="dxa"/>
          </w:tcPr>
          <w:p w14:paraId="6CF6C9C4" w14:textId="77777777" w:rsidR="00520D18" w:rsidRPr="00520D18" w:rsidRDefault="00520D18" w:rsidP="00520D18">
            <w:pPr>
              <w:spacing w:after="200" w:line="280" w:lineRule="exact"/>
              <w:rPr>
                <w:b/>
                <w:bCs/>
              </w:rPr>
            </w:pPr>
            <w:r w:rsidRPr="00520D18">
              <w:rPr>
                <w:b/>
                <w:bCs/>
              </w:rPr>
              <w:t>Mötesförfrågningar</w:t>
            </w:r>
          </w:p>
          <w:p w14:paraId="32912413" w14:textId="2219E802" w:rsidR="00372F6A" w:rsidRDefault="00372F6A" w:rsidP="00520D18">
            <w:pPr>
              <w:spacing w:after="200" w:line="280" w:lineRule="exact"/>
            </w:pPr>
            <w:r>
              <w:t>Kanslichefen</w:t>
            </w:r>
            <w:r w:rsidR="00520D18" w:rsidRPr="00520D18">
              <w:t xml:space="preserve"> info</w:t>
            </w:r>
            <w:r>
              <w:t>rmerade</w:t>
            </w:r>
            <w:r w:rsidR="00520D18" w:rsidRPr="00520D18">
              <w:t xml:space="preserve"> om </w:t>
            </w:r>
            <w:r>
              <w:t>mötesförfrågan från f</w:t>
            </w:r>
            <w:r w:rsidRPr="00372F6A">
              <w:t xml:space="preserve">ranska ledamöter </w:t>
            </w:r>
            <w:r>
              <w:t>om</w:t>
            </w:r>
            <w:r w:rsidRPr="00372F6A">
              <w:t xml:space="preserve"> möte om innovationskritiska metaller och mineral</w:t>
            </w:r>
            <w:r w:rsidR="00AD4CC4">
              <w:t>.</w:t>
            </w:r>
          </w:p>
          <w:p w14:paraId="1736DA42" w14:textId="5596E5C9" w:rsidR="00520D18" w:rsidRPr="00520D18" w:rsidRDefault="00372F6A" w:rsidP="00520D18">
            <w:pPr>
              <w:spacing w:after="200" w:line="280" w:lineRule="exact"/>
            </w:pPr>
            <w:r>
              <w:t>Kanslichefen</w:t>
            </w:r>
            <w:r w:rsidR="00520D18">
              <w:t xml:space="preserve"> informerade</w:t>
            </w:r>
            <w:r>
              <w:t xml:space="preserve"> </w:t>
            </w:r>
            <w:r w:rsidR="00520D18">
              <w:t xml:space="preserve">om mötesförfrågan från </w:t>
            </w:r>
            <w:r w:rsidR="00520D18" w:rsidRPr="00520D18">
              <w:t xml:space="preserve">Kreativ Sektor </w:t>
            </w:r>
            <w:r w:rsidR="00520D18">
              <w:t xml:space="preserve">om </w:t>
            </w:r>
            <w:r>
              <w:t xml:space="preserve">möte om </w:t>
            </w:r>
            <w:r w:rsidR="00520D18" w:rsidRPr="00520D18">
              <w:t>den nationella strategin för företag i kulturella och kreativa branscher</w:t>
            </w:r>
            <w:r w:rsidR="00520D18">
              <w:t>.</w:t>
            </w:r>
          </w:p>
        </w:tc>
      </w:tr>
      <w:tr w:rsidR="00E7594E" w:rsidRPr="0012669A" w14:paraId="33046147" w14:textId="77777777" w:rsidTr="001324AA">
        <w:trPr>
          <w:trHeight w:val="950"/>
        </w:trPr>
        <w:tc>
          <w:tcPr>
            <w:tcW w:w="567" w:type="dxa"/>
          </w:tcPr>
          <w:p w14:paraId="226051D7" w14:textId="52DAB723" w:rsidR="00E7594E" w:rsidRDefault="00E7594E" w:rsidP="00E7594E">
            <w:pPr>
              <w:tabs>
                <w:tab w:val="left" w:pos="1701"/>
              </w:tabs>
              <w:rPr>
                <w:b/>
                <w:snapToGrid w:val="0"/>
              </w:rPr>
            </w:pPr>
            <w:r>
              <w:rPr>
                <w:b/>
                <w:snapToGrid w:val="0"/>
              </w:rPr>
              <w:t xml:space="preserve">§ </w:t>
            </w:r>
            <w:r w:rsidR="00520D18">
              <w:rPr>
                <w:b/>
                <w:snapToGrid w:val="0"/>
              </w:rPr>
              <w:t>14</w:t>
            </w:r>
          </w:p>
        </w:tc>
        <w:tc>
          <w:tcPr>
            <w:tcW w:w="7162" w:type="dxa"/>
          </w:tcPr>
          <w:p w14:paraId="4C5000F1" w14:textId="77777777" w:rsidR="00E7594E" w:rsidRPr="00F42793" w:rsidRDefault="00E7594E" w:rsidP="00E7594E">
            <w:pPr>
              <w:widowControl w:val="0"/>
              <w:tabs>
                <w:tab w:val="left" w:pos="1701"/>
              </w:tabs>
              <w:rPr>
                <w:b/>
              </w:rPr>
            </w:pPr>
            <w:r w:rsidRPr="00F42793">
              <w:rPr>
                <w:b/>
              </w:rPr>
              <w:t>Nästa sammanträde</w:t>
            </w:r>
          </w:p>
          <w:p w14:paraId="3440FF7C" w14:textId="77777777" w:rsidR="00E7594E" w:rsidRPr="004D24D5" w:rsidRDefault="00E7594E" w:rsidP="00E7594E">
            <w:pPr>
              <w:widowControl w:val="0"/>
              <w:tabs>
                <w:tab w:val="left" w:pos="1701"/>
              </w:tabs>
              <w:rPr>
                <w:bCs/>
              </w:rPr>
            </w:pPr>
          </w:p>
          <w:p w14:paraId="64307BA5" w14:textId="4F7C7DFC" w:rsidR="00E7594E" w:rsidRPr="0077189E" w:rsidRDefault="00E7594E" w:rsidP="00E7594E">
            <w:pPr>
              <w:widowControl w:val="0"/>
              <w:tabs>
                <w:tab w:val="left" w:pos="1701"/>
              </w:tabs>
              <w:rPr>
                <w:bCs/>
              </w:rPr>
            </w:pPr>
            <w:r w:rsidRPr="00AE0DEF">
              <w:rPr>
                <w:bCs/>
              </w:rPr>
              <w:t xml:space="preserve">Nästa sammanträde äger rum </w:t>
            </w:r>
            <w:r w:rsidR="00435318">
              <w:rPr>
                <w:bCs/>
              </w:rPr>
              <w:t>t</w:t>
            </w:r>
            <w:r w:rsidR="00B14D10">
              <w:rPr>
                <w:bCs/>
              </w:rPr>
              <w:t>is</w:t>
            </w:r>
            <w:r w:rsidR="00FF12AD">
              <w:rPr>
                <w:bCs/>
              </w:rPr>
              <w:t>d</w:t>
            </w:r>
            <w:r w:rsidR="005D50DB" w:rsidRPr="005D50DB">
              <w:rPr>
                <w:bCs/>
              </w:rPr>
              <w:t xml:space="preserve">agen den </w:t>
            </w:r>
            <w:r w:rsidR="001324AA">
              <w:rPr>
                <w:bCs/>
              </w:rPr>
              <w:t>7 maj</w:t>
            </w:r>
            <w:r w:rsidR="005D50DB" w:rsidRPr="005D50DB">
              <w:rPr>
                <w:bCs/>
              </w:rPr>
              <w:t xml:space="preserve"> 2024 kl. </w:t>
            </w:r>
            <w:r w:rsidR="00B14D10">
              <w:rPr>
                <w:bCs/>
              </w:rPr>
              <w:t>11</w:t>
            </w:r>
            <w:r w:rsidR="005D50DB" w:rsidRPr="005D50DB">
              <w:rPr>
                <w:bCs/>
              </w:rPr>
              <w:t>.00.</w:t>
            </w:r>
          </w:p>
        </w:tc>
      </w:tr>
      <w:tr w:rsidR="00E7594E" w:rsidRPr="0012669A" w14:paraId="448A3638" w14:textId="77777777" w:rsidTr="001324AA">
        <w:tc>
          <w:tcPr>
            <w:tcW w:w="7729" w:type="dxa"/>
            <w:gridSpan w:val="2"/>
          </w:tcPr>
          <w:p w14:paraId="2FEDC8BF" w14:textId="08668C64" w:rsidR="00E7594E" w:rsidRDefault="00E7594E" w:rsidP="00E7594E">
            <w:pPr>
              <w:tabs>
                <w:tab w:val="left" w:pos="1701"/>
              </w:tabs>
            </w:pPr>
          </w:p>
          <w:p w14:paraId="6BC1234D" w14:textId="77777777" w:rsidR="001D22CD" w:rsidRDefault="001D22CD" w:rsidP="00E7594E">
            <w:pPr>
              <w:tabs>
                <w:tab w:val="left" w:pos="1701"/>
              </w:tabs>
            </w:pPr>
          </w:p>
          <w:p w14:paraId="41DC2762" w14:textId="067F46E8" w:rsidR="00C20634" w:rsidRDefault="00C20634" w:rsidP="00E7594E">
            <w:pPr>
              <w:tabs>
                <w:tab w:val="left" w:pos="1701"/>
              </w:tabs>
            </w:pPr>
          </w:p>
          <w:p w14:paraId="5BCFE3E2" w14:textId="51663861" w:rsidR="00FF12AD" w:rsidRDefault="00FF12AD" w:rsidP="00E7594E">
            <w:pPr>
              <w:tabs>
                <w:tab w:val="left" w:pos="1701"/>
              </w:tabs>
            </w:pPr>
          </w:p>
          <w:p w14:paraId="56126E41" w14:textId="57045C76" w:rsidR="00E7594E" w:rsidRDefault="00E7594E" w:rsidP="00E7594E">
            <w:pPr>
              <w:tabs>
                <w:tab w:val="left" w:pos="1701"/>
              </w:tabs>
            </w:pPr>
            <w:r w:rsidRPr="0012669A">
              <w:t>Vid protokollet</w:t>
            </w:r>
          </w:p>
          <w:p w14:paraId="07D5F219" w14:textId="71618C23" w:rsidR="00E7594E" w:rsidRDefault="00E7594E" w:rsidP="00E7594E">
            <w:pPr>
              <w:tabs>
                <w:tab w:val="left" w:pos="1701"/>
              </w:tabs>
            </w:pPr>
          </w:p>
          <w:p w14:paraId="4649FD8C" w14:textId="77777777" w:rsidR="00E7594E" w:rsidRPr="0012669A" w:rsidRDefault="00E7594E" w:rsidP="00E7594E">
            <w:pPr>
              <w:tabs>
                <w:tab w:val="left" w:pos="1701"/>
              </w:tabs>
            </w:pPr>
          </w:p>
          <w:p w14:paraId="44E0A703" w14:textId="1F90ADD1" w:rsidR="00E7594E" w:rsidRDefault="00E7594E" w:rsidP="00E7594E">
            <w:pPr>
              <w:tabs>
                <w:tab w:val="left" w:pos="1701"/>
              </w:tabs>
            </w:pPr>
          </w:p>
          <w:p w14:paraId="0C68E91F" w14:textId="2FC3F499" w:rsidR="00E7594E" w:rsidRDefault="00E7594E" w:rsidP="00E7594E">
            <w:pPr>
              <w:tabs>
                <w:tab w:val="left" w:pos="1701"/>
              </w:tabs>
            </w:pPr>
          </w:p>
          <w:p w14:paraId="79740975" w14:textId="5F34242B" w:rsidR="00E7594E" w:rsidRPr="0012669A" w:rsidRDefault="00E7594E" w:rsidP="00E7594E">
            <w:pPr>
              <w:tabs>
                <w:tab w:val="left" w:pos="1701"/>
              </w:tabs>
            </w:pPr>
            <w:r w:rsidRPr="0012669A">
              <w:t xml:space="preserve">Justeras den </w:t>
            </w:r>
            <w:r w:rsidR="001324AA">
              <w:t>7 maj</w:t>
            </w:r>
            <w:r>
              <w:t xml:space="preserve"> 2024</w:t>
            </w:r>
          </w:p>
          <w:p w14:paraId="739BD8DE" w14:textId="6BAB242F" w:rsidR="00E7594E" w:rsidRDefault="00E7594E" w:rsidP="00E7594E">
            <w:pPr>
              <w:tabs>
                <w:tab w:val="left" w:pos="1701"/>
              </w:tabs>
            </w:pPr>
          </w:p>
          <w:p w14:paraId="1F982220" w14:textId="77777777" w:rsidR="00E7594E" w:rsidRPr="0012669A" w:rsidRDefault="00E7594E" w:rsidP="00E7594E">
            <w:pPr>
              <w:tabs>
                <w:tab w:val="left" w:pos="1701"/>
              </w:tabs>
            </w:pPr>
          </w:p>
          <w:p w14:paraId="540E52C5" w14:textId="43387DA7" w:rsidR="00E7594E" w:rsidRPr="00355D1B" w:rsidRDefault="00E7594E" w:rsidP="00E7594E">
            <w:pPr>
              <w:tabs>
                <w:tab w:val="left" w:pos="1701"/>
              </w:tabs>
            </w:pPr>
          </w:p>
        </w:tc>
      </w:tr>
    </w:tbl>
    <w:p w14:paraId="1B1820A2" w14:textId="636D98F1" w:rsidR="00FF12AD" w:rsidRDefault="00FF12AD">
      <w:bookmarkStart w:id="0" w:name="_Hlk97030853"/>
      <w:bookmarkStart w:id="1" w:name="_Hlk146185070"/>
    </w:p>
    <w:p w14:paraId="7E915453" w14:textId="77777777" w:rsidR="00FF12AD" w:rsidRDefault="00FF12AD">
      <w:r>
        <w:br w:type="page"/>
      </w:r>
    </w:p>
    <w:p w14:paraId="5E0AE7DB" w14:textId="77777777" w:rsidR="00141DEF" w:rsidRDefault="00141DEF"/>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261"/>
        <w:gridCol w:w="425"/>
        <w:gridCol w:w="425"/>
        <w:gridCol w:w="425"/>
        <w:gridCol w:w="426"/>
        <w:gridCol w:w="425"/>
        <w:gridCol w:w="22"/>
        <w:gridCol w:w="582"/>
        <w:gridCol w:w="388"/>
        <w:gridCol w:w="11"/>
      </w:tblGrid>
      <w:tr w:rsidR="001D165A" w14:paraId="66CEFB4D" w14:textId="77777777" w:rsidTr="00520D18">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111"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425"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39932D84" w:rsidR="001D165A" w:rsidRDefault="001D165A" w:rsidP="00FD0762">
            <w:pPr>
              <w:tabs>
                <w:tab w:val="left" w:pos="1701"/>
              </w:tabs>
            </w:pPr>
            <w:r>
              <w:rPr>
                <w:sz w:val="20"/>
              </w:rPr>
              <w:t>2023/24:</w:t>
            </w:r>
            <w:r w:rsidR="001324AA">
              <w:rPr>
                <w:sz w:val="20"/>
              </w:rPr>
              <w:t>29</w:t>
            </w:r>
          </w:p>
        </w:tc>
      </w:tr>
      <w:tr w:rsidR="001D165A" w14:paraId="0DF86746" w14:textId="77777777" w:rsidTr="00520D18">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2BB08D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B14D10">
              <w:rPr>
                <w:sz w:val="22"/>
                <w:szCs w:val="22"/>
              </w:rPr>
              <w:t>–</w:t>
            </w:r>
            <w:r w:rsidR="00520D18">
              <w:rPr>
                <w:sz w:val="22"/>
                <w:szCs w:val="22"/>
              </w:rPr>
              <w:t>3</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2FE4A68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0D18">
              <w:rPr>
                <w:sz w:val="22"/>
                <w:szCs w:val="22"/>
              </w:rPr>
              <w:t xml:space="preserve">§ </w:t>
            </w:r>
            <w:r>
              <w:rPr>
                <w:sz w:val="22"/>
                <w:szCs w:val="22"/>
              </w:rPr>
              <w:t>4</w:t>
            </w:r>
            <w:r w:rsidRPr="00520D18">
              <w:rPr>
                <w:sz w:val="22"/>
                <w:szCs w:val="22"/>
              </w:rPr>
              <w:t>–</w:t>
            </w:r>
            <w:r>
              <w:rPr>
                <w:sz w:val="22"/>
                <w:szCs w:val="22"/>
              </w:rPr>
              <w:t>5</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7AB650F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0D18">
              <w:rPr>
                <w:sz w:val="22"/>
                <w:szCs w:val="22"/>
              </w:rPr>
              <w:t xml:space="preserve">§ </w:t>
            </w:r>
            <w:r>
              <w:rPr>
                <w:sz w:val="22"/>
                <w:szCs w:val="22"/>
              </w:rPr>
              <w:t>6</w:t>
            </w:r>
            <w:r w:rsidRPr="00520D18">
              <w:rPr>
                <w:sz w:val="22"/>
                <w:szCs w:val="22"/>
              </w:rPr>
              <w:t>–</w:t>
            </w:r>
            <w:r>
              <w:rPr>
                <w:sz w:val="22"/>
                <w:szCs w:val="22"/>
              </w:rPr>
              <w:t>7</w:t>
            </w:r>
          </w:p>
        </w:tc>
        <w:tc>
          <w:tcPr>
            <w:tcW w:w="709" w:type="dxa"/>
            <w:gridSpan w:val="2"/>
            <w:tcBorders>
              <w:top w:val="single" w:sz="6" w:space="0" w:color="auto"/>
              <w:left w:val="single" w:sz="6" w:space="0" w:color="auto"/>
              <w:bottom w:val="single" w:sz="6" w:space="0" w:color="auto"/>
              <w:right w:val="single" w:sz="6" w:space="0" w:color="auto"/>
            </w:tcBorders>
          </w:tcPr>
          <w:p w14:paraId="12E63081" w14:textId="5A07F83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0D18">
              <w:rPr>
                <w:sz w:val="22"/>
                <w:szCs w:val="22"/>
              </w:rPr>
              <w:t xml:space="preserve">§ </w:t>
            </w:r>
            <w:r>
              <w:rPr>
                <w:sz w:val="22"/>
                <w:szCs w:val="22"/>
              </w:rPr>
              <w:t>8</w:t>
            </w:r>
          </w:p>
        </w:tc>
        <w:tc>
          <w:tcPr>
            <w:tcW w:w="850" w:type="dxa"/>
            <w:gridSpan w:val="2"/>
            <w:tcBorders>
              <w:top w:val="single" w:sz="6" w:space="0" w:color="auto"/>
              <w:left w:val="single" w:sz="6" w:space="0" w:color="auto"/>
              <w:bottom w:val="single" w:sz="6" w:space="0" w:color="auto"/>
              <w:right w:val="single" w:sz="6" w:space="0" w:color="auto"/>
            </w:tcBorders>
          </w:tcPr>
          <w:p w14:paraId="23DF87DA" w14:textId="050F56BF" w:rsidR="001D165A" w:rsidRPr="004E0CD9"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0D18">
              <w:rPr>
                <w:sz w:val="22"/>
                <w:szCs w:val="22"/>
              </w:rPr>
              <w:t xml:space="preserve">§ </w:t>
            </w:r>
            <w:r>
              <w:rPr>
                <w:sz w:val="22"/>
                <w:szCs w:val="22"/>
              </w:rPr>
              <w:t>9</w:t>
            </w:r>
            <w:r w:rsidRPr="00520D18">
              <w:rPr>
                <w:sz w:val="22"/>
                <w:szCs w:val="22"/>
              </w:rPr>
              <w:t>–</w:t>
            </w:r>
            <w:r>
              <w:rPr>
                <w:sz w:val="22"/>
                <w:szCs w:val="22"/>
              </w:rPr>
              <w:t>12</w:t>
            </w:r>
          </w:p>
        </w:tc>
        <w:tc>
          <w:tcPr>
            <w:tcW w:w="425" w:type="dxa"/>
            <w:tcBorders>
              <w:top w:val="single" w:sz="6" w:space="0" w:color="auto"/>
              <w:left w:val="single" w:sz="6" w:space="0" w:color="auto"/>
              <w:bottom w:val="single" w:sz="6" w:space="0" w:color="auto"/>
              <w:right w:val="single" w:sz="6" w:space="0" w:color="auto"/>
            </w:tcBorders>
          </w:tcPr>
          <w:p w14:paraId="3C0F452F" w14:textId="35BA0F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0D13F96"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13</w:t>
            </w:r>
            <w:r w:rsidRPr="00520D18">
              <w:rPr>
                <w:sz w:val="22"/>
              </w:rPr>
              <w:t>–</w:t>
            </w:r>
            <w:r>
              <w:rPr>
                <w:sz w:val="22"/>
              </w:rPr>
              <w:t>14</w:t>
            </w: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61"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44FE7185"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3F5A737F"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3171BEE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7ECA783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0846F6" w14:textId="268386BD"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0562EF" w14:textId="014497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0663FC1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772FEE" w14:paraId="1D2BC9B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w:t>
            </w:r>
            <w:proofErr w:type="spellStart"/>
            <w:r w:rsidRPr="008F6BFD">
              <w:rPr>
                <w:sz w:val="20"/>
                <w:lang w:val="en-GB"/>
              </w:rPr>
              <w:t>Thand</w:t>
            </w:r>
            <w:proofErr w:type="spellEnd"/>
            <w:r w:rsidRPr="008F6BFD">
              <w:rPr>
                <w:sz w:val="20"/>
                <w:lang w:val="en-GB"/>
              </w:rPr>
              <w:t xml:space="preserve"> </w:t>
            </w:r>
            <w:proofErr w:type="spellStart"/>
            <w:r w:rsidRPr="008F6BFD">
              <w:rPr>
                <w:sz w:val="20"/>
                <w:lang w:val="en-GB"/>
              </w:rPr>
              <w:t>Ringqvist</w:t>
            </w:r>
            <w:proofErr w:type="spellEnd"/>
            <w:r w:rsidRPr="008F6BFD">
              <w:rPr>
                <w:sz w:val="20"/>
                <w:lang w:val="en-GB"/>
              </w:rPr>
              <w:t xml:space="preserve">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7055C93D" w:rsidR="001D165A" w:rsidRPr="00772FEE"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16FCCB3" w14:textId="0C0D9C9E" w:rsidR="001D165A" w:rsidRPr="00772FEE"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9CF42D" w14:textId="73B5CAB5" w:rsidR="001D165A" w:rsidRPr="00772FEE"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9F3A5AB" w14:textId="38722008" w:rsidR="001D165A" w:rsidRPr="00772FEE"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7327709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16C757" w14:textId="1ED4B962" w:rsidR="001D165A" w:rsidRPr="00772FEE"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3EA2BE6"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C974C0" w14:textId="3F6344CE"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A2E17D" w14:textId="44CA148F" w:rsidR="001D165A" w:rsidRPr="00772FEE"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21485D" w14:paraId="2D0DBF34"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261625C5"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013E05D6"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202E6855"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0D43B52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61"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25E2374D" w14:textId="61D8AB55"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1783798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3AB3ACBD"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43728B3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2F6551F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7988DE9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3B1CE" w14:textId="5031C7B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850A75" w14:textId="3B722C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19F6B50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1C53270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5D06E080"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12CF859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61"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B8D627" w14:textId="20C7067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597CC5" w14:textId="521707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Jessica </w:t>
            </w:r>
            <w:proofErr w:type="spellStart"/>
            <w:r>
              <w:rPr>
                <w:sz w:val="20"/>
              </w:rPr>
              <w:t>Stegrud</w:t>
            </w:r>
            <w:proofErr w:type="spellEnd"/>
            <w:r>
              <w:rPr>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119454CF" w14:textId="288B129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3D0D1461"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6BDF71ED"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3E44EA1E"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8EC02F" w14:textId="0E50581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888E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29D9359D"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7A546D1D"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39D3A91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762292B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74D648D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813955" w14:textId="3B50B8D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58EAAD3" w14:textId="576433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0CEA832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13EAD7F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080B1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2763A6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5BB4D53D"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CA9A69" w14:textId="22D09A7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F79CE" w14:textId="55136E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1BB6551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336BDDE5"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2CB5AAA0"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34F1171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4365787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61"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A1DDC" w14:textId="37C309E5"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B0262" w14:textId="1B89D3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3CEA6E9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55AA5C8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 (SD)</w:t>
            </w:r>
          </w:p>
        </w:tc>
        <w:tc>
          <w:tcPr>
            <w:tcW w:w="449" w:type="dxa"/>
            <w:tcBorders>
              <w:top w:val="single" w:sz="6" w:space="0" w:color="auto"/>
              <w:left w:val="single" w:sz="6" w:space="0" w:color="auto"/>
              <w:bottom w:val="single" w:sz="6" w:space="0" w:color="auto"/>
              <w:right w:val="single" w:sz="6" w:space="0" w:color="auto"/>
            </w:tcBorders>
          </w:tcPr>
          <w:p w14:paraId="3AE85469" w14:textId="2DDD22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7E48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70AED5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3D5E96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B5BB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F09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4C2C78C0"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505F947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200EE1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26CBA8B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CFC165" w14:textId="08A0F1D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6A08A24E"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Pr>
                <w:snapToGrid w:val="0"/>
                <w:color w:val="000000"/>
                <w:sz w:val="20"/>
                <w:lang w:val="en-US"/>
              </w:rPr>
              <w:t>Kjell</w:t>
            </w:r>
            <w:proofErr w:type="spellEnd"/>
            <w:r>
              <w:rPr>
                <w:snapToGrid w:val="0"/>
                <w:color w:val="000000"/>
                <w:sz w:val="20"/>
                <w:lang w:val="en-US"/>
              </w:rPr>
              <w:t xml:space="preserve"> Jansson (M)</w:t>
            </w:r>
          </w:p>
        </w:tc>
        <w:tc>
          <w:tcPr>
            <w:tcW w:w="449" w:type="dxa"/>
            <w:tcBorders>
              <w:top w:val="single" w:sz="6" w:space="0" w:color="auto"/>
              <w:left w:val="single" w:sz="6" w:space="0" w:color="auto"/>
              <w:bottom w:val="single" w:sz="6" w:space="0" w:color="auto"/>
              <w:right w:val="single" w:sz="6" w:space="0" w:color="auto"/>
            </w:tcBorders>
          </w:tcPr>
          <w:p w14:paraId="162330C2" w14:textId="6121406E"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7DCF78F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75F1EFDE"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6E13C6B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C1D2BC" w14:textId="0C6717C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C805E2" w14:textId="06F9D6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68478930"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20E5C4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2B1846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17441C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76D9A9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57091A" w14:textId="519729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1E63E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75D46EA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3E572D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58F3E6C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1885E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 xml:space="preserve">Eric </w:t>
            </w:r>
            <w:proofErr w:type="spellStart"/>
            <w:r w:rsidRPr="00D36206">
              <w:rPr>
                <w:sz w:val="20"/>
                <w:lang w:val="en-US"/>
              </w:rPr>
              <w:t>Palmqvist</w:t>
            </w:r>
            <w:proofErr w:type="spellEnd"/>
            <w:r w:rsidRPr="00D36206">
              <w:rPr>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7CA30006" w14:textId="53B19E4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1B6160FF"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5D8BFB7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07BA9B8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B606DE8" w14:textId="1AB0BCA0"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CA3C7B" w14:textId="6D4411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1B66E42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449" w:type="dxa"/>
            <w:tcBorders>
              <w:top w:val="single" w:sz="6" w:space="0" w:color="auto"/>
              <w:left w:val="single" w:sz="6" w:space="0" w:color="auto"/>
              <w:bottom w:val="single" w:sz="6" w:space="0" w:color="auto"/>
              <w:right w:val="single" w:sz="6" w:space="0" w:color="auto"/>
            </w:tcBorders>
          </w:tcPr>
          <w:p w14:paraId="25A2B47F" w14:textId="60117C8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01D2DD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5E3A68E1"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24293205"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5360CA" w14:textId="094101B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6DF164" w14:textId="6EDE9D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554AC331"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19E3417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11862AD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01D6747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5B70B5C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61"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F94A19" w14:textId="1DEACCA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ABC95B" w14:textId="5B9F5DF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302F1CA6"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1"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1DD39101" w:rsidR="001D165A" w:rsidRDefault="001D165A" w:rsidP="00FD0762">
            <w:pPr>
              <w:tabs>
                <w:tab w:val="left" w:pos="1985"/>
              </w:tabs>
              <w:rPr>
                <w:snapToGrid w:val="0"/>
                <w:color w:val="000000"/>
                <w:sz w:val="20"/>
              </w:rPr>
            </w:pPr>
            <w:r>
              <w:rPr>
                <w:snapToGrid w:val="0"/>
                <w:color w:val="000000"/>
                <w:sz w:val="20"/>
              </w:rPr>
              <w:t>Johnny Svedin (SD)</w:t>
            </w:r>
          </w:p>
        </w:tc>
        <w:tc>
          <w:tcPr>
            <w:tcW w:w="449" w:type="dxa"/>
            <w:tcBorders>
              <w:top w:val="single" w:sz="6" w:space="0" w:color="auto"/>
              <w:left w:val="single" w:sz="6" w:space="0" w:color="auto"/>
              <w:bottom w:val="single" w:sz="6" w:space="0" w:color="auto"/>
              <w:right w:val="single" w:sz="6" w:space="0" w:color="auto"/>
            </w:tcBorders>
          </w:tcPr>
          <w:p w14:paraId="2A49C47D" w14:textId="3E53B78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63265E6F"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1B3F460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0DFB0DA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61"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4AEA9" w14:textId="53B9E4F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1A6ACAB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 xml:space="preserve">Aida </w:t>
            </w:r>
            <w:proofErr w:type="spellStart"/>
            <w:r>
              <w:rPr>
                <w:snapToGrid w:val="0"/>
                <w:color w:val="000000"/>
                <w:sz w:val="20"/>
              </w:rPr>
              <w:t>Birinxhiku</w:t>
            </w:r>
            <w:proofErr w:type="spellEnd"/>
            <w:r>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202D0A56" w14:textId="2CB426C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5201C17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656DA4D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7346AE01"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61"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D2EF7" w14:textId="1D92418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54F1CE" w14:textId="356D14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0DEFDA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E353A1" w14:paraId="2A0CF4B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163FB838" w:rsidR="001D165A" w:rsidRPr="00F8082F"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286880E0" w:rsidR="001D165A" w:rsidRPr="00F8082F"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3A592B4A" w:rsidR="001D165A" w:rsidRPr="00F8082F"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798E585E" w:rsidR="001D165A" w:rsidRPr="00F8082F"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61"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D4C925" w14:textId="0EE7E747" w:rsidR="001D165A" w:rsidRPr="00F8082F"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45E0046" w14:textId="51347AD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459C2CF1" w:rsidR="001D165A" w:rsidRPr="00F8082F"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746678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07F72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61"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61"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61"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258B0AB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4C24C826"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09DE7A4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64E0FF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61"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975E8A" w14:textId="71A05A7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F2C3" w14:textId="5470AD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1374F81D"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62270E8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3A1F2B2D"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370662DE"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26BCFDC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61"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5827E5" w14:textId="2FBB98F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8BB7C" w14:textId="717463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095F2CD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509226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10E587A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0683FF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42E92D8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71B3D6" w14:textId="54F81B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4D439C68" w14:textId="72CF7F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67DB16" w14:textId="58C8413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606572" w14:textId="608E359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A5F84DF" w14:textId="3B6110D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61" w:type="dxa"/>
            <w:tcBorders>
              <w:top w:val="single" w:sz="6" w:space="0" w:color="auto"/>
              <w:left w:val="single" w:sz="6" w:space="0" w:color="auto"/>
              <w:bottom w:val="single" w:sz="6"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7992ED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9EB056B" w14:textId="16D8B506" w:rsidR="001D165A" w:rsidRDefault="001D165A" w:rsidP="00FD0762">
            <w:pPr>
              <w:rPr>
                <w:sz w:val="20"/>
              </w:rPr>
            </w:pPr>
            <w:r w:rsidRPr="00093F5C">
              <w:rPr>
                <w:sz w:val="20"/>
              </w:rPr>
              <w:t xml:space="preserve">Anna </w:t>
            </w:r>
            <w:proofErr w:type="spellStart"/>
            <w:r w:rsidRPr="00093F5C">
              <w:rPr>
                <w:sz w:val="20"/>
              </w:rPr>
              <w:t>af</w:t>
            </w:r>
            <w:proofErr w:type="spellEnd"/>
            <w:r w:rsidRPr="00093F5C">
              <w:rPr>
                <w:sz w:val="20"/>
              </w:rPr>
              <w:t xml:space="preserve"> Sillén </w:t>
            </w:r>
            <w:r>
              <w:rPr>
                <w:sz w:val="20"/>
              </w:rPr>
              <w:t>(M)</w:t>
            </w:r>
          </w:p>
        </w:tc>
        <w:tc>
          <w:tcPr>
            <w:tcW w:w="449" w:type="dxa"/>
            <w:tcBorders>
              <w:top w:val="single" w:sz="6" w:space="0" w:color="auto"/>
              <w:left w:val="single" w:sz="6" w:space="0" w:color="auto"/>
              <w:bottom w:val="single" w:sz="6" w:space="0" w:color="auto"/>
              <w:right w:val="single" w:sz="6" w:space="0" w:color="auto"/>
            </w:tcBorders>
          </w:tcPr>
          <w:p w14:paraId="783BC6F7" w14:textId="01DE0C4D"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284CDD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DC52C0" w14:textId="3E8A9960"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EE002" w14:textId="662AC294"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7AF3415" w14:textId="1C4AEFCB"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61" w:type="dxa"/>
            <w:tcBorders>
              <w:top w:val="single" w:sz="6" w:space="0" w:color="auto"/>
              <w:left w:val="single" w:sz="6" w:space="0" w:color="auto"/>
              <w:bottom w:val="single" w:sz="6" w:space="0" w:color="auto"/>
              <w:right w:val="single" w:sz="6" w:space="0" w:color="auto"/>
            </w:tcBorders>
          </w:tcPr>
          <w:p w14:paraId="476DF17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D5CC14" w14:textId="7FA5F23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80317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DE5E2B" w14:textId="0ADC56F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F02DD" w14:textId="361FDE75"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0D9DA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7668A9B" w14:textId="51B501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3E01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6"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5EB160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456B765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2ED804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970BE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77777777" w:rsidR="001D165A" w:rsidRPr="007E2968" w:rsidRDefault="001D165A" w:rsidP="00FD0762">
            <w:pPr>
              <w:rPr>
                <w:sz w:val="20"/>
              </w:rPr>
            </w:pPr>
            <w:r w:rsidRPr="007E2968">
              <w:rPr>
                <w:sz w:val="20"/>
              </w:rPr>
              <w:t xml:space="preserve">Jakob </w:t>
            </w:r>
            <w:proofErr w:type="spellStart"/>
            <w:r w:rsidRPr="007E2968">
              <w:rPr>
                <w:sz w:val="20"/>
              </w:rPr>
              <w:t>Olofsgård</w:t>
            </w:r>
            <w:proofErr w:type="spellEnd"/>
            <w:r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13268174" w:rsidR="001D165A" w:rsidRPr="007E2968" w:rsidRDefault="001D165A"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1"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229D7CE" w14:textId="77777777" w:rsidTr="00520D1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950C4B5" w14:textId="79370583" w:rsidR="001D165A" w:rsidRDefault="001D165A" w:rsidP="00FD0762">
            <w:pPr>
              <w:rPr>
                <w:sz w:val="20"/>
              </w:rPr>
            </w:pPr>
            <w:r>
              <w:rPr>
                <w:sz w:val="20"/>
              </w:rPr>
              <w:t xml:space="preserve">Anette </w:t>
            </w:r>
            <w:proofErr w:type="spellStart"/>
            <w:r>
              <w:rPr>
                <w:sz w:val="20"/>
              </w:rPr>
              <w:t>Rangdag</w:t>
            </w:r>
            <w:proofErr w:type="spellEnd"/>
            <w:r>
              <w:rPr>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0A972DF9" w14:textId="0F65618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4CB51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6F8A2AB" w14:textId="157B2CC8"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8570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3CE4A2" w14:textId="0B0BAD6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1C194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101BCF0" w14:textId="15CFD58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61" w:type="dxa"/>
            <w:tcBorders>
              <w:top w:val="single" w:sz="6" w:space="0" w:color="auto"/>
              <w:left w:val="single" w:sz="6" w:space="0" w:color="auto"/>
              <w:bottom w:val="single" w:sz="6" w:space="0" w:color="auto"/>
              <w:right w:val="single" w:sz="6" w:space="0" w:color="auto"/>
            </w:tcBorders>
          </w:tcPr>
          <w:p w14:paraId="7ABA13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8597E6" w14:textId="2B9CB5DE"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32126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42D5C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D0BA74" w14:textId="23488981"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78DB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28091C2" w14:textId="385DB7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96491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7777777" w:rsidR="00B8320F" w:rsidRDefault="00B8320F" w:rsidP="00BE3F54"/>
    <w:sectPr w:rsidR="00B8320F"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3274" w14:textId="77777777" w:rsidR="00AB2394" w:rsidRDefault="00AB2394" w:rsidP="002130F1">
      <w:r>
        <w:separator/>
      </w:r>
    </w:p>
  </w:endnote>
  <w:endnote w:type="continuationSeparator" w:id="0">
    <w:p w14:paraId="09C85B22" w14:textId="77777777" w:rsidR="00AB2394" w:rsidRDefault="00AB2394"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altName w:val="Arial"/>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CE25" w14:textId="77777777" w:rsidR="00AB2394" w:rsidRDefault="00AB2394" w:rsidP="002130F1">
      <w:r>
        <w:separator/>
      </w:r>
    </w:p>
  </w:footnote>
  <w:footnote w:type="continuationSeparator" w:id="0">
    <w:p w14:paraId="0EE45341" w14:textId="77777777" w:rsidR="00AB2394" w:rsidRDefault="00AB2394"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7"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 w:numId="8">
    <w:abstractNumId w:val="7"/>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3D44"/>
    <w:rsid w:val="0002438C"/>
    <w:rsid w:val="0002508C"/>
    <w:rsid w:val="000253C1"/>
    <w:rsid w:val="000255B5"/>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39B"/>
    <w:rsid w:val="00054831"/>
    <w:rsid w:val="0005545D"/>
    <w:rsid w:val="000564A8"/>
    <w:rsid w:val="000569AB"/>
    <w:rsid w:val="00056A67"/>
    <w:rsid w:val="00061C55"/>
    <w:rsid w:val="0006202F"/>
    <w:rsid w:val="0006613C"/>
    <w:rsid w:val="00067448"/>
    <w:rsid w:val="0006776E"/>
    <w:rsid w:val="000715BD"/>
    <w:rsid w:val="00071EB9"/>
    <w:rsid w:val="00072C99"/>
    <w:rsid w:val="00072E8A"/>
    <w:rsid w:val="00073624"/>
    <w:rsid w:val="00075E21"/>
    <w:rsid w:val="00075E59"/>
    <w:rsid w:val="00080A73"/>
    <w:rsid w:val="00080E7B"/>
    <w:rsid w:val="000816C5"/>
    <w:rsid w:val="00083B5C"/>
    <w:rsid w:val="00084198"/>
    <w:rsid w:val="00084B36"/>
    <w:rsid w:val="00085A2B"/>
    <w:rsid w:val="000861A8"/>
    <w:rsid w:val="0008637D"/>
    <w:rsid w:val="000915AB"/>
    <w:rsid w:val="00092337"/>
    <w:rsid w:val="00093F5C"/>
    <w:rsid w:val="000941E8"/>
    <w:rsid w:val="0009483B"/>
    <w:rsid w:val="00096F01"/>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4BDB"/>
    <w:rsid w:val="000D6392"/>
    <w:rsid w:val="000D783C"/>
    <w:rsid w:val="000E0864"/>
    <w:rsid w:val="000E0EAC"/>
    <w:rsid w:val="000E11B6"/>
    <w:rsid w:val="000E121E"/>
    <w:rsid w:val="000E22F1"/>
    <w:rsid w:val="000E3D3D"/>
    <w:rsid w:val="000E680A"/>
    <w:rsid w:val="000E723A"/>
    <w:rsid w:val="000F159A"/>
    <w:rsid w:val="000F2706"/>
    <w:rsid w:val="000F2962"/>
    <w:rsid w:val="000F381A"/>
    <w:rsid w:val="000F4271"/>
    <w:rsid w:val="000F49A4"/>
    <w:rsid w:val="000F5289"/>
    <w:rsid w:val="000F5E38"/>
    <w:rsid w:val="000F62A2"/>
    <w:rsid w:val="000F692D"/>
    <w:rsid w:val="0010025E"/>
    <w:rsid w:val="00100761"/>
    <w:rsid w:val="00100BB1"/>
    <w:rsid w:val="001012C4"/>
    <w:rsid w:val="00102850"/>
    <w:rsid w:val="00103B78"/>
    <w:rsid w:val="00104B70"/>
    <w:rsid w:val="00105706"/>
    <w:rsid w:val="001060D0"/>
    <w:rsid w:val="0010618F"/>
    <w:rsid w:val="00106202"/>
    <w:rsid w:val="001063FC"/>
    <w:rsid w:val="00107BCC"/>
    <w:rsid w:val="00107FF8"/>
    <w:rsid w:val="001103C7"/>
    <w:rsid w:val="00110897"/>
    <w:rsid w:val="001118AC"/>
    <w:rsid w:val="001119A1"/>
    <w:rsid w:val="00113C2E"/>
    <w:rsid w:val="00113EA6"/>
    <w:rsid w:val="00114FC3"/>
    <w:rsid w:val="00115492"/>
    <w:rsid w:val="00116397"/>
    <w:rsid w:val="00116963"/>
    <w:rsid w:val="00117C67"/>
    <w:rsid w:val="00120819"/>
    <w:rsid w:val="001210A1"/>
    <w:rsid w:val="00121B0A"/>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24AA"/>
    <w:rsid w:val="00133616"/>
    <w:rsid w:val="00133A31"/>
    <w:rsid w:val="00134171"/>
    <w:rsid w:val="00134D73"/>
    <w:rsid w:val="001351D5"/>
    <w:rsid w:val="00136ADC"/>
    <w:rsid w:val="0013727F"/>
    <w:rsid w:val="00137616"/>
    <w:rsid w:val="001377FD"/>
    <w:rsid w:val="00137A4C"/>
    <w:rsid w:val="00140798"/>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5C7"/>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3257"/>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79D"/>
    <w:rsid w:val="001B6CAE"/>
    <w:rsid w:val="001C0623"/>
    <w:rsid w:val="001C2B7B"/>
    <w:rsid w:val="001C3257"/>
    <w:rsid w:val="001C33DC"/>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294A"/>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966"/>
    <w:rsid w:val="002B00B4"/>
    <w:rsid w:val="002B0571"/>
    <w:rsid w:val="002B0AE2"/>
    <w:rsid w:val="002B226F"/>
    <w:rsid w:val="002B2BDC"/>
    <w:rsid w:val="002B3794"/>
    <w:rsid w:val="002B4785"/>
    <w:rsid w:val="002B50FE"/>
    <w:rsid w:val="002B6776"/>
    <w:rsid w:val="002B779D"/>
    <w:rsid w:val="002C0577"/>
    <w:rsid w:val="002C1501"/>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2B"/>
    <w:rsid w:val="002D5288"/>
    <w:rsid w:val="002D58EB"/>
    <w:rsid w:val="002D6A7D"/>
    <w:rsid w:val="002D7754"/>
    <w:rsid w:val="002D7DA8"/>
    <w:rsid w:val="002E0319"/>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4F6"/>
    <w:rsid w:val="00305BEC"/>
    <w:rsid w:val="00305ED2"/>
    <w:rsid w:val="00306668"/>
    <w:rsid w:val="00306680"/>
    <w:rsid w:val="00307413"/>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2F6A"/>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2F9B"/>
    <w:rsid w:val="00393315"/>
    <w:rsid w:val="003937B2"/>
    <w:rsid w:val="00393C41"/>
    <w:rsid w:val="00395611"/>
    <w:rsid w:val="00395D3B"/>
    <w:rsid w:val="003977B2"/>
    <w:rsid w:val="00397E10"/>
    <w:rsid w:val="003A0707"/>
    <w:rsid w:val="003A09E2"/>
    <w:rsid w:val="003A0C53"/>
    <w:rsid w:val="003A0E86"/>
    <w:rsid w:val="003A0ECC"/>
    <w:rsid w:val="003A0F50"/>
    <w:rsid w:val="003A19F2"/>
    <w:rsid w:val="003A2CAF"/>
    <w:rsid w:val="003A33A5"/>
    <w:rsid w:val="003A4229"/>
    <w:rsid w:val="003A5140"/>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36F6"/>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0E15"/>
    <w:rsid w:val="00471B89"/>
    <w:rsid w:val="004724D5"/>
    <w:rsid w:val="00472EF8"/>
    <w:rsid w:val="00473648"/>
    <w:rsid w:val="00474B88"/>
    <w:rsid w:val="00474FBA"/>
    <w:rsid w:val="004752EA"/>
    <w:rsid w:val="004758C0"/>
    <w:rsid w:val="00475D00"/>
    <w:rsid w:val="004765C9"/>
    <w:rsid w:val="00477B37"/>
    <w:rsid w:val="0048011F"/>
    <w:rsid w:val="0048197A"/>
    <w:rsid w:val="00482258"/>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B7D90"/>
    <w:rsid w:val="004C0612"/>
    <w:rsid w:val="004C16AC"/>
    <w:rsid w:val="004C280A"/>
    <w:rsid w:val="004C2BE4"/>
    <w:rsid w:val="004C5367"/>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0FA4"/>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0D18"/>
    <w:rsid w:val="005216BE"/>
    <w:rsid w:val="00523B38"/>
    <w:rsid w:val="00523CB0"/>
    <w:rsid w:val="005242EE"/>
    <w:rsid w:val="00524421"/>
    <w:rsid w:val="00525C18"/>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4697F"/>
    <w:rsid w:val="00546FD2"/>
    <w:rsid w:val="00552D94"/>
    <w:rsid w:val="00553952"/>
    <w:rsid w:val="00553D8C"/>
    <w:rsid w:val="005545F9"/>
    <w:rsid w:val="005562F4"/>
    <w:rsid w:val="00556956"/>
    <w:rsid w:val="005606BF"/>
    <w:rsid w:val="0056244F"/>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173"/>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6BF5"/>
    <w:rsid w:val="00667AE0"/>
    <w:rsid w:val="00667D71"/>
    <w:rsid w:val="0067110F"/>
    <w:rsid w:val="006712DB"/>
    <w:rsid w:val="006712DF"/>
    <w:rsid w:val="00671B72"/>
    <w:rsid w:val="00671BAC"/>
    <w:rsid w:val="00672AA5"/>
    <w:rsid w:val="00673716"/>
    <w:rsid w:val="0067437C"/>
    <w:rsid w:val="00674E2D"/>
    <w:rsid w:val="0067504F"/>
    <w:rsid w:val="006758D6"/>
    <w:rsid w:val="00675C7C"/>
    <w:rsid w:val="00675DE4"/>
    <w:rsid w:val="00676B07"/>
    <w:rsid w:val="00677699"/>
    <w:rsid w:val="00677B0A"/>
    <w:rsid w:val="006804F1"/>
    <w:rsid w:val="00682C95"/>
    <w:rsid w:val="00683FA8"/>
    <w:rsid w:val="00684611"/>
    <w:rsid w:val="00684658"/>
    <w:rsid w:val="00684C45"/>
    <w:rsid w:val="00684CF7"/>
    <w:rsid w:val="00684FF3"/>
    <w:rsid w:val="00685425"/>
    <w:rsid w:val="00685546"/>
    <w:rsid w:val="006855A0"/>
    <w:rsid w:val="00690237"/>
    <w:rsid w:val="006902CA"/>
    <w:rsid w:val="0069055B"/>
    <w:rsid w:val="00690981"/>
    <w:rsid w:val="0069335E"/>
    <w:rsid w:val="00693929"/>
    <w:rsid w:val="00693DC7"/>
    <w:rsid w:val="00695816"/>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82F"/>
    <w:rsid w:val="006A6FFC"/>
    <w:rsid w:val="006A7E23"/>
    <w:rsid w:val="006B0BC3"/>
    <w:rsid w:val="006B0C02"/>
    <w:rsid w:val="006B1090"/>
    <w:rsid w:val="006B19ED"/>
    <w:rsid w:val="006B1FA1"/>
    <w:rsid w:val="006B3962"/>
    <w:rsid w:val="006B5D9E"/>
    <w:rsid w:val="006B5E16"/>
    <w:rsid w:val="006B77E1"/>
    <w:rsid w:val="006C1585"/>
    <w:rsid w:val="006C17F9"/>
    <w:rsid w:val="006C3067"/>
    <w:rsid w:val="006C3ADA"/>
    <w:rsid w:val="006C4B9F"/>
    <w:rsid w:val="006C5854"/>
    <w:rsid w:val="006C68DD"/>
    <w:rsid w:val="006C7B6B"/>
    <w:rsid w:val="006D05D3"/>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30D7"/>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2A18"/>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677"/>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00"/>
    <w:rsid w:val="007E1650"/>
    <w:rsid w:val="007E1B92"/>
    <w:rsid w:val="007E2A55"/>
    <w:rsid w:val="007E3CE5"/>
    <w:rsid w:val="007E4560"/>
    <w:rsid w:val="007E45E6"/>
    <w:rsid w:val="007E54B7"/>
    <w:rsid w:val="007E5E7C"/>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0EC6"/>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3F1F"/>
    <w:rsid w:val="0088453D"/>
    <w:rsid w:val="00884750"/>
    <w:rsid w:val="008849EA"/>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BFD"/>
    <w:rsid w:val="008F6C57"/>
    <w:rsid w:val="008F7F3A"/>
    <w:rsid w:val="009019F0"/>
    <w:rsid w:val="00901C5F"/>
    <w:rsid w:val="009029D3"/>
    <w:rsid w:val="00902BAF"/>
    <w:rsid w:val="00902E0C"/>
    <w:rsid w:val="00903064"/>
    <w:rsid w:val="00903CAF"/>
    <w:rsid w:val="00904357"/>
    <w:rsid w:val="0090492E"/>
    <w:rsid w:val="009051C7"/>
    <w:rsid w:val="009068AD"/>
    <w:rsid w:val="00906DD7"/>
    <w:rsid w:val="0090760E"/>
    <w:rsid w:val="009102CD"/>
    <w:rsid w:val="009106E1"/>
    <w:rsid w:val="00910F3B"/>
    <w:rsid w:val="00911655"/>
    <w:rsid w:val="00912018"/>
    <w:rsid w:val="00913178"/>
    <w:rsid w:val="00914B0A"/>
    <w:rsid w:val="00915DA2"/>
    <w:rsid w:val="00916459"/>
    <w:rsid w:val="0091742B"/>
    <w:rsid w:val="00920FCA"/>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205"/>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5B64"/>
    <w:rsid w:val="009A60B5"/>
    <w:rsid w:val="009A62F0"/>
    <w:rsid w:val="009A62F8"/>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2C1"/>
    <w:rsid w:val="00A6636F"/>
    <w:rsid w:val="00A6686A"/>
    <w:rsid w:val="00A66964"/>
    <w:rsid w:val="00A66C14"/>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2394"/>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431B"/>
    <w:rsid w:val="00AD4CC4"/>
    <w:rsid w:val="00AD5CC2"/>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4D10"/>
    <w:rsid w:val="00B17478"/>
    <w:rsid w:val="00B2137D"/>
    <w:rsid w:val="00B21709"/>
    <w:rsid w:val="00B21979"/>
    <w:rsid w:val="00B224A5"/>
    <w:rsid w:val="00B225AE"/>
    <w:rsid w:val="00B22878"/>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288F"/>
    <w:rsid w:val="00B4307E"/>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21D1"/>
    <w:rsid w:val="00BB2742"/>
    <w:rsid w:val="00BB48B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6C1A"/>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3F54"/>
    <w:rsid w:val="00BE4161"/>
    <w:rsid w:val="00BE5C45"/>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2F5A"/>
    <w:rsid w:val="00C04269"/>
    <w:rsid w:val="00C04875"/>
    <w:rsid w:val="00C0488A"/>
    <w:rsid w:val="00C054A4"/>
    <w:rsid w:val="00C058C5"/>
    <w:rsid w:val="00C05B27"/>
    <w:rsid w:val="00C06330"/>
    <w:rsid w:val="00C06CD1"/>
    <w:rsid w:val="00C06F92"/>
    <w:rsid w:val="00C10C6A"/>
    <w:rsid w:val="00C10D58"/>
    <w:rsid w:val="00C159ED"/>
    <w:rsid w:val="00C17912"/>
    <w:rsid w:val="00C20634"/>
    <w:rsid w:val="00C21FEC"/>
    <w:rsid w:val="00C2207E"/>
    <w:rsid w:val="00C22964"/>
    <w:rsid w:val="00C22CBA"/>
    <w:rsid w:val="00C22E32"/>
    <w:rsid w:val="00C2307C"/>
    <w:rsid w:val="00C23F65"/>
    <w:rsid w:val="00C24532"/>
    <w:rsid w:val="00C2465B"/>
    <w:rsid w:val="00C24AF7"/>
    <w:rsid w:val="00C26001"/>
    <w:rsid w:val="00C2771E"/>
    <w:rsid w:val="00C27C8C"/>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50B34"/>
    <w:rsid w:val="00C51E52"/>
    <w:rsid w:val="00C52FC8"/>
    <w:rsid w:val="00C53816"/>
    <w:rsid w:val="00C53C6F"/>
    <w:rsid w:val="00C55010"/>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32C"/>
    <w:rsid w:val="00C80F07"/>
    <w:rsid w:val="00C8161B"/>
    <w:rsid w:val="00C824B8"/>
    <w:rsid w:val="00C82878"/>
    <w:rsid w:val="00C83BA0"/>
    <w:rsid w:val="00C861F4"/>
    <w:rsid w:val="00C87801"/>
    <w:rsid w:val="00C87922"/>
    <w:rsid w:val="00C87EC7"/>
    <w:rsid w:val="00C9305C"/>
    <w:rsid w:val="00C94F91"/>
    <w:rsid w:val="00C9538D"/>
    <w:rsid w:val="00C96555"/>
    <w:rsid w:val="00C97083"/>
    <w:rsid w:val="00C97189"/>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494F"/>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3DDC"/>
    <w:rsid w:val="00D04011"/>
    <w:rsid w:val="00D04756"/>
    <w:rsid w:val="00D04CE6"/>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50BC"/>
    <w:rsid w:val="00D25315"/>
    <w:rsid w:val="00D255F7"/>
    <w:rsid w:val="00D266CC"/>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80A7E"/>
    <w:rsid w:val="00D80E3C"/>
    <w:rsid w:val="00D81390"/>
    <w:rsid w:val="00D81979"/>
    <w:rsid w:val="00D82291"/>
    <w:rsid w:val="00D829BA"/>
    <w:rsid w:val="00D82EB2"/>
    <w:rsid w:val="00D83921"/>
    <w:rsid w:val="00D849EC"/>
    <w:rsid w:val="00D84E78"/>
    <w:rsid w:val="00D84EAF"/>
    <w:rsid w:val="00D85A3E"/>
    <w:rsid w:val="00D869A2"/>
    <w:rsid w:val="00D9119E"/>
    <w:rsid w:val="00D915A9"/>
    <w:rsid w:val="00D91D4F"/>
    <w:rsid w:val="00D923E0"/>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291"/>
    <w:rsid w:val="00DE44DE"/>
    <w:rsid w:val="00DE491B"/>
    <w:rsid w:val="00DE4CC5"/>
    <w:rsid w:val="00DE537F"/>
    <w:rsid w:val="00DE5C3F"/>
    <w:rsid w:val="00DE633D"/>
    <w:rsid w:val="00DE6783"/>
    <w:rsid w:val="00DF0395"/>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7E7"/>
    <w:rsid w:val="00E317FB"/>
    <w:rsid w:val="00E32413"/>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551D"/>
    <w:rsid w:val="00E7594E"/>
    <w:rsid w:val="00E76ABD"/>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7534"/>
    <w:rsid w:val="00EC06B7"/>
    <w:rsid w:val="00EC0BB8"/>
    <w:rsid w:val="00EC1072"/>
    <w:rsid w:val="00EC139E"/>
    <w:rsid w:val="00EC2F92"/>
    <w:rsid w:val="00EC35A2"/>
    <w:rsid w:val="00EC3E07"/>
    <w:rsid w:val="00EC4F5D"/>
    <w:rsid w:val="00EC5D7B"/>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263F"/>
    <w:rsid w:val="00EE281E"/>
    <w:rsid w:val="00EE29BF"/>
    <w:rsid w:val="00EE2F86"/>
    <w:rsid w:val="00EE3637"/>
    <w:rsid w:val="00EE4103"/>
    <w:rsid w:val="00EE48C1"/>
    <w:rsid w:val="00EE4DA6"/>
    <w:rsid w:val="00EE50CB"/>
    <w:rsid w:val="00EE5677"/>
    <w:rsid w:val="00EE56C2"/>
    <w:rsid w:val="00EE56EA"/>
    <w:rsid w:val="00EE59B0"/>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D18"/>
    <w:rsid w:val="00EF6AC8"/>
    <w:rsid w:val="00EF7BDB"/>
    <w:rsid w:val="00F004A9"/>
    <w:rsid w:val="00F00990"/>
    <w:rsid w:val="00F016B5"/>
    <w:rsid w:val="00F01758"/>
    <w:rsid w:val="00F01F8F"/>
    <w:rsid w:val="00F043CC"/>
    <w:rsid w:val="00F045EE"/>
    <w:rsid w:val="00F0503F"/>
    <w:rsid w:val="00F053F8"/>
    <w:rsid w:val="00F06771"/>
    <w:rsid w:val="00F0689F"/>
    <w:rsid w:val="00F07286"/>
    <w:rsid w:val="00F1051E"/>
    <w:rsid w:val="00F11EDB"/>
    <w:rsid w:val="00F12FAE"/>
    <w:rsid w:val="00F14591"/>
    <w:rsid w:val="00F15BC0"/>
    <w:rsid w:val="00F1726C"/>
    <w:rsid w:val="00F176B4"/>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2A8"/>
    <w:rsid w:val="00F72DB1"/>
    <w:rsid w:val="00F73627"/>
    <w:rsid w:val="00F74625"/>
    <w:rsid w:val="00F74B91"/>
    <w:rsid w:val="00F74BDC"/>
    <w:rsid w:val="00F7706D"/>
    <w:rsid w:val="00F8010F"/>
    <w:rsid w:val="00F8082F"/>
    <w:rsid w:val="00F81959"/>
    <w:rsid w:val="00F82018"/>
    <w:rsid w:val="00F8236C"/>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59F5"/>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CCF"/>
    <w:rsid w:val="00FC5DBC"/>
    <w:rsid w:val="00FC690A"/>
    <w:rsid w:val="00FC6EEE"/>
    <w:rsid w:val="00FC6FB0"/>
    <w:rsid w:val="00FC7545"/>
    <w:rsid w:val="00FC7B23"/>
    <w:rsid w:val="00FD0D99"/>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2AD"/>
    <w:rsid w:val="00FF16FC"/>
    <w:rsid w:val="00FF17DE"/>
    <w:rsid w:val="00FF29CE"/>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D18"/>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7709</Characters>
  <Application>Microsoft Office Word</Application>
  <DocSecurity>0</DocSecurity>
  <Lines>1284</Lines>
  <Paragraphs>356</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2024-05-02T11:41:00Z</cp:lastPrinted>
  <dcterms:created xsi:type="dcterms:W3CDTF">2024-05-16T14:01:00Z</dcterms:created>
  <dcterms:modified xsi:type="dcterms:W3CDTF">2024-05-16T14:01:00Z</dcterms:modified>
</cp:coreProperties>
</file>