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C86" w:rsidRPr="0034246D" w:rsidRDefault="00A51C86" w:rsidP="00A51C86">
      <w:pPr>
        <w:pStyle w:val="RubrikSammanf"/>
      </w:pPr>
      <w:bookmarkStart w:id="0" w:name="_Toc495051497"/>
      <w:bookmarkStart w:id="1" w:name="_Toc495051498"/>
      <w:bookmarkStart w:id="2" w:name="_Toc83901799"/>
      <w:r w:rsidRPr="0034246D">
        <w:t>Sammanfattning</w:t>
      </w:r>
      <w:bookmarkEnd w:id="2"/>
    </w:p>
    <w:p w:rsidR="00A51C86" w:rsidRPr="0034246D" w:rsidRDefault="00A51C86" w:rsidP="00A51C86">
      <w:pPr>
        <w:rPr>
          <w:snapToGrid w:val="0"/>
        </w:rPr>
      </w:pPr>
      <w:r w:rsidRPr="0034246D">
        <w:t xml:space="preserve">Kristdemokraternas </w:t>
      </w:r>
      <w:r w:rsidRPr="0034246D">
        <w:rPr>
          <w:snapToGrid w:val="0"/>
        </w:rPr>
        <w:t>kritik mot fastighetsbeskattningen tar sin utgångspunkt i övertygelsen att alla skatter måste vara begripliga och rättvisa. Skatter måste kunna förstås och de måste vara legitima. Skattemoral handlar inte bara om skattebetalares ansvar utan också om statsmakternas ansvar att skattelagstif</w:t>
      </w:r>
      <w:r w:rsidRPr="0034246D">
        <w:rPr>
          <w:snapToGrid w:val="0"/>
        </w:rPr>
        <w:t>t</w:t>
      </w:r>
      <w:r w:rsidRPr="0034246D">
        <w:rPr>
          <w:snapToGrid w:val="0"/>
        </w:rPr>
        <w:t>ning inte går emot mänskliga fri- och rättigheter eller förhindrar medborgare att förverkliga grundläggande etiska värden. Alla skatter måste således prövas utifrån etiska värden, eftersom även skatter kan vara oetiska till sin konstru</w:t>
      </w:r>
      <w:r w:rsidRPr="0034246D">
        <w:rPr>
          <w:snapToGrid w:val="0"/>
        </w:rPr>
        <w:t>k</w:t>
      </w:r>
      <w:r w:rsidRPr="0034246D">
        <w:rPr>
          <w:snapToGrid w:val="0"/>
        </w:rPr>
        <w:t>tion och sina effekter. Vi menar att den statliga fastighetsskatten genom sin nuvarande konstruktion kommer i konflikt med såväl äganderätten</w:t>
      </w:r>
      <w:r w:rsidRPr="0034246D">
        <w:rPr>
          <w:i/>
          <w:snapToGrid w:val="0"/>
        </w:rPr>
        <w:t xml:space="preserve"> </w:t>
      </w:r>
      <w:r w:rsidRPr="0034246D">
        <w:rPr>
          <w:snapToGrid w:val="0"/>
        </w:rPr>
        <w:t>som den social- och skatterättsliga principen om skatt efter bärkraft. Den samlade fastighetsbeskattningen försvårar eller förhindrar även medborgares frihet och plikt att ta ansvar för sig själva och sina familjer genom boendet. Den statliga fastighetsskatten kan inte heller motiveras utifrån intresseprincipen, eftersom det inte finns någon som helst koppling mellan å ena sidan den skatt man tvingas betala och å andra sidan någon form av förmån eller nyttighet man har som fastighetsägare.</w:t>
      </w:r>
      <w:r w:rsidR="008F7D74" w:rsidRPr="0034246D">
        <w:rPr>
          <w:snapToGrid w:val="0"/>
        </w:rPr>
        <w:t xml:space="preserve"> </w:t>
      </w:r>
      <w:r w:rsidRPr="0034246D">
        <w:rPr>
          <w:snapToGrid w:val="0"/>
        </w:rPr>
        <w:t>Den nuvarande konstruktionen är också svårmotiverad även om man skulle acceptera</w:t>
      </w:r>
      <w:r w:rsidR="008F7D74" w:rsidRPr="0034246D">
        <w:rPr>
          <w:snapToGrid w:val="0"/>
        </w:rPr>
        <w:t xml:space="preserve"> </w:t>
      </w:r>
      <w:r w:rsidRPr="0034246D">
        <w:rPr>
          <w:snapToGrid w:val="0"/>
        </w:rPr>
        <w:t>kapitalinkomstperspektivet. Någon utvecklad logik med att beskatta boende både</w:t>
      </w:r>
      <w:r w:rsidRPr="0034246D">
        <w:rPr>
          <w:i/>
          <w:snapToGrid w:val="0"/>
        </w:rPr>
        <w:t xml:space="preserve"> </w:t>
      </w:r>
      <w:r w:rsidRPr="0034246D">
        <w:rPr>
          <w:snapToGrid w:val="0"/>
        </w:rPr>
        <w:t>som kapital och konsumtion finns heller inte.</w:t>
      </w:r>
    </w:p>
    <w:p w:rsidR="00A51C86" w:rsidRPr="0034246D" w:rsidRDefault="00A51C86" w:rsidP="00A51C86">
      <w:pPr>
        <w:pStyle w:val="Normaltindrag"/>
        <w:rPr>
          <w:snapToGrid w:val="0"/>
        </w:rPr>
      </w:pPr>
      <w:r w:rsidRPr="0034246D">
        <w:rPr>
          <w:snapToGrid w:val="0"/>
        </w:rPr>
        <w:t>Kristdemokraterna föreslår därför att den statliga fastighetsskatten slopas helt för småhus (egna hem) och bostadshyreshus (hyresrätter och bostadsrätt</w:t>
      </w:r>
      <w:r w:rsidRPr="0034246D">
        <w:rPr>
          <w:snapToGrid w:val="0"/>
        </w:rPr>
        <w:t>s</w:t>
      </w:r>
      <w:r w:rsidRPr="0034246D">
        <w:rPr>
          <w:snapToGrid w:val="0"/>
        </w:rPr>
        <w:t>föreningar), kommersiella lokaler och industrienheter. Kommunerna ges rätt att ta ut en fast avgift per småhus, per bostadslägenhet samt per kvadratmeter lokalyta för kommersiella lokaler och industrienheter. Den totala kommunala avgiften får inte överstiga kommunernas självkostnader för gator/vägar och parkering, räddningstjänst samt fysisk planering. Avgiften per småhus</w:t>
      </w:r>
      <w:r w:rsidR="00C46E26" w:rsidRPr="0034246D">
        <w:rPr>
          <w:snapToGrid w:val="0"/>
        </w:rPr>
        <w:t>enhet får maximalt uppgå till 2 </w:t>
      </w:r>
      <w:r w:rsidR="00605E49" w:rsidRPr="0034246D">
        <w:rPr>
          <w:snapToGrid w:val="0"/>
        </w:rPr>
        <w:t>8</w:t>
      </w:r>
      <w:r w:rsidRPr="0034246D">
        <w:rPr>
          <w:snapToGrid w:val="0"/>
        </w:rPr>
        <w:t xml:space="preserve">00 kronor per år, avgiften per bostadslägenhet får maximalt uppgå </w:t>
      </w:r>
      <w:r w:rsidR="00C46E26" w:rsidRPr="0034246D">
        <w:rPr>
          <w:snapToGrid w:val="0"/>
        </w:rPr>
        <w:t xml:space="preserve">till </w:t>
      </w:r>
      <w:r w:rsidR="00605E49" w:rsidRPr="0034246D">
        <w:rPr>
          <w:snapToGrid w:val="0"/>
        </w:rPr>
        <w:t xml:space="preserve">900 </w:t>
      </w:r>
      <w:r w:rsidRPr="0034246D">
        <w:rPr>
          <w:snapToGrid w:val="0"/>
        </w:rPr>
        <w:t>kronor per år, avgiften för kommersiella lokaler får maximalt uppgå till 63 kronor per kvadratmeter per år och avgiften för ind</w:t>
      </w:r>
      <w:r w:rsidRPr="0034246D">
        <w:rPr>
          <w:snapToGrid w:val="0"/>
        </w:rPr>
        <w:t>u</w:t>
      </w:r>
      <w:r w:rsidRPr="0034246D">
        <w:rPr>
          <w:snapToGrid w:val="0"/>
        </w:rPr>
        <w:t>strienheter får maximalt uppgå till 17 kronor per kvadratmeter per år. Re</w:t>
      </w:r>
      <w:r w:rsidRPr="0034246D">
        <w:rPr>
          <w:snapToGrid w:val="0"/>
        </w:rPr>
        <w:t>a</w:t>
      </w:r>
      <w:r w:rsidRPr="0034246D">
        <w:rPr>
          <w:snapToGrid w:val="0"/>
        </w:rPr>
        <w:t xml:space="preserve">vinstskatten vid försäljning av privatbostadsfastighet och bostadsrätt höjs till den generella nivån på 30 procent. </w:t>
      </w:r>
    </w:p>
    <w:p w:rsidR="00A51C86" w:rsidRPr="0034246D" w:rsidRDefault="00A51C86" w:rsidP="00885088">
      <w:pPr>
        <w:pStyle w:val="Rubrik1"/>
        <w:pageBreakBefore/>
        <w:spacing w:before="0"/>
      </w:pPr>
      <w:bookmarkStart w:id="3" w:name="_Toc83901800"/>
      <w:r w:rsidRPr="0034246D">
        <w:rPr>
          <w:snapToGrid w:val="0"/>
        </w:rPr>
        <w:lastRenderedPageBreak/>
        <w:t>Innehåll</w:t>
      </w:r>
      <w:bookmarkEnd w:id="3"/>
    </w:p>
    <w:p w:rsidR="00A51C86" w:rsidRPr="0034246D" w:rsidRDefault="00A51C86" w:rsidP="00885088">
      <w:pPr>
        <w:pStyle w:val="Innehll1"/>
        <w:tabs>
          <w:tab w:val="left" w:pos="380"/>
        </w:tabs>
      </w:pPr>
      <w:r w:rsidRPr="0034246D">
        <w:fldChar w:fldCharType="begin" w:fldLock="1"/>
      </w:r>
      <w:r w:rsidRPr="0034246D">
        <w:instrText xml:space="preserve"> TOC \o "1-3" </w:instrText>
      </w:r>
      <w:r w:rsidRPr="0034246D">
        <w:fldChar w:fldCharType="separate"/>
      </w:r>
      <w:r w:rsidRPr="0034246D">
        <w:t>1</w:t>
      </w:r>
      <w:r w:rsidRPr="0034246D">
        <w:tab/>
        <w:t>Sammanfattning</w:t>
      </w:r>
      <w:r w:rsidRPr="0034246D">
        <w:tab/>
      </w:r>
      <w:r w:rsidRPr="0034246D">
        <w:fldChar w:fldCharType="begin" w:fldLock="1"/>
      </w:r>
      <w:r w:rsidRPr="0034246D">
        <w:instrText xml:space="preserve"> PAGEREF _Toc83901799 \h </w:instrText>
      </w:r>
      <w:r w:rsidRPr="0034246D">
        <w:fldChar w:fldCharType="separate"/>
      </w:r>
      <w:r w:rsidR="0093458E" w:rsidRPr="0034246D">
        <w:t>1</w:t>
      </w:r>
      <w:r w:rsidRPr="0034246D">
        <w:fldChar w:fldCharType="end"/>
      </w:r>
    </w:p>
    <w:p w:rsidR="00A51C86" w:rsidRPr="0034246D" w:rsidRDefault="00A51C86" w:rsidP="00885088">
      <w:pPr>
        <w:pStyle w:val="Innehll1"/>
        <w:tabs>
          <w:tab w:val="left" w:pos="380"/>
        </w:tabs>
      </w:pPr>
      <w:r w:rsidRPr="0034246D">
        <w:rPr>
          <w:snapToGrid w:val="0"/>
        </w:rPr>
        <w:t>2</w:t>
      </w:r>
      <w:r w:rsidRPr="0034246D">
        <w:tab/>
      </w:r>
      <w:r w:rsidRPr="0034246D">
        <w:rPr>
          <w:snapToGrid w:val="0"/>
        </w:rPr>
        <w:t>Inne</w:t>
      </w:r>
      <w:r w:rsidRPr="0034246D">
        <w:t>håll</w:t>
      </w:r>
      <w:r w:rsidRPr="0034246D">
        <w:tab/>
      </w:r>
      <w:r w:rsidRPr="0034246D">
        <w:fldChar w:fldCharType="begin" w:fldLock="1"/>
      </w:r>
      <w:r w:rsidRPr="0034246D">
        <w:instrText xml:space="preserve"> PAGEREF _Toc83901800 \h </w:instrText>
      </w:r>
      <w:r w:rsidRPr="0034246D">
        <w:fldChar w:fldCharType="separate"/>
      </w:r>
      <w:r w:rsidR="0093458E" w:rsidRPr="0034246D">
        <w:t>2</w:t>
      </w:r>
      <w:r w:rsidRPr="0034246D">
        <w:fldChar w:fldCharType="end"/>
      </w:r>
    </w:p>
    <w:p w:rsidR="00A51C86" w:rsidRPr="0034246D" w:rsidRDefault="00A51C86" w:rsidP="00885088">
      <w:pPr>
        <w:pStyle w:val="Innehll1"/>
        <w:tabs>
          <w:tab w:val="left" w:pos="380"/>
        </w:tabs>
      </w:pPr>
      <w:r w:rsidRPr="0034246D">
        <w:t>3</w:t>
      </w:r>
      <w:r w:rsidRPr="0034246D">
        <w:tab/>
        <w:t>Förslag till riksdagsbeslut</w:t>
      </w:r>
      <w:r w:rsidRPr="0034246D">
        <w:tab/>
      </w:r>
      <w:r w:rsidRPr="0034246D">
        <w:fldChar w:fldCharType="begin" w:fldLock="1"/>
      </w:r>
      <w:r w:rsidRPr="0034246D">
        <w:instrText xml:space="preserve"> PAGEREF _Toc83901801 \h </w:instrText>
      </w:r>
      <w:r w:rsidRPr="0034246D">
        <w:fldChar w:fldCharType="separate"/>
      </w:r>
      <w:r w:rsidR="0093458E" w:rsidRPr="0034246D">
        <w:t>3</w:t>
      </w:r>
      <w:r w:rsidRPr="0034246D">
        <w:fldChar w:fldCharType="end"/>
      </w:r>
    </w:p>
    <w:p w:rsidR="00A51C86" w:rsidRPr="0034246D" w:rsidRDefault="00A51C86" w:rsidP="00885088">
      <w:pPr>
        <w:pStyle w:val="Innehll1"/>
        <w:tabs>
          <w:tab w:val="left" w:pos="380"/>
        </w:tabs>
      </w:pPr>
      <w:r w:rsidRPr="0034246D">
        <w:t>4</w:t>
      </w:r>
      <w:r w:rsidRPr="0034246D">
        <w:tab/>
        <w:t>Bakgrund</w:t>
      </w:r>
      <w:r w:rsidRPr="0034246D">
        <w:tab/>
      </w:r>
      <w:r w:rsidRPr="0034246D">
        <w:fldChar w:fldCharType="begin" w:fldLock="1"/>
      </w:r>
      <w:r w:rsidRPr="0034246D">
        <w:instrText xml:space="preserve"> PAGEREF _Toc83901802 \h </w:instrText>
      </w:r>
      <w:r w:rsidRPr="0034246D">
        <w:fldChar w:fldCharType="separate"/>
      </w:r>
      <w:r w:rsidR="0093458E" w:rsidRPr="0034246D">
        <w:t>3</w:t>
      </w:r>
      <w:r w:rsidRPr="0034246D">
        <w:fldChar w:fldCharType="end"/>
      </w:r>
    </w:p>
    <w:p w:rsidR="00A51C86" w:rsidRPr="0034246D" w:rsidRDefault="00A51C86" w:rsidP="00885088">
      <w:pPr>
        <w:pStyle w:val="Innehll1"/>
        <w:tabs>
          <w:tab w:val="left" w:pos="380"/>
        </w:tabs>
      </w:pPr>
      <w:r w:rsidRPr="0034246D">
        <w:t>5</w:t>
      </w:r>
      <w:r w:rsidRPr="0034246D">
        <w:tab/>
        <w:t>Löpand</w:t>
      </w:r>
      <w:r w:rsidRPr="0034246D">
        <w:rPr>
          <w:snapToGrid w:val="0"/>
        </w:rPr>
        <w:t>e fastighetsbeskattning är principiellt felaktig</w:t>
      </w:r>
      <w:r w:rsidRPr="0034246D">
        <w:tab/>
      </w:r>
      <w:r w:rsidRPr="0034246D">
        <w:fldChar w:fldCharType="begin" w:fldLock="1"/>
      </w:r>
      <w:r w:rsidRPr="0034246D">
        <w:instrText xml:space="preserve"> PAGEREF _Toc83901803 \h </w:instrText>
      </w:r>
      <w:r w:rsidRPr="0034246D">
        <w:fldChar w:fldCharType="separate"/>
      </w:r>
      <w:r w:rsidR="0093458E" w:rsidRPr="0034246D">
        <w:t>4</w:t>
      </w:r>
      <w:r w:rsidRPr="0034246D">
        <w:fldChar w:fldCharType="end"/>
      </w:r>
    </w:p>
    <w:p w:rsidR="00A51C86" w:rsidRPr="0034246D" w:rsidRDefault="00A51C86" w:rsidP="00885088">
      <w:pPr>
        <w:pStyle w:val="Innehll2"/>
        <w:tabs>
          <w:tab w:val="left" w:pos="665"/>
        </w:tabs>
      </w:pPr>
      <w:r w:rsidRPr="0034246D">
        <w:rPr>
          <w:snapToGrid w:val="0"/>
        </w:rPr>
        <w:t>5.1</w:t>
      </w:r>
      <w:r w:rsidRPr="0034246D">
        <w:tab/>
      </w:r>
      <w:r w:rsidRPr="0034246D">
        <w:rPr>
          <w:snapToGrid w:val="0"/>
        </w:rPr>
        <w:t>Teorin bakom fastighetsskatten är inte konsistent</w:t>
      </w:r>
      <w:r w:rsidRPr="0034246D">
        <w:tab/>
      </w:r>
      <w:r w:rsidRPr="0034246D">
        <w:fldChar w:fldCharType="begin" w:fldLock="1"/>
      </w:r>
      <w:r w:rsidRPr="0034246D">
        <w:instrText xml:space="preserve"> PAGEREF _Toc83901804 \h </w:instrText>
      </w:r>
      <w:r w:rsidRPr="0034246D">
        <w:fldChar w:fldCharType="separate"/>
      </w:r>
      <w:r w:rsidR="0093458E" w:rsidRPr="0034246D">
        <w:t>4</w:t>
      </w:r>
      <w:r w:rsidRPr="0034246D">
        <w:fldChar w:fldCharType="end"/>
      </w:r>
    </w:p>
    <w:p w:rsidR="00A51C86" w:rsidRPr="0034246D" w:rsidRDefault="00A51C86" w:rsidP="00885088">
      <w:pPr>
        <w:pStyle w:val="Innehll2"/>
        <w:tabs>
          <w:tab w:val="left" w:pos="665"/>
        </w:tabs>
        <w:rPr>
          <w:snapToGrid w:val="0"/>
        </w:rPr>
      </w:pPr>
      <w:r w:rsidRPr="0034246D">
        <w:t>5.2</w:t>
      </w:r>
      <w:r w:rsidRPr="0034246D">
        <w:tab/>
        <w:t>Skattef</w:t>
      </w:r>
      <w:r w:rsidRPr="0034246D">
        <w:rPr>
          <w:snapToGrid w:val="0"/>
        </w:rPr>
        <w:t>örmågeprincipen i konflikt med fastighetsskatten</w:t>
      </w:r>
      <w:r w:rsidRPr="0034246D">
        <w:rPr>
          <w:snapToGrid w:val="0"/>
        </w:rPr>
        <w:tab/>
      </w:r>
      <w:r w:rsidRPr="0034246D">
        <w:rPr>
          <w:snapToGrid w:val="0"/>
        </w:rPr>
        <w:fldChar w:fldCharType="begin" w:fldLock="1"/>
      </w:r>
      <w:r w:rsidRPr="0034246D">
        <w:rPr>
          <w:snapToGrid w:val="0"/>
        </w:rPr>
        <w:instrText xml:space="preserve"> PAGEREF _Toc83901805 \h </w:instrText>
      </w:r>
      <w:r w:rsidRPr="0034246D">
        <w:rPr>
          <w:snapToGrid w:val="0"/>
        </w:rPr>
      </w:r>
      <w:r w:rsidRPr="0034246D">
        <w:rPr>
          <w:snapToGrid w:val="0"/>
        </w:rPr>
        <w:fldChar w:fldCharType="separate"/>
      </w:r>
      <w:r w:rsidR="0093458E" w:rsidRPr="0034246D">
        <w:rPr>
          <w:snapToGrid w:val="0"/>
        </w:rPr>
        <w:t>5</w:t>
      </w:r>
      <w:r w:rsidRPr="0034246D">
        <w:rPr>
          <w:snapToGrid w:val="0"/>
        </w:rPr>
        <w:fldChar w:fldCharType="end"/>
      </w:r>
    </w:p>
    <w:p w:rsidR="00A51C86" w:rsidRPr="0034246D" w:rsidRDefault="00A51C86" w:rsidP="00885088">
      <w:pPr>
        <w:pStyle w:val="Innehll2"/>
        <w:tabs>
          <w:tab w:val="left" w:pos="665"/>
        </w:tabs>
        <w:rPr>
          <w:snapToGrid w:val="0"/>
        </w:rPr>
      </w:pPr>
      <w:r w:rsidRPr="0034246D">
        <w:rPr>
          <w:snapToGrid w:val="0"/>
        </w:rPr>
        <w:t>5.3</w:t>
      </w:r>
      <w:r w:rsidRPr="0034246D">
        <w:rPr>
          <w:snapToGrid w:val="0"/>
        </w:rPr>
        <w:tab/>
        <w:t>Fastighetsskatten strider mot minsta-offer-principen</w:t>
      </w:r>
      <w:r w:rsidRPr="0034246D">
        <w:rPr>
          <w:snapToGrid w:val="0"/>
        </w:rPr>
        <w:tab/>
      </w:r>
      <w:r w:rsidRPr="0034246D">
        <w:rPr>
          <w:snapToGrid w:val="0"/>
        </w:rPr>
        <w:fldChar w:fldCharType="begin" w:fldLock="1"/>
      </w:r>
      <w:r w:rsidRPr="0034246D">
        <w:rPr>
          <w:snapToGrid w:val="0"/>
        </w:rPr>
        <w:instrText xml:space="preserve"> PAGEREF _Toc83901806 \h </w:instrText>
      </w:r>
      <w:r w:rsidRPr="0034246D">
        <w:rPr>
          <w:snapToGrid w:val="0"/>
        </w:rPr>
      </w:r>
      <w:r w:rsidRPr="0034246D">
        <w:rPr>
          <w:snapToGrid w:val="0"/>
        </w:rPr>
        <w:fldChar w:fldCharType="separate"/>
      </w:r>
      <w:r w:rsidR="0093458E" w:rsidRPr="0034246D">
        <w:rPr>
          <w:snapToGrid w:val="0"/>
        </w:rPr>
        <w:t>6</w:t>
      </w:r>
      <w:r w:rsidRPr="0034246D">
        <w:rPr>
          <w:snapToGrid w:val="0"/>
        </w:rPr>
        <w:fldChar w:fldCharType="end"/>
      </w:r>
    </w:p>
    <w:p w:rsidR="00A51C86" w:rsidRPr="0034246D" w:rsidRDefault="00A51C86" w:rsidP="00885088">
      <w:pPr>
        <w:pStyle w:val="Innehll2"/>
        <w:tabs>
          <w:tab w:val="left" w:pos="665"/>
        </w:tabs>
        <w:rPr>
          <w:snapToGrid w:val="0"/>
        </w:rPr>
      </w:pPr>
      <w:r w:rsidRPr="0034246D">
        <w:rPr>
          <w:snapToGrid w:val="0"/>
        </w:rPr>
        <w:t>5.4</w:t>
      </w:r>
      <w:r w:rsidRPr="0034246D">
        <w:rPr>
          <w:snapToGrid w:val="0"/>
        </w:rPr>
        <w:tab/>
        <w:t>Neutralitetsprincipen slås ut av fastighetsskatten</w:t>
      </w:r>
      <w:r w:rsidRPr="0034246D">
        <w:rPr>
          <w:snapToGrid w:val="0"/>
        </w:rPr>
        <w:tab/>
      </w:r>
      <w:r w:rsidRPr="0034246D">
        <w:rPr>
          <w:snapToGrid w:val="0"/>
        </w:rPr>
        <w:fldChar w:fldCharType="begin" w:fldLock="1"/>
      </w:r>
      <w:r w:rsidRPr="0034246D">
        <w:rPr>
          <w:snapToGrid w:val="0"/>
        </w:rPr>
        <w:instrText xml:space="preserve"> PAGEREF _Toc83901807 \h </w:instrText>
      </w:r>
      <w:r w:rsidRPr="0034246D">
        <w:rPr>
          <w:snapToGrid w:val="0"/>
        </w:rPr>
      </w:r>
      <w:r w:rsidRPr="0034246D">
        <w:rPr>
          <w:snapToGrid w:val="0"/>
        </w:rPr>
        <w:fldChar w:fldCharType="separate"/>
      </w:r>
      <w:r w:rsidR="0093458E" w:rsidRPr="0034246D">
        <w:rPr>
          <w:snapToGrid w:val="0"/>
        </w:rPr>
        <w:t>6</w:t>
      </w:r>
      <w:r w:rsidRPr="0034246D">
        <w:rPr>
          <w:snapToGrid w:val="0"/>
        </w:rPr>
        <w:fldChar w:fldCharType="end"/>
      </w:r>
    </w:p>
    <w:p w:rsidR="00A51C86" w:rsidRPr="0034246D" w:rsidRDefault="00A51C86" w:rsidP="00885088">
      <w:pPr>
        <w:pStyle w:val="Innehll2"/>
        <w:tabs>
          <w:tab w:val="left" w:pos="665"/>
        </w:tabs>
        <w:rPr>
          <w:snapToGrid w:val="0"/>
        </w:rPr>
      </w:pPr>
      <w:r w:rsidRPr="0034246D">
        <w:rPr>
          <w:snapToGrid w:val="0"/>
        </w:rPr>
        <w:t>5.5</w:t>
      </w:r>
      <w:r w:rsidRPr="0034246D">
        <w:rPr>
          <w:snapToGrid w:val="0"/>
        </w:rPr>
        <w:tab/>
        <w:t>Verklighetsfrämmande</w:t>
      </w:r>
      <w:r w:rsidRPr="0034246D">
        <w:rPr>
          <w:snapToGrid w:val="0"/>
        </w:rPr>
        <w:tab/>
      </w:r>
      <w:r w:rsidRPr="0034246D">
        <w:rPr>
          <w:snapToGrid w:val="0"/>
        </w:rPr>
        <w:fldChar w:fldCharType="begin" w:fldLock="1"/>
      </w:r>
      <w:r w:rsidRPr="0034246D">
        <w:rPr>
          <w:snapToGrid w:val="0"/>
        </w:rPr>
        <w:instrText xml:space="preserve"> PAGEREF _Toc83901808 \h </w:instrText>
      </w:r>
      <w:r w:rsidRPr="0034246D">
        <w:rPr>
          <w:snapToGrid w:val="0"/>
        </w:rPr>
      </w:r>
      <w:r w:rsidRPr="0034246D">
        <w:rPr>
          <w:snapToGrid w:val="0"/>
        </w:rPr>
        <w:fldChar w:fldCharType="separate"/>
      </w:r>
      <w:r w:rsidR="0093458E" w:rsidRPr="0034246D">
        <w:rPr>
          <w:snapToGrid w:val="0"/>
        </w:rPr>
        <w:t>6</w:t>
      </w:r>
      <w:r w:rsidRPr="0034246D">
        <w:rPr>
          <w:snapToGrid w:val="0"/>
        </w:rPr>
        <w:fldChar w:fldCharType="end"/>
      </w:r>
    </w:p>
    <w:p w:rsidR="00A51C86" w:rsidRPr="0034246D" w:rsidRDefault="00A51C86" w:rsidP="00885088">
      <w:pPr>
        <w:pStyle w:val="Innehll2"/>
        <w:tabs>
          <w:tab w:val="left" w:pos="665"/>
        </w:tabs>
      </w:pPr>
      <w:r w:rsidRPr="0034246D">
        <w:rPr>
          <w:snapToGrid w:val="0"/>
        </w:rPr>
        <w:t>5.6</w:t>
      </w:r>
      <w:r w:rsidRPr="0034246D">
        <w:rPr>
          <w:snapToGrid w:val="0"/>
        </w:rPr>
        <w:tab/>
        <w:t>Hot mot äganderätten</w:t>
      </w:r>
      <w:r w:rsidRPr="0034246D">
        <w:tab/>
      </w:r>
      <w:r w:rsidRPr="0034246D">
        <w:fldChar w:fldCharType="begin" w:fldLock="1"/>
      </w:r>
      <w:r w:rsidRPr="0034246D">
        <w:instrText xml:space="preserve"> PAGEREF _Toc83901809 \h </w:instrText>
      </w:r>
      <w:r w:rsidRPr="0034246D">
        <w:fldChar w:fldCharType="separate"/>
      </w:r>
      <w:r w:rsidR="0093458E" w:rsidRPr="0034246D">
        <w:t>6</w:t>
      </w:r>
      <w:r w:rsidRPr="0034246D">
        <w:fldChar w:fldCharType="end"/>
      </w:r>
    </w:p>
    <w:p w:rsidR="00A51C86" w:rsidRPr="0034246D" w:rsidRDefault="00A51C86" w:rsidP="00885088">
      <w:pPr>
        <w:pStyle w:val="Innehll1"/>
        <w:tabs>
          <w:tab w:val="left" w:pos="380"/>
        </w:tabs>
      </w:pPr>
      <w:r w:rsidRPr="0034246D">
        <w:rPr>
          <w:snapToGrid w:val="0"/>
        </w:rPr>
        <w:t>6</w:t>
      </w:r>
      <w:r w:rsidRPr="0034246D">
        <w:tab/>
        <w:t>Regeringens</w:t>
      </w:r>
      <w:r w:rsidRPr="0034246D">
        <w:rPr>
          <w:snapToGrid w:val="0"/>
        </w:rPr>
        <w:t xml:space="preserve"> fastighetsskattepolitik förstör hela bostadspolitiken</w:t>
      </w:r>
      <w:r w:rsidRPr="0034246D">
        <w:tab/>
      </w:r>
      <w:r w:rsidRPr="0034246D">
        <w:fldChar w:fldCharType="begin" w:fldLock="1"/>
      </w:r>
      <w:r w:rsidRPr="0034246D">
        <w:instrText xml:space="preserve"> PAGEREF _Toc83901810 \h </w:instrText>
      </w:r>
      <w:r w:rsidRPr="0034246D">
        <w:fldChar w:fldCharType="separate"/>
      </w:r>
      <w:r w:rsidR="0093458E" w:rsidRPr="0034246D">
        <w:t>7</w:t>
      </w:r>
      <w:r w:rsidRPr="0034246D">
        <w:fldChar w:fldCharType="end"/>
      </w:r>
    </w:p>
    <w:p w:rsidR="00A51C86" w:rsidRPr="0034246D" w:rsidRDefault="00A51C86" w:rsidP="00885088">
      <w:pPr>
        <w:pStyle w:val="Innehll2"/>
        <w:tabs>
          <w:tab w:val="left" w:pos="665"/>
        </w:tabs>
        <w:rPr>
          <w:snapToGrid w:val="0"/>
        </w:rPr>
      </w:pPr>
      <w:r w:rsidRPr="0034246D">
        <w:rPr>
          <w:snapToGrid w:val="0"/>
        </w:rPr>
        <w:t>6.1</w:t>
      </w:r>
      <w:r w:rsidRPr="0034246D">
        <w:tab/>
      </w:r>
      <w:r w:rsidRPr="0034246D">
        <w:rPr>
          <w:snapToGrid w:val="0"/>
        </w:rPr>
        <w:t>Orimligt hög beskattning av boendet</w:t>
      </w:r>
      <w:r w:rsidRPr="0034246D">
        <w:rPr>
          <w:snapToGrid w:val="0"/>
        </w:rPr>
        <w:tab/>
      </w:r>
      <w:r w:rsidRPr="0034246D">
        <w:rPr>
          <w:snapToGrid w:val="0"/>
        </w:rPr>
        <w:fldChar w:fldCharType="begin" w:fldLock="1"/>
      </w:r>
      <w:r w:rsidRPr="0034246D">
        <w:rPr>
          <w:snapToGrid w:val="0"/>
        </w:rPr>
        <w:instrText xml:space="preserve"> PAGEREF _Toc83901811 \h </w:instrText>
      </w:r>
      <w:r w:rsidRPr="0034246D">
        <w:rPr>
          <w:snapToGrid w:val="0"/>
        </w:rPr>
      </w:r>
      <w:r w:rsidRPr="0034246D">
        <w:rPr>
          <w:snapToGrid w:val="0"/>
        </w:rPr>
        <w:fldChar w:fldCharType="separate"/>
      </w:r>
      <w:r w:rsidR="0093458E" w:rsidRPr="0034246D">
        <w:rPr>
          <w:snapToGrid w:val="0"/>
        </w:rPr>
        <w:t>7</w:t>
      </w:r>
      <w:r w:rsidRPr="0034246D">
        <w:rPr>
          <w:snapToGrid w:val="0"/>
        </w:rPr>
        <w:fldChar w:fldCharType="end"/>
      </w:r>
    </w:p>
    <w:p w:rsidR="00A51C86" w:rsidRPr="0034246D" w:rsidRDefault="00A51C86" w:rsidP="00885088">
      <w:pPr>
        <w:pStyle w:val="Innehll2"/>
        <w:tabs>
          <w:tab w:val="left" w:pos="665"/>
        </w:tabs>
      </w:pPr>
      <w:r w:rsidRPr="0034246D">
        <w:rPr>
          <w:snapToGrid w:val="0"/>
        </w:rPr>
        <w:t>6.2</w:t>
      </w:r>
      <w:r w:rsidRPr="0034246D">
        <w:rPr>
          <w:snapToGrid w:val="0"/>
        </w:rPr>
        <w:tab/>
        <w:t>Begränsningsregel och dämpningsregel löser inte problemen</w:t>
      </w:r>
      <w:r w:rsidRPr="0034246D">
        <w:tab/>
      </w:r>
      <w:r w:rsidRPr="0034246D">
        <w:fldChar w:fldCharType="begin" w:fldLock="1"/>
      </w:r>
      <w:r w:rsidRPr="0034246D">
        <w:instrText xml:space="preserve"> PAGEREF _Toc83901812 \h </w:instrText>
      </w:r>
      <w:r w:rsidRPr="0034246D">
        <w:fldChar w:fldCharType="separate"/>
      </w:r>
      <w:r w:rsidR="0093458E" w:rsidRPr="0034246D">
        <w:t>7</w:t>
      </w:r>
      <w:r w:rsidRPr="0034246D">
        <w:fldChar w:fldCharType="end"/>
      </w:r>
    </w:p>
    <w:p w:rsidR="00A51C86" w:rsidRPr="0034246D" w:rsidRDefault="00A51C86" w:rsidP="00885088">
      <w:pPr>
        <w:pStyle w:val="Innehll2"/>
        <w:tabs>
          <w:tab w:val="left" w:pos="665"/>
        </w:tabs>
        <w:rPr>
          <w:snapToGrid w:val="0"/>
        </w:rPr>
      </w:pPr>
      <w:r w:rsidRPr="0034246D">
        <w:t>6.3</w:t>
      </w:r>
      <w:r w:rsidRPr="0034246D">
        <w:tab/>
        <w:t>Sverig</w:t>
      </w:r>
      <w:r w:rsidRPr="0034246D">
        <w:rPr>
          <w:snapToGrid w:val="0"/>
        </w:rPr>
        <w:t>e har världens högsta boendeskatter</w:t>
      </w:r>
      <w:r w:rsidRPr="0034246D">
        <w:rPr>
          <w:snapToGrid w:val="0"/>
        </w:rPr>
        <w:tab/>
      </w:r>
      <w:r w:rsidRPr="0034246D">
        <w:rPr>
          <w:snapToGrid w:val="0"/>
        </w:rPr>
        <w:fldChar w:fldCharType="begin" w:fldLock="1"/>
      </w:r>
      <w:r w:rsidRPr="0034246D">
        <w:rPr>
          <w:snapToGrid w:val="0"/>
        </w:rPr>
        <w:instrText xml:space="preserve"> PAGEREF _Toc83901813 \h </w:instrText>
      </w:r>
      <w:r w:rsidRPr="0034246D">
        <w:rPr>
          <w:snapToGrid w:val="0"/>
        </w:rPr>
      </w:r>
      <w:r w:rsidRPr="0034246D">
        <w:rPr>
          <w:snapToGrid w:val="0"/>
        </w:rPr>
        <w:fldChar w:fldCharType="separate"/>
      </w:r>
      <w:r w:rsidR="0093458E" w:rsidRPr="0034246D">
        <w:rPr>
          <w:snapToGrid w:val="0"/>
        </w:rPr>
        <w:t>8</w:t>
      </w:r>
      <w:r w:rsidRPr="0034246D">
        <w:rPr>
          <w:snapToGrid w:val="0"/>
        </w:rPr>
        <w:fldChar w:fldCharType="end"/>
      </w:r>
    </w:p>
    <w:p w:rsidR="00A51C86" w:rsidRPr="0034246D" w:rsidRDefault="00A51C86" w:rsidP="00885088">
      <w:pPr>
        <w:pStyle w:val="Innehll2"/>
        <w:tabs>
          <w:tab w:val="left" w:pos="665"/>
        </w:tabs>
        <w:rPr>
          <w:snapToGrid w:val="0"/>
        </w:rPr>
      </w:pPr>
      <w:r w:rsidRPr="0034246D">
        <w:rPr>
          <w:snapToGrid w:val="0"/>
        </w:rPr>
        <w:t>6.4</w:t>
      </w:r>
      <w:r w:rsidRPr="0034246D">
        <w:rPr>
          <w:snapToGrid w:val="0"/>
        </w:rPr>
        <w:tab/>
        <w:t>Svenska hushållens boendekostnader högst i EU</w:t>
      </w:r>
      <w:r w:rsidRPr="0034246D">
        <w:rPr>
          <w:snapToGrid w:val="0"/>
        </w:rPr>
        <w:tab/>
      </w:r>
      <w:r w:rsidRPr="0034246D">
        <w:rPr>
          <w:snapToGrid w:val="0"/>
        </w:rPr>
        <w:fldChar w:fldCharType="begin" w:fldLock="1"/>
      </w:r>
      <w:r w:rsidRPr="0034246D">
        <w:rPr>
          <w:snapToGrid w:val="0"/>
        </w:rPr>
        <w:instrText xml:space="preserve"> PAGEREF _Toc83901814 \h </w:instrText>
      </w:r>
      <w:r w:rsidRPr="0034246D">
        <w:rPr>
          <w:snapToGrid w:val="0"/>
        </w:rPr>
      </w:r>
      <w:r w:rsidRPr="0034246D">
        <w:rPr>
          <w:snapToGrid w:val="0"/>
        </w:rPr>
        <w:fldChar w:fldCharType="separate"/>
      </w:r>
      <w:r w:rsidR="0093458E" w:rsidRPr="0034246D">
        <w:rPr>
          <w:snapToGrid w:val="0"/>
        </w:rPr>
        <w:t>8</w:t>
      </w:r>
      <w:r w:rsidRPr="0034246D">
        <w:rPr>
          <w:snapToGrid w:val="0"/>
        </w:rPr>
        <w:fldChar w:fldCharType="end"/>
      </w:r>
    </w:p>
    <w:p w:rsidR="00A51C86" w:rsidRPr="0034246D" w:rsidRDefault="00A51C86" w:rsidP="00885088">
      <w:pPr>
        <w:pStyle w:val="Innehll2"/>
        <w:tabs>
          <w:tab w:val="left" w:pos="665"/>
        </w:tabs>
        <w:rPr>
          <w:snapToGrid w:val="0"/>
        </w:rPr>
      </w:pPr>
      <w:r w:rsidRPr="0034246D">
        <w:rPr>
          <w:snapToGrid w:val="0"/>
        </w:rPr>
        <w:t>6.5</w:t>
      </w:r>
      <w:r w:rsidRPr="0034246D">
        <w:rPr>
          <w:snapToGrid w:val="0"/>
        </w:rPr>
        <w:tab/>
        <w:t>Byggandet har avstannat</w:t>
      </w:r>
      <w:r w:rsidRPr="0034246D">
        <w:rPr>
          <w:snapToGrid w:val="0"/>
        </w:rPr>
        <w:tab/>
      </w:r>
      <w:r w:rsidRPr="0034246D">
        <w:rPr>
          <w:snapToGrid w:val="0"/>
        </w:rPr>
        <w:fldChar w:fldCharType="begin" w:fldLock="1"/>
      </w:r>
      <w:r w:rsidRPr="0034246D">
        <w:rPr>
          <w:snapToGrid w:val="0"/>
        </w:rPr>
        <w:instrText xml:space="preserve"> PAGEREF _Toc83901815 \h </w:instrText>
      </w:r>
      <w:r w:rsidRPr="0034246D">
        <w:rPr>
          <w:snapToGrid w:val="0"/>
        </w:rPr>
      </w:r>
      <w:r w:rsidRPr="0034246D">
        <w:rPr>
          <w:snapToGrid w:val="0"/>
        </w:rPr>
        <w:fldChar w:fldCharType="separate"/>
      </w:r>
      <w:r w:rsidR="0093458E" w:rsidRPr="0034246D">
        <w:rPr>
          <w:snapToGrid w:val="0"/>
        </w:rPr>
        <w:t>9</w:t>
      </w:r>
      <w:r w:rsidRPr="0034246D">
        <w:rPr>
          <w:snapToGrid w:val="0"/>
        </w:rPr>
        <w:fldChar w:fldCharType="end"/>
      </w:r>
    </w:p>
    <w:p w:rsidR="00A51C86" w:rsidRPr="0034246D" w:rsidRDefault="00A51C86" w:rsidP="00885088">
      <w:pPr>
        <w:pStyle w:val="Innehll2"/>
        <w:tabs>
          <w:tab w:val="left" w:pos="665"/>
        </w:tabs>
      </w:pPr>
      <w:r w:rsidRPr="0034246D">
        <w:rPr>
          <w:snapToGrid w:val="0"/>
        </w:rPr>
        <w:t>6.6</w:t>
      </w:r>
      <w:r w:rsidRPr="0034246D">
        <w:rPr>
          <w:snapToGrid w:val="0"/>
        </w:rPr>
        <w:tab/>
        <w:t>Statens n</w:t>
      </w:r>
      <w:r w:rsidRPr="0034246D">
        <w:t>ettoinkomster för boendesektorn överstiger utgifterna</w:t>
      </w:r>
      <w:r w:rsidRPr="0034246D">
        <w:tab/>
      </w:r>
      <w:r w:rsidRPr="0034246D">
        <w:fldChar w:fldCharType="begin" w:fldLock="1"/>
      </w:r>
      <w:r w:rsidRPr="0034246D">
        <w:instrText xml:space="preserve"> PAGEREF _Toc83901816 \h </w:instrText>
      </w:r>
      <w:r w:rsidRPr="0034246D">
        <w:fldChar w:fldCharType="separate"/>
      </w:r>
      <w:r w:rsidR="0093458E" w:rsidRPr="0034246D">
        <w:t>9</w:t>
      </w:r>
      <w:r w:rsidRPr="0034246D">
        <w:fldChar w:fldCharType="end"/>
      </w:r>
    </w:p>
    <w:p w:rsidR="00A51C86" w:rsidRPr="0034246D" w:rsidRDefault="00A51C86" w:rsidP="00885088">
      <w:pPr>
        <w:pStyle w:val="Innehll2"/>
        <w:tabs>
          <w:tab w:val="left" w:pos="665"/>
        </w:tabs>
      </w:pPr>
      <w:r w:rsidRPr="0034246D">
        <w:t>6.7</w:t>
      </w:r>
      <w:r w:rsidRPr="0034246D">
        <w:tab/>
        <w:t>Ökad boendesegregering</w:t>
      </w:r>
      <w:r w:rsidRPr="0034246D">
        <w:tab/>
      </w:r>
      <w:r w:rsidRPr="0034246D">
        <w:fldChar w:fldCharType="begin" w:fldLock="1"/>
      </w:r>
      <w:r w:rsidRPr="0034246D">
        <w:instrText xml:space="preserve"> PAGEREF _Toc83901817 \h </w:instrText>
      </w:r>
      <w:r w:rsidRPr="0034246D">
        <w:fldChar w:fldCharType="separate"/>
      </w:r>
      <w:r w:rsidR="0093458E" w:rsidRPr="0034246D">
        <w:t>10</w:t>
      </w:r>
      <w:r w:rsidRPr="0034246D">
        <w:fldChar w:fldCharType="end"/>
      </w:r>
    </w:p>
    <w:p w:rsidR="00A51C86" w:rsidRPr="0034246D" w:rsidRDefault="00A51C86" w:rsidP="00885088">
      <w:pPr>
        <w:pStyle w:val="Innehll2"/>
        <w:tabs>
          <w:tab w:val="left" w:pos="665"/>
        </w:tabs>
      </w:pPr>
      <w:r w:rsidRPr="0034246D">
        <w:t>6.8</w:t>
      </w:r>
      <w:r w:rsidRPr="0034246D">
        <w:tab/>
        <w:t xml:space="preserve">Hur </w:t>
      </w:r>
      <w:r w:rsidRPr="0034246D">
        <w:rPr>
          <w:snapToGrid w:val="0"/>
        </w:rPr>
        <w:t>ser</w:t>
      </w:r>
      <w:r w:rsidRPr="0034246D">
        <w:t xml:space="preserve"> medborgarna på fastighetsskatten?</w:t>
      </w:r>
      <w:r w:rsidRPr="0034246D">
        <w:tab/>
      </w:r>
      <w:r w:rsidRPr="0034246D">
        <w:fldChar w:fldCharType="begin" w:fldLock="1"/>
      </w:r>
      <w:r w:rsidRPr="0034246D">
        <w:instrText xml:space="preserve"> PAGEREF _Toc83901818 \h </w:instrText>
      </w:r>
      <w:r w:rsidRPr="0034246D">
        <w:fldChar w:fldCharType="separate"/>
      </w:r>
      <w:r w:rsidR="0093458E" w:rsidRPr="0034246D">
        <w:t>10</w:t>
      </w:r>
      <w:r w:rsidRPr="0034246D">
        <w:fldChar w:fldCharType="end"/>
      </w:r>
    </w:p>
    <w:p w:rsidR="00A51C86" w:rsidRPr="0034246D" w:rsidRDefault="00A51C86" w:rsidP="00885088">
      <w:pPr>
        <w:pStyle w:val="Innehll1"/>
        <w:tabs>
          <w:tab w:val="left" w:pos="380"/>
        </w:tabs>
      </w:pPr>
      <w:r w:rsidRPr="0034246D">
        <w:t>7</w:t>
      </w:r>
      <w:r w:rsidRPr="0034246D">
        <w:tab/>
        <w:t>Kristdemokraternas fastighetsskattepolitik</w:t>
      </w:r>
      <w:r w:rsidRPr="0034246D">
        <w:tab/>
      </w:r>
      <w:r w:rsidRPr="0034246D">
        <w:fldChar w:fldCharType="begin" w:fldLock="1"/>
      </w:r>
      <w:r w:rsidRPr="0034246D">
        <w:instrText xml:space="preserve"> PAGEREF _Toc83901819 \h </w:instrText>
      </w:r>
      <w:r w:rsidRPr="0034246D">
        <w:fldChar w:fldCharType="separate"/>
      </w:r>
      <w:r w:rsidR="0093458E" w:rsidRPr="0034246D">
        <w:t>11</w:t>
      </w:r>
      <w:r w:rsidRPr="0034246D">
        <w:fldChar w:fldCharType="end"/>
      </w:r>
    </w:p>
    <w:p w:rsidR="00A51C86" w:rsidRPr="0034246D" w:rsidRDefault="00A51C86" w:rsidP="00885088">
      <w:pPr>
        <w:pStyle w:val="Innehll2"/>
        <w:tabs>
          <w:tab w:val="left" w:pos="665"/>
        </w:tabs>
      </w:pPr>
      <w:r w:rsidRPr="0034246D">
        <w:t>7.1</w:t>
      </w:r>
      <w:r w:rsidRPr="0034246D">
        <w:tab/>
        <w:t>Slopa den statliga fastighetsskatten för småhus</w:t>
      </w:r>
      <w:r w:rsidRPr="0034246D">
        <w:tab/>
      </w:r>
      <w:r w:rsidRPr="0034246D">
        <w:fldChar w:fldCharType="begin" w:fldLock="1"/>
      </w:r>
      <w:r w:rsidRPr="0034246D">
        <w:instrText xml:space="preserve"> PAGEREF _Toc83901820 \h </w:instrText>
      </w:r>
      <w:r w:rsidRPr="0034246D">
        <w:fldChar w:fldCharType="separate"/>
      </w:r>
      <w:r w:rsidR="0093458E" w:rsidRPr="0034246D">
        <w:t>11</w:t>
      </w:r>
      <w:r w:rsidRPr="0034246D">
        <w:fldChar w:fldCharType="end"/>
      </w:r>
    </w:p>
    <w:p w:rsidR="00A51C86" w:rsidRPr="0034246D" w:rsidRDefault="00A51C86" w:rsidP="00DD39DD">
      <w:pPr>
        <w:pStyle w:val="Innehll3"/>
        <w:tabs>
          <w:tab w:val="left" w:pos="1045"/>
        </w:tabs>
      </w:pPr>
      <w:r w:rsidRPr="0034246D">
        <w:rPr>
          <w:snapToGrid w:val="0"/>
        </w:rPr>
        <w:t>7.1.1</w:t>
      </w:r>
      <w:r w:rsidRPr="0034246D">
        <w:tab/>
      </w:r>
      <w:r w:rsidRPr="0034246D">
        <w:rPr>
          <w:snapToGrid w:val="0"/>
        </w:rPr>
        <w:t>Inför kommunal avgift</w:t>
      </w:r>
      <w:r w:rsidRPr="0034246D">
        <w:tab/>
      </w:r>
      <w:r w:rsidRPr="0034246D">
        <w:fldChar w:fldCharType="begin" w:fldLock="1"/>
      </w:r>
      <w:r w:rsidRPr="0034246D">
        <w:instrText xml:space="preserve"> PAGEREF _Toc83901821 \h </w:instrText>
      </w:r>
      <w:r w:rsidRPr="0034246D">
        <w:fldChar w:fldCharType="separate"/>
      </w:r>
      <w:r w:rsidR="0093458E" w:rsidRPr="0034246D">
        <w:t>11</w:t>
      </w:r>
      <w:r w:rsidRPr="0034246D">
        <w:fldChar w:fldCharType="end"/>
      </w:r>
    </w:p>
    <w:p w:rsidR="00A51C86" w:rsidRPr="0034246D" w:rsidRDefault="00A51C86" w:rsidP="00885088">
      <w:pPr>
        <w:pStyle w:val="Innehll2"/>
        <w:tabs>
          <w:tab w:val="left" w:pos="665"/>
        </w:tabs>
      </w:pPr>
      <w:r w:rsidRPr="0034246D">
        <w:rPr>
          <w:snapToGrid w:val="0"/>
        </w:rPr>
        <w:t>7.2</w:t>
      </w:r>
      <w:r w:rsidRPr="0034246D">
        <w:tab/>
      </w:r>
      <w:r w:rsidRPr="0034246D">
        <w:rPr>
          <w:snapToGrid w:val="0"/>
        </w:rPr>
        <w:t>Slopad statlig fastighetsskatt på hyresbostadshus</w:t>
      </w:r>
      <w:r w:rsidRPr="0034246D">
        <w:tab/>
      </w:r>
      <w:r w:rsidRPr="0034246D">
        <w:fldChar w:fldCharType="begin" w:fldLock="1"/>
      </w:r>
      <w:r w:rsidRPr="0034246D">
        <w:instrText xml:space="preserve"> PAGEREF _Toc83901822 \h </w:instrText>
      </w:r>
      <w:r w:rsidRPr="0034246D">
        <w:fldChar w:fldCharType="separate"/>
      </w:r>
      <w:r w:rsidR="0093458E" w:rsidRPr="0034246D">
        <w:t>13</w:t>
      </w:r>
      <w:r w:rsidRPr="0034246D">
        <w:fldChar w:fldCharType="end"/>
      </w:r>
    </w:p>
    <w:p w:rsidR="00A51C86" w:rsidRPr="0034246D" w:rsidRDefault="00A51C86" w:rsidP="00DD39DD">
      <w:pPr>
        <w:pStyle w:val="Innehll3"/>
        <w:tabs>
          <w:tab w:val="left" w:pos="1045"/>
        </w:tabs>
      </w:pPr>
      <w:r w:rsidRPr="0034246D">
        <w:rPr>
          <w:snapToGrid w:val="0"/>
        </w:rPr>
        <w:t>7.2.1</w:t>
      </w:r>
      <w:r w:rsidRPr="0034246D">
        <w:tab/>
      </w:r>
      <w:r w:rsidRPr="0034246D">
        <w:rPr>
          <w:snapToGrid w:val="0"/>
        </w:rPr>
        <w:t>Kommunal avgift</w:t>
      </w:r>
      <w:r w:rsidRPr="0034246D">
        <w:tab/>
      </w:r>
      <w:r w:rsidRPr="0034246D">
        <w:fldChar w:fldCharType="begin" w:fldLock="1"/>
      </w:r>
      <w:r w:rsidRPr="0034246D">
        <w:instrText xml:space="preserve"> PAGEREF _Toc83901823 \h </w:instrText>
      </w:r>
      <w:r w:rsidRPr="0034246D">
        <w:fldChar w:fldCharType="separate"/>
      </w:r>
      <w:r w:rsidR="0093458E" w:rsidRPr="0034246D">
        <w:t>13</w:t>
      </w:r>
      <w:r w:rsidRPr="0034246D">
        <w:fldChar w:fldCharType="end"/>
      </w:r>
    </w:p>
    <w:p w:rsidR="00A51C86" w:rsidRPr="0034246D" w:rsidRDefault="00A51C86" w:rsidP="00885088">
      <w:pPr>
        <w:pStyle w:val="Innehll2"/>
        <w:tabs>
          <w:tab w:val="left" w:pos="665"/>
        </w:tabs>
      </w:pPr>
      <w:r w:rsidRPr="0034246D">
        <w:rPr>
          <w:snapToGrid w:val="0"/>
        </w:rPr>
        <w:t>7.3</w:t>
      </w:r>
      <w:r w:rsidRPr="0034246D">
        <w:tab/>
      </w:r>
      <w:r w:rsidRPr="0034246D">
        <w:rPr>
          <w:snapToGrid w:val="0"/>
        </w:rPr>
        <w:t>Slopad fastighetsskatt för kommersiella lokaler och industrifastigheter</w:t>
      </w:r>
      <w:r w:rsidRPr="0034246D">
        <w:tab/>
      </w:r>
      <w:r w:rsidRPr="0034246D">
        <w:fldChar w:fldCharType="begin" w:fldLock="1"/>
      </w:r>
      <w:r w:rsidRPr="0034246D">
        <w:instrText xml:space="preserve"> PAGEREF _Toc83901824 \h </w:instrText>
      </w:r>
      <w:r w:rsidRPr="0034246D">
        <w:fldChar w:fldCharType="separate"/>
      </w:r>
      <w:r w:rsidR="0093458E" w:rsidRPr="0034246D">
        <w:t>13</w:t>
      </w:r>
      <w:r w:rsidRPr="0034246D">
        <w:fldChar w:fldCharType="end"/>
      </w:r>
    </w:p>
    <w:p w:rsidR="00A51C86" w:rsidRPr="0034246D" w:rsidRDefault="00A51C86" w:rsidP="00DD39DD">
      <w:pPr>
        <w:pStyle w:val="Innehll3"/>
        <w:tabs>
          <w:tab w:val="left" w:pos="1045"/>
        </w:tabs>
      </w:pPr>
      <w:r w:rsidRPr="0034246D">
        <w:rPr>
          <w:snapToGrid w:val="0"/>
        </w:rPr>
        <w:t>7.3.1</w:t>
      </w:r>
      <w:r w:rsidRPr="0034246D">
        <w:tab/>
      </w:r>
      <w:r w:rsidRPr="0034246D">
        <w:rPr>
          <w:snapToGrid w:val="0"/>
        </w:rPr>
        <w:t>Kommunal avgift</w:t>
      </w:r>
      <w:r w:rsidRPr="0034246D">
        <w:tab/>
      </w:r>
      <w:r w:rsidRPr="0034246D">
        <w:fldChar w:fldCharType="begin" w:fldLock="1"/>
      </w:r>
      <w:r w:rsidRPr="0034246D">
        <w:instrText xml:space="preserve"> PAGEREF _Toc83901825 \h </w:instrText>
      </w:r>
      <w:r w:rsidRPr="0034246D">
        <w:fldChar w:fldCharType="separate"/>
      </w:r>
      <w:r w:rsidR="0093458E" w:rsidRPr="0034246D">
        <w:t>14</w:t>
      </w:r>
      <w:r w:rsidRPr="0034246D">
        <w:fldChar w:fldCharType="end"/>
      </w:r>
    </w:p>
    <w:p w:rsidR="00A51C86" w:rsidRPr="0034246D" w:rsidRDefault="00A51C86" w:rsidP="00885088">
      <w:pPr>
        <w:pStyle w:val="Innehll1"/>
        <w:tabs>
          <w:tab w:val="left" w:pos="380"/>
        </w:tabs>
      </w:pPr>
      <w:r w:rsidRPr="0034246D">
        <w:rPr>
          <w:snapToGrid w:val="0"/>
        </w:rPr>
        <w:t>8</w:t>
      </w:r>
      <w:r w:rsidRPr="0034246D">
        <w:tab/>
        <w:t>Reformens</w:t>
      </w:r>
      <w:r w:rsidRPr="0034246D">
        <w:rPr>
          <w:snapToGrid w:val="0"/>
        </w:rPr>
        <w:t xml:space="preserve"> finansiering m.m.</w:t>
      </w:r>
      <w:r w:rsidRPr="0034246D">
        <w:tab/>
      </w:r>
      <w:r w:rsidRPr="0034246D">
        <w:fldChar w:fldCharType="begin" w:fldLock="1"/>
      </w:r>
      <w:r w:rsidRPr="0034246D">
        <w:instrText xml:space="preserve"> PAGEREF _Toc83901826 \h </w:instrText>
      </w:r>
      <w:r w:rsidRPr="0034246D">
        <w:fldChar w:fldCharType="separate"/>
      </w:r>
      <w:r w:rsidR="0093458E" w:rsidRPr="0034246D">
        <w:t>14</w:t>
      </w:r>
      <w:r w:rsidRPr="0034246D">
        <w:fldChar w:fldCharType="end"/>
      </w:r>
    </w:p>
    <w:p w:rsidR="00A51C86" w:rsidRPr="0034246D" w:rsidRDefault="00A51C86" w:rsidP="00885088">
      <w:pPr>
        <w:pStyle w:val="Innehll2"/>
        <w:tabs>
          <w:tab w:val="left" w:pos="665"/>
        </w:tabs>
      </w:pPr>
      <w:r w:rsidRPr="0034246D">
        <w:rPr>
          <w:snapToGrid w:val="0"/>
        </w:rPr>
        <w:t>8.1</w:t>
      </w:r>
      <w:r w:rsidRPr="0034246D">
        <w:tab/>
      </w:r>
      <w:r w:rsidRPr="0034246D">
        <w:rPr>
          <w:snapToGrid w:val="0"/>
        </w:rPr>
        <w:t>Kommunal avgift – minskat statsbidrag</w:t>
      </w:r>
      <w:r w:rsidRPr="0034246D">
        <w:tab/>
      </w:r>
      <w:r w:rsidRPr="0034246D">
        <w:fldChar w:fldCharType="begin" w:fldLock="1"/>
      </w:r>
      <w:r w:rsidRPr="0034246D">
        <w:instrText xml:space="preserve"> PAGEREF _Toc83901827 \h </w:instrText>
      </w:r>
      <w:r w:rsidRPr="0034246D">
        <w:fldChar w:fldCharType="separate"/>
      </w:r>
      <w:r w:rsidR="0093458E" w:rsidRPr="0034246D">
        <w:t>14</w:t>
      </w:r>
      <w:r w:rsidRPr="0034246D">
        <w:fldChar w:fldCharType="end"/>
      </w:r>
    </w:p>
    <w:p w:rsidR="00A51C86" w:rsidRPr="0034246D" w:rsidRDefault="00A51C86" w:rsidP="00885088">
      <w:pPr>
        <w:pStyle w:val="Innehll2"/>
        <w:tabs>
          <w:tab w:val="left" w:pos="665"/>
        </w:tabs>
      </w:pPr>
      <w:r w:rsidRPr="0034246D">
        <w:rPr>
          <w:snapToGrid w:val="0"/>
        </w:rPr>
        <w:t>8.2</w:t>
      </w:r>
      <w:r w:rsidRPr="0034246D">
        <w:tab/>
      </w:r>
      <w:r w:rsidRPr="0034246D">
        <w:rPr>
          <w:snapToGrid w:val="0"/>
        </w:rPr>
        <w:t>Regionala skillnader</w:t>
      </w:r>
      <w:r w:rsidRPr="0034246D">
        <w:tab/>
      </w:r>
      <w:r w:rsidRPr="0034246D">
        <w:fldChar w:fldCharType="begin" w:fldLock="1"/>
      </w:r>
      <w:r w:rsidRPr="0034246D">
        <w:instrText xml:space="preserve"> PAGEREF _Toc83901828 \h </w:instrText>
      </w:r>
      <w:r w:rsidRPr="0034246D">
        <w:fldChar w:fldCharType="separate"/>
      </w:r>
      <w:r w:rsidR="0093458E" w:rsidRPr="0034246D">
        <w:t>15</w:t>
      </w:r>
      <w:r w:rsidRPr="0034246D">
        <w:fldChar w:fldCharType="end"/>
      </w:r>
    </w:p>
    <w:p w:rsidR="00A51C86" w:rsidRPr="0034246D" w:rsidRDefault="00A51C86" w:rsidP="00885088">
      <w:pPr>
        <w:pStyle w:val="Innehll2"/>
        <w:tabs>
          <w:tab w:val="left" w:pos="665"/>
        </w:tabs>
      </w:pPr>
      <w:r w:rsidRPr="0034246D">
        <w:rPr>
          <w:snapToGrid w:val="0"/>
        </w:rPr>
        <w:t>8.3</w:t>
      </w:r>
      <w:r w:rsidRPr="0034246D">
        <w:tab/>
      </w:r>
      <w:r w:rsidRPr="0034246D">
        <w:rPr>
          <w:snapToGrid w:val="0"/>
        </w:rPr>
        <w:t>Likformig reavinstskatt</w:t>
      </w:r>
      <w:r w:rsidRPr="0034246D">
        <w:tab/>
      </w:r>
      <w:r w:rsidRPr="0034246D">
        <w:fldChar w:fldCharType="begin" w:fldLock="1"/>
      </w:r>
      <w:r w:rsidRPr="0034246D">
        <w:instrText xml:space="preserve"> PAGEREF _Toc83901829 \h </w:instrText>
      </w:r>
      <w:r w:rsidRPr="0034246D">
        <w:fldChar w:fldCharType="separate"/>
      </w:r>
      <w:r w:rsidR="0093458E" w:rsidRPr="0034246D">
        <w:t>16</w:t>
      </w:r>
      <w:r w:rsidRPr="0034246D">
        <w:fldChar w:fldCharType="end"/>
      </w:r>
    </w:p>
    <w:p w:rsidR="00A51C86" w:rsidRPr="0034246D" w:rsidRDefault="00A51C86" w:rsidP="00885088">
      <w:pPr>
        <w:pStyle w:val="Innehll2"/>
        <w:tabs>
          <w:tab w:val="left" w:pos="665"/>
        </w:tabs>
      </w:pPr>
      <w:r w:rsidRPr="0034246D">
        <w:rPr>
          <w:snapToGrid w:val="0"/>
        </w:rPr>
        <w:t>8.4</w:t>
      </w:r>
      <w:r w:rsidRPr="0034246D">
        <w:tab/>
      </w:r>
      <w:r w:rsidRPr="0034246D">
        <w:rPr>
          <w:snapToGrid w:val="0"/>
        </w:rPr>
        <w:t>Lägre administrationskostnader</w:t>
      </w:r>
      <w:r w:rsidRPr="0034246D">
        <w:tab/>
      </w:r>
      <w:r w:rsidRPr="0034246D">
        <w:fldChar w:fldCharType="begin" w:fldLock="1"/>
      </w:r>
      <w:r w:rsidRPr="0034246D">
        <w:instrText xml:space="preserve"> PAGEREF _Toc83901830 \h </w:instrText>
      </w:r>
      <w:r w:rsidRPr="0034246D">
        <w:fldChar w:fldCharType="separate"/>
      </w:r>
      <w:r w:rsidR="0093458E" w:rsidRPr="0034246D">
        <w:t>17</w:t>
      </w:r>
      <w:r w:rsidRPr="0034246D">
        <w:fldChar w:fldCharType="end"/>
      </w:r>
    </w:p>
    <w:p w:rsidR="00A51C86" w:rsidRPr="0034246D" w:rsidRDefault="00A51C86" w:rsidP="00885088">
      <w:pPr>
        <w:pStyle w:val="Innehll2"/>
        <w:tabs>
          <w:tab w:val="left" w:pos="665"/>
        </w:tabs>
      </w:pPr>
      <w:r w:rsidRPr="0034246D">
        <w:rPr>
          <w:snapToGrid w:val="0"/>
        </w:rPr>
        <w:t>8.5</w:t>
      </w:r>
      <w:r w:rsidRPr="0034246D">
        <w:tab/>
      </w:r>
      <w:r w:rsidRPr="0034246D">
        <w:rPr>
          <w:snapToGrid w:val="0"/>
        </w:rPr>
        <w:t>Ekonomiska effekter för hushållen, företagen och offentlig sektor</w:t>
      </w:r>
      <w:r w:rsidRPr="0034246D">
        <w:tab/>
      </w:r>
      <w:r w:rsidRPr="0034246D">
        <w:fldChar w:fldCharType="begin" w:fldLock="1"/>
      </w:r>
      <w:r w:rsidRPr="0034246D">
        <w:instrText xml:space="preserve"> PAGEREF _Toc83901831 \h </w:instrText>
      </w:r>
      <w:r w:rsidRPr="0034246D">
        <w:fldChar w:fldCharType="separate"/>
      </w:r>
      <w:r w:rsidR="0093458E" w:rsidRPr="0034246D">
        <w:t>17</w:t>
      </w:r>
      <w:r w:rsidRPr="0034246D">
        <w:fldChar w:fldCharType="end"/>
      </w:r>
    </w:p>
    <w:p w:rsidR="00A51C86" w:rsidRPr="0034246D" w:rsidRDefault="00A51C86" w:rsidP="00885088">
      <w:pPr>
        <w:pStyle w:val="Hemstlrubrik"/>
        <w:pageBreakBefore/>
        <w:spacing w:before="0"/>
      </w:pPr>
      <w:r w:rsidRPr="0034246D">
        <w:fldChar w:fldCharType="end"/>
      </w:r>
      <w:bookmarkStart w:id="4" w:name="_Toc83901801"/>
      <w:r w:rsidRPr="0034246D">
        <w:t>Förslag till riksdagsbeslut</w:t>
      </w:r>
      <w:bookmarkEnd w:id="4"/>
    </w:p>
    <w:p w:rsidR="00A51C86" w:rsidRPr="0034246D" w:rsidRDefault="00A51C86" w:rsidP="00A51C86">
      <w:pPr>
        <w:pStyle w:val="Hemstlatt"/>
      </w:pPr>
      <w:r w:rsidRPr="0034246D">
        <w:t>Riksdagen tillkännager för regeringen som sin mening vad i motionen anförs om att avskaffa den statliga fastighetsskatten.</w:t>
      </w:r>
    </w:p>
    <w:p w:rsidR="00A51C86" w:rsidRPr="0034246D" w:rsidRDefault="00A51C86" w:rsidP="00A51C86">
      <w:pPr>
        <w:pStyle w:val="Hemstlatt"/>
      </w:pPr>
      <w:r w:rsidRPr="0034246D">
        <w:t xml:space="preserve">Riksdagen tillkännager för regeringen som sin mening vad i motionen anförs om att införa en kommunal avgift för fastigheter. </w:t>
      </w:r>
    </w:p>
    <w:p w:rsidR="00E65CEC" w:rsidRPr="0034246D" w:rsidRDefault="00A51C86" w:rsidP="00A51C86">
      <w:pPr>
        <w:pStyle w:val="Hemstlatt"/>
      </w:pPr>
      <w:r w:rsidRPr="0034246D">
        <w:t>Riksdagen tillkännager för regeringen som sin mening vad i motionen anförs om att höja reavinstskatten vid försäljning av bostäder.</w:t>
      </w:r>
    </w:p>
    <w:p w:rsidR="00A51C86" w:rsidRPr="0034246D" w:rsidRDefault="00E65CEC" w:rsidP="00A51C86">
      <w:pPr>
        <w:pStyle w:val="Hemstlatt"/>
      </w:pPr>
      <w:r w:rsidRPr="0034246D">
        <w:t xml:space="preserve">Riksdagen tillkännager </w:t>
      </w:r>
      <w:r w:rsidR="00BF314F" w:rsidRPr="0034246D">
        <w:t xml:space="preserve">för regeringen </w:t>
      </w:r>
      <w:r w:rsidRPr="0034246D">
        <w:t>som sin mening vad i motionen a</w:t>
      </w:r>
      <w:r w:rsidRPr="0034246D">
        <w:t>n</w:t>
      </w:r>
      <w:r w:rsidRPr="0034246D">
        <w:t xml:space="preserve">förs om en halverad uppskovsrätt vid reavinstbeskattning. </w:t>
      </w:r>
    </w:p>
    <w:p w:rsidR="00A51C86" w:rsidRPr="0034246D" w:rsidRDefault="00A51C86" w:rsidP="00A51C86">
      <w:pPr>
        <w:pStyle w:val="Rubrik1"/>
        <w:spacing w:line="240" w:lineRule="auto"/>
      </w:pPr>
      <w:bookmarkStart w:id="5" w:name="_Toc83901802"/>
      <w:bookmarkEnd w:id="1"/>
      <w:r w:rsidRPr="0034246D">
        <w:t>Bakgrund</w:t>
      </w:r>
      <w:bookmarkEnd w:id="0"/>
      <w:bookmarkEnd w:id="5"/>
    </w:p>
    <w:p w:rsidR="00A51C86" w:rsidRPr="0034246D" w:rsidRDefault="00A51C86" w:rsidP="00A51C86">
      <w:r w:rsidRPr="0034246D">
        <w:t>I samband med skattereformen 1991 ersattes schablonbeskattningen av villor och fritidshus med fastighetsskatt. Detta innebar en kraftig ökning av boend</w:t>
      </w:r>
      <w:r w:rsidRPr="0034246D">
        <w:t>e</w:t>
      </w:r>
      <w:r w:rsidRPr="0034246D">
        <w:t>kostnaderna, främst genom minskad effekt på ränteavdr</w:t>
      </w:r>
      <w:r w:rsidRPr="0034246D">
        <w:t>a</w:t>
      </w:r>
      <w:r w:rsidRPr="0034246D">
        <w:t>gen. Till detta har sedan lagts effekterna av sjunkande bostadssubventioner, ökad moms på up</w:t>
      </w:r>
      <w:r w:rsidRPr="0034246D">
        <w:t>p</w:t>
      </w:r>
      <w:r w:rsidRPr="0034246D">
        <w:t>värmning samt ökande kommunala taxor och avgifter.</w:t>
      </w:r>
    </w:p>
    <w:p w:rsidR="00A51C86" w:rsidRPr="0034246D" w:rsidRDefault="00A51C86" w:rsidP="00A51C86">
      <w:pPr>
        <w:pStyle w:val="Normaltindrag"/>
        <w:rPr>
          <w:snapToGrid w:val="0"/>
        </w:rPr>
      </w:pPr>
      <w:r w:rsidRPr="0034246D">
        <w:rPr>
          <w:snapToGrid w:val="0"/>
        </w:rPr>
        <w:t>Fastighetsbeskattningen är statlig och motiveras i</w:t>
      </w:r>
      <w:r w:rsidR="00C46E26" w:rsidRPr="0034246D">
        <w:rPr>
          <w:snapToGrid w:val="0"/>
        </w:rPr>
        <w:t xml:space="preserve"> </w:t>
      </w:r>
      <w:r w:rsidRPr="0034246D">
        <w:rPr>
          <w:snapToGrid w:val="0"/>
        </w:rPr>
        <w:t>dag enbart som en i</w:t>
      </w:r>
      <w:r w:rsidRPr="0034246D">
        <w:rPr>
          <w:snapToGrid w:val="0"/>
        </w:rPr>
        <w:t>n</w:t>
      </w:r>
      <w:r w:rsidRPr="0034246D">
        <w:rPr>
          <w:snapToGrid w:val="0"/>
        </w:rPr>
        <w:t xml:space="preserve">täktskälla för staten. I samband med Sveriges inträde i den </w:t>
      </w:r>
      <w:r w:rsidR="00C46E26" w:rsidRPr="0034246D">
        <w:rPr>
          <w:snapToGrid w:val="0"/>
        </w:rPr>
        <w:t xml:space="preserve">europeiska </w:t>
      </w:r>
      <w:r w:rsidRPr="0034246D">
        <w:rPr>
          <w:snapToGrid w:val="0"/>
        </w:rPr>
        <w:t>geme</w:t>
      </w:r>
      <w:r w:rsidRPr="0034246D">
        <w:rPr>
          <w:snapToGrid w:val="0"/>
        </w:rPr>
        <w:t>n</w:t>
      </w:r>
      <w:r w:rsidRPr="0034246D">
        <w:rPr>
          <w:snapToGrid w:val="0"/>
        </w:rPr>
        <w:t>skapen motiverades t.o.m. en höjning av fastighetsskatten med inträdets f</w:t>
      </w:r>
      <w:r w:rsidRPr="0034246D">
        <w:rPr>
          <w:snapToGrid w:val="0"/>
        </w:rPr>
        <w:t>i</w:t>
      </w:r>
      <w:r w:rsidRPr="0034246D">
        <w:rPr>
          <w:snapToGrid w:val="0"/>
        </w:rPr>
        <w:t xml:space="preserve">nansiering. Relationen mellan skatt och legitim orsak till skatten är borta. Fastighetsskatten är dessutom ologisk till sin konstruktion och orättvis.  </w:t>
      </w:r>
    </w:p>
    <w:p w:rsidR="00A51C86" w:rsidRPr="0034246D" w:rsidRDefault="00A51C86" w:rsidP="00A51C86">
      <w:pPr>
        <w:pStyle w:val="Normaltindrag"/>
        <w:rPr>
          <w:snapToGrid w:val="0"/>
        </w:rPr>
      </w:pPr>
      <w:r w:rsidRPr="0034246D">
        <w:rPr>
          <w:snapToGrid w:val="0"/>
        </w:rPr>
        <w:t>Fastighetsskatten har sin grund i att fastighetsägarna skulle garanteras samhällsnyttiga tjänster, såsom tillfartsvägar, vatten och avlopp, gatuunde</w:t>
      </w:r>
      <w:r w:rsidRPr="0034246D">
        <w:rPr>
          <w:snapToGrid w:val="0"/>
        </w:rPr>
        <w:t>r</w:t>
      </w:r>
      <w:r w:rsidRPr="0034246D">
        <w:rPr>
          <w:snapToGrid w:val="0"/>
        </w:rPr>
        <w:t>håll, sophämtning m.m. Flera av dessa kommunala tjänster är numera avgift</w:t>
      </w:r>
      <w:r w:rsidRPr="0034246D">
        <w:rPr>
          <w:snapToGrid w:val="0"/>
        </w:rPr>
        <w:t>s</w:t>
      </w:r>
      <w:r w:rsidRPr="0034246D">
        <w:rPr>
          <w:snapToGrid w:val="0"/>
        </w:rPr>
        <w:t xml:space="preserve">belagda. </w:t>
      </w:r>
    </w:p>
    <w:p w:rsidR="00A51C86" w:rsidRPr="0034246D" w:rsidRDefault="00A51C86" w:rsidP="00A51C86">
      <w:pPr>
        <w:pStyle w:val="Normaltindrag"/>
        <w:rPr>
          <w:snapToGrid w:val="0"/>
        </w:rPr>
      </w:pPr>
      <w:r w:rsidRPr="0034246D">
        <w:rPr>
          <w:snapToGrid w:val="0"/>
        </w:rPr>
        <w:t xml:space="preserve">Underlaget för fastighetsskatt utgörs av ett taxeringsvärde som i princip ska uppgå till 75 procent av marknadsvärdet. Marknadsvärdet bestäms av byggnadens och markens storlek samt dess kvalitet och läge, men i realiteten är marknadsvärdet fiktivt, eftersom det utgår från ett slags beräkning utifrån köp och försäljningar i ett värdeområde, som fastigheten tillhör. </w:t>
      </w:r>
    </w:p>
    <w:p w:rsidR="00A51C86" w:rsidRPr="0034246D" w:rsidRDefault="00A51C86" w:rsidP="00A51C86">
      <w:pPr>
        <w:pStyle w:val="Normaltindrag"/>
      </w:pPr>
      <w:r w:rsidRPr="0034246D">
        <w:t>Enligt SCB bodde 59,5 procent av Sveriges vuxna befolkning i småhus 1998. Över 75 procent av alla barnfamiljer bodde i småhus samma år. Då en så stor del av barnfamiljerna bor i småhus kan man utgå ifrån att alla i</w:t>
      </w:r>
      <w:r w:rsidRPr="0034246D">
        <w:t>n</w:t>
      </w:r>
      <w:r w:rsidRPr="0034246D">
        <w:t>komstgrupper finns representerade bland dem. För framför allt låg- och m</w:t>
      </w:r>
      <w:r w:rsidRPr="0034246D">
        <w:t>e</w:t>
      </w:r>
      <w:r w:rsidRPr="0034246D">
        <w:t>delinkomsttagare med barn är därför fastighetsskattens utformning av avg</w:t>
      </w:r>
      <w:r w:rsidRPr="0034246D">
        <w:t>ö</w:t>
      </w:r>
      <w:r w:rsidRPr="0034246D">
        <w:t>rande betydelse. Under tre år har den så kallade rullande fastighetsskatten som infördes 1995 i själva verket inte gällt. Under inkomståren 1998</w:t>
      </w:r>
      <w:r w:rsidR="00C46E26" w:rsidRPr="0034246D">
        <w:t>–</w:t>
      </w:r>
      <w:r w:rsidRPr="0034246D">
        <w:t>2000 har 1997 års taxeringsvärden använts. Från år 2000 har dock  nya fastighet</w:t>
      </w:r>
      <w:r w:rsidRPr="0034246D">
        <w:t>s</w:t>
      </w:r>
      <w:r w:rsidRPr="0034246D">
        <w:t>taxeringar gjorts som kraftigt höjt fastighetstaxeringen i många områden från och med 2001. Omräkningstalen som anger hur mycket taxeringsvärdet fö</w:t>
      </w:r>
      <w:r w:rsidRPr="0034246D">
        <w:t>r</w:t>
      </w:r>
      <w:r w:rsidRPr="0034246D">
        <w:t xml:space="preserve">ändras slår olika hårt beroende på bostadsområde. </w:t>
      </w:r>
    </w:p>
    <w:p w:rsidR="00A51C86" w:rsidRPr="0034246D" w:rsidRDefault="00A51C86" w:rsidP="00A51C86">
      <w:pPr>
        <w:pStyle w:val="Normaltindrag"/>
      </w:pPr>
      <w:r w:rsidRPr="0034246D">
        <w:t>Den totala fastighetsskatten för småhus, hyreshusenheter, kommersiella lokaler och industrifastigheter beräknas uppgå till 2</w:t>
      </w:r>
      <w:r w:rsidR="00605E49" w:rsidRPr="0034246D">
        <w:t>6</w:t>
      </w:r>
      <w:r w:rsidRPr="0034246D">
        <w:t xml:space="preserve"> miljarder </w:t>
      </w:r>
      <w:r w:rsidR="00B2233B" w:rsidRPr="0034246D">
        <w:t>2006</w:t>
      </w:r>
      <w:r w:rsidRPr="0034246D">
        <w:t>.</w:t>
      </w:r>
      <w:bookmarkStart w:id="6" w:name="_Toc433632191"/>
      <w:r w:rsidRPr="0034246D">
        <w:t xml:space="preserve"> Till detta </w:t>
      </w:r>
      <w:r w:rsidR="00C46E26" w:rsidRPr="0034246D">
        <w:t>ska</w:t>
      </w:r>
      <w:r w:rsidRPr="0034246D">
        <w:t xml:space="preserve"> läggas att många drabbas av förmögenhetsskatt på sin bostad. Dä</w:t>
      </w:r>
      <w:r w:rsidRPr="0034246D">
        <w:t>r</w:t>
      </w:r>
      <w:r w:rsidR="00BF314F" w:rsidRPr="0034246D">
        <w:t xml:space="preserve">med uppgår den </w:t>
      </w:r>
      <w:r w:rsidRPr="0034246D">
        <w:t>fastighetsrelaterade skatten till betydligt högre belopp.</w:t>
      </w:r>
    </w:p>
    <w:p w:rsidR="00A51C86" w:rsidRPr="0034246D" w:rsidRDefault="00A51C86" w:rsidP="00A51C86">
      <w:pPr>
        <w:pStyle w:val="Rubrik1"/>
        <w:rPr>
          <w:snapToGrid w:val="0"/>
        </w:rPr>
      </w:pPr>
      <w:bookmarkStart w:id="7" w:name="_Toc83901803"/>
      <w:r w:rsidRPr="0034246D">
        <w:rPr>
          <w:snapToGrid w:val="0"/>
        </w:rPr>
        <w:t>Löpande fastighetsbeskattning är principiellt felaktig</w:t>
      </w:r>
      <w:bookmarkEnd w:id="7"/>
    </w:p>
    <w:p w:rsidR="00A51C86" w:rsidRPr="0034246D" w:rsidRDefault="00A51C86" w:rsidP="00885088">
      <w:pPr>
        <w:pStyle w:val="Rubrik2"/>
        <w:spacing w:before="120"/>
        <w:rPr>
          <w:snapToGrid w:val="0"/>
        </w:rPr>
      </w:pPr>
      <w:bookmarkStart w:id="8" w:name="_Toc83901804"/>
      <w:r w:rsidRPr="0034246D">
        <w:rPr>
          <w:snapToGrid w:val="0"/>
        </w:rPr>
        <w:t>Teorin bakom fastighetsskatten är inte konsistent</w:t>
      </w:r>
      <w:bookmarkEnd w:id="8"/>
    </w:p>
    <w:p w:rsidR="00A51C86" w:rsidRPr="0034246D" w:rsidRDefault="00A51C86" w:rsidP="00A51C86">
      <w:pPr>
        <w:rPr>
          <w:snapToGrid w:val="0"/>
        </w:rPr>
      </w:pPr>
      <w:r w:rsidRPr="0034246D">
        <w:rPr>
          <w:snapToGrid w:val="0"/>
        </w:rPr>
        <w:t xml:space="preserve">Konstruktionen med nuvarande löpande fastighetsbeskattning är enligt vår mening principiellt felaktig. Låt oss därför redogöra för denna. Ägande av bostäder betraktas i nuvarande skattesystem </w:t>
      </w:r>
      <w:r w:rsidR="008A4DE5" w:rsidRPr="0034246D">
        <w:rPr>
          <w:snapToGrid w:val="0"/>
        </w:rPr>
        <w:t xml:space="preserve">som </w:t>
      </w:r>
      <w:r w:rsidRPr="0034246D">
        <w:rPr>
          <w:snapToGrid w:val="0"/>
        </w:rPr>
        <w:t>en form av sparande eller kapitalplacering. Enligt likformighetsnormen för kapitalbeskattningen får, till att börja med, inget obeskattat sparande förekomma. Vidare gäller enligt detta synsätt att ”den implicita avkastning i form av boendetjänster som egn</w:t>
      </w:r>
      <w:r w:rsidRPr="0034246D">
        <w:rPr>
          <w:snapToGrid w:val="0"/>
        </w:rPr>
        <w:t>a</w:t>
      </w:r>
      <w:r w:rsidRPr="0034246D">
        <w:rPr>
          <w:snapToGrid w:val="0"/>
        </w:rPr>
        <w:t xml:space="preserve">hemsägaren eller bostadsrättsinnehavaren erhåller </w:t>
      </w:r>
      <w:r w:rsidR="00C46E26" w:rsidRPr="0034246D">
        <w:rPr>
          <w:snapToGrid w:val="0"/>
        </w:rPr>
        <w:t>skall</w:t>
      </w:r>
      <w:r w:rsidRPr="0034246D">
        <w:rPr>
          <w:snapToGrid w:val="0"/>
        </w:rPr>
        <w:t xml:space="preserve"> utgöra skattepliktig inkomst”</w:t>
      </w:r>
      <w:r w:rsidRPr="0034246D">
        <w:rPr>
          <w:rStyle w:val="Fotnotsreferens"/>
          <w:snapToGrid w:val="0"/>
        </w:rPr>
        <w:footnoteReference w:id="1"/>
      </w:r>
      <w:r w:rsidRPr="0034246D">
        <w:rPr>
          <w:snapToGrid w:val="0"/>
        </w:rPr>
        <w:t>. Därför ska såväl den löpande beskattningen som reavinstbeskat</w:t>
      </w:r>
      <w:r w:rsidRPr="0034246D">
        <w:rPr>
          <w:snapToGrid w:val="0"/>
        </w:rPr>
        <w:t>t</w:t>
      </w:r>
      <w:r w:rsidRPr="0034246D">
        <w:rPr>
          <w:snapToGrid w:val="0"/>
        </w:rPr>
        <w:t>ningen utformas så att detta sparande beskattas likformigt med annat spara</w:t>
      </w:r>
      <w:r w:rsidRPr="0034246D">
        <w:rPr>
          <w:snapToGrid w:val="0"/>
        </w:rPr>
        <w:t>n</w:t>
      </w:r>
      <w:r w:rsidRPr="0034246D">
        <w:rPr>
          <w:snapToGrid w:val="0"/>
        </w:rPr>
        <w:t xml:space="preserve">de. En kapitalplacering i till exempel en villa </w:t>
      </w:r>
      <w:r w:rsidR="00C46E26" w:rsidRPr="0034246D">
        <w:rPr>
          <w:snapToGrid w:val="0"/>
        </w:rPr>
        <w:t>ska</w:t>
      </w:r>
      <w:r w:rsidRPr="0034246D">
        <w:rPr>
          <w:snapToGrid w:val="0"/>
        </w:rPr>
        <w:t xml:space="preserve"> således beskattas som en kapitalplacering i en aktieportfölj eller sparande på bank. Nivån på beskat</w:t>
      </w:r>
      <w:r w:rsidRPr="0034246D">
        <w:rPr>
          <w:snapToGrid w:val="0"/>
        </w:rPr>
        <w:t>t</w:t>
      </w:r>
      <w:r w:rsidRPr="0034246D">
        <w:rPr>
          <w:snapToGrid w:val="0"/>
        </w:rPr>
        <w:t>ningen bör vara densamma oavsett vilken typ av kapital det rör sig om, det vill säga pengarna ska beskattas lika hårt om man sätter in dem på banken eller om man betalar delar av ett hus med dem. Så långt kan resonemanget låta ganska rimligt, om man medvetet bortser från likviditetsproblemet och ifrån att boende ofta inte alls är en kapitalplacering i första hand utan snarare ett uttryck för ansvaret och plikten att ordna boende för sig själv och sin f</w:t>
      </w:r>
      <w:r w:rsidRPr="0034246D">
        <w:rPr>
          <w:snapToGrid w:val="0"/>
        </w:rPr>
        <w:t>a</w:t>
      </w:r>
      <w:r w:rsidRPr="0034246D">
        <w:rPr>
          <w:snapToGrid w:val="0"/>
        </w:rPr>
        <w:t xml:space="preserve">milj. </w:t>
      </w:r>
    </w:p>
    <w:p w:rsidR="00A51C86" w:rsidRPr="0034246D" w:rsidRDefault="00A51C86" w:rsidP="00A51C86">
      <w:pPr>
        <w:pStyle w:val="Normaltindrag"/>
        <w:rPr>
          <w:snapToGrid w:val="0"/>
          <w:sz w:val="14"/>
        </w:rPr>
      </w:pPr>
      <w:r w:rsidRPr="0034246D">
        <w:rPr>
          <w:snapToGrid w:val="0"/>
        </w:rPr>
        <w:t>Men resonemanget stämmer dåligt överens med verkligheten när det gäller beskattningen av småhus. Den skattesats på 1,2 procent av taxeringsvärdet som gällde före regeringens senaste reträtt förutsatte en real avkastning på 4 procent för att vara jämförbar med 30 procents kapitalinkomstskatt på en alternativ placering (till exempel sparande i bank). Lägger man sedan förm</w:t>
      </w:r>
      <w:r w:rsidRPr="0034246D">
        <w:rPr>
          <w:snapToGrid w:val="0"/>
        </w:rPr>
        <w:t>ö</w:t>
      </w:r>
      <w:r w:rsidRPr="0034246D">
        <w:rPr>
          <w:snapToGrid w:val="0"/>
        </w:rPr>
        <w:t>genhetsskatten till detta, så blir det reala avkastningskravet på en alternativ placering hela 6,2 procent om pengar bundna i fastigheten inte ska vara hå</w:t>
      </w:r>
      <w:r w:rsidRPr="0034246D">
        <w:rPr>
          <w:snapToGrid w:val="0"/>
        </w:rPr>
        <w:t>r</w:t>
      </w:r>
      <w:r w:rsidRPr="0034246D">
        <w:rPr>
          <w:snapToGrid w:val="0"/>
        </w:rPr>
        <w:t>dare beskattade än pengar placerade på annat sätt.</w:t>
      </w:r>
      <w:r w:rsidRPr="0034246D">
        <w:rPr>
          <w:rStyle w:val="Fotnotsreferens"/>
          <w:snapToGrid w:val="0"/>
        </w:rPr>
        <w:footnoteReference w:id="2"/>
      </w:r>
      <w:r w:rsidRPr="0034246D">
        <w:rPr>
          <w:snapToGrid w:val="0"/>
        </w:rPr>
        <w:t xml:space="preserve"> </w:t>
      </w:r>
    </w:p>
    <w:p w:rsidR="00A51C86" w:rsidRPr="0034246D" w:rsidRDefault="00A51C86" w:rsidP="00885088">
      <w:pPr>
        <w:pStyle w:val="Normaltindrag"/>
        <w:rPr>
          <w:snapToGrid w:val="0"/>
        </w:rPr>
      </w:pPr>
      <w:r w:rsidRPr="0034246D">
        <w:rPr>
          <w:snapToGrid w:val="0"/>
        </w:rPr>
        <w:t>En så hög avkastning kan man normalt inte väntas uppnå på placeringar med lika låg risk som fastighetsinnehav. Fastighetsskatten, som beräknas utifrån marknadsvärdet, innebär också att värdestegringen beskattas innan den real</w:t>
      </w:r>
      <w:r w:rsidRPr="0034246D">
        <w:rPr>
          <w:snapToGrid w:val="0"/>
        </w:rPr>
        <w:t>i</w:t>
      </w:r>
      <w:r w:rsidRPr="0034246D">
        <w:rPr>
          <w:snapToGrid w:val="0"/>
        </w:rPr>
        <w:t>serats. Men så är inte fallet om man placerar pengar i aktier. Då beskattas värdestegringen först vid försäljningen. Redan dessa förhållanden gör det svårt att motivera dagens löpande beskattning av egnahemsboende med li</w:t>
      </w:r>
      <w:r w:rsidRPr="0034246D">
        <w:rPr>
          <w:snapToGrid w:val="0"/>
        </w:rPr>
        <w:t>k</w:t>
      </w:r>
      <w:r w:rsidRPr="0034246D">
        <w:rPr>
          <w:snapToGrid w:val="0"/>
        </w:rPr>
        <w:t xml:space="preserve">formighetsskäl. </w:t>
      </w:r>
    </w:p>
    <w:p w:rsidR="00A51C86" w:rsidRPr="0034246D" w:rsidRDefault="00A51C86" w:rsidP="00A51C86">
      <w:pPr>
        <w:pStyle w:val="Normaltindrag"/>
        <w:rPr>
          <w:snapToGrid w:val="0"/>
        </w:rPr>
      </w:pPr>
      <w:r w:rsidRPr="0034246D">
        <w:rPr>
          <w:snapToGrid w:val="0"/>
        </w:rPr>
        <w:t>Kännetecknande för en kapitaltillgång är att den ger någon form av a</w:t>
      </w:r>
      <w:r w:rsidRPr="0034246D">
        <w:rPr>
          <w:snapToGrid w:val="0"/>
        </w:rPr>
        <w:t>v</w:t>
      </w:r>
      <w:r w:rsidRPr="0034246D">
        <w:rPr>
          <w:snapToGrid w:val="0"/>
        </w:rPr>
        <w:t>kastning. Tillgångar i kapital ger i regel löpande avkastning i reda pengar, men så är inte fallet med egna hem. Den konstgjorda parallellen med andra kapitalplaceringar upprätthålls dock genom att regeringen och andra förespr</w:t>
      </w:r>
      <w:r w:rsidRPr="0034246D">
        <w:rPr>
          <w:snapToGrid w:val="0"/>
        </w:rPr>
        <w:t>å</w:t>
      </w:r>
      <w:r w:rsidRPr="0034246D">
        <w:rPr>
          <w:snapToGrid w:val="0"/>
        </w:rPr>
        <w:t>kare talar om en ”icke-monetär” avkastning, det vill säga en avkastning eller ”inkomst” som inte faller ut i reda pengar. Denna ”avkastning” sägs alltså motsvara den inkomst kapitalet skulle ha genererat om det placerats i någon alternativ sparform. Ett annat begrepp som används för att beteckna denna ”avkastning” är nettohyresvärde. Ofta används bilden</w:t>
      </w:r>
      <w:r w:rsidR="00C46E26" w:rsidRPr="0034246D">
        <w:rPr>
          <w:snapToGrid w:val="0"/>
        </w:rPr>
        <w:t>,</w:t>
      </w:r>
      <w:r w:rsidRPr="0034246D">
        <w:rPr>
          <w:snapToGrid w:val="0"/>
        </w:rPr>
        <w:t xml:space="preserve"> i t.ex. utredningssa</w:t>
      </w:r>
      <w:r w:rsidRPr="0034246D">
        <w:rPr>
          <w:snapToGrid w:val="0"/>
        </w:rPr>
        <w:t>m</w:t>
      </w:r>
      <w:r w:rsidRPr="0034246D">
        <w:rPr>
          <w:snapToGrid w:val="0"/>
        </w:rPr>
        <w:t>manhang</w:t>
      </w:r>
      <w:r w:rsidR="00C46E26" w:rsidRPr="0034246D">
        <w:rPr>
          <w:snapToGrid w:val="0"/>
        </w:rPr>
        <w:t>,</w:t>
      </w:r>
      <w:r w:rsidRPr="0034246D">
        <w:rPr>
          <w:snapToGrid w:val="0"/>
        </w:rPr>
        <w:t xml:space="preserve"> att egnahemsägaren skulle kunna hyra ut sitt hem på hyresmarkn</w:t>
      </w:r>
      <w:r w:rsidRPr="0034246D">
        <w:rPr>
          <w:snapToGrid w:val="0"/>
        </w:rPr>
        <w:t>a</w:t>
      </w:r>
      <w:r w:rsidRPr="0034246D">
        <w:rPr>
          <w:snapToGrid w:val="0"/>
        </w:rPr>
        <w:t>den, men om han/hon inte gör detta, är det som om hon/han hyrde ut fastigh</w:t>
      </w:r>
      <w:r w:rsidRPr="0034246D">
        <w:rPr>
          <w:snapToGrid w:val="0"/>
        </w:rPr>
        <w:t>e</w:t>
      </w:r>
      <w:r w:rsidRPr="0034246D">
        <w:rPr>
          <w:snapToGrid w:val="0"/>
        </w:rPr>
        <w:t>ten till sig själv. Detta värde, som denna hyresintäkt betingar, låt vara att den är icke-monetär och fiktiv, ska enligt logiken fångas upp till beskattning g</w:t>
      </w:r>
      <w:r w:rsidRPr="0034246D">
        <w:rPr>
          <w:snapToGrid w:val="0"/>
        </w:rPr>
        <w:t>e</w:t>
      </w:r>
      <w:r w:rsidRPr="0034246D">
        <w:rPr>
          <w:snapToGrid w:val="0"/>
        </w:rPr>
        <w:t>nom fastighetsskatten.</w:t>
      </w:r>
    </w:p>
    <w:p w:rsidR="00A51C86" w:rsidRPr="0034246D" w:rsidRDefault="00A51C86" w:rsidP="00885088">
      <w:pPr>
        <w:pStyle w:val="Normaltindrag"/>
      </w:pPr>
      <w:r w:rsidRPr="0034246D">
        <w:t>Kristdemokraterna anser således att fastighetsskatten genom sin konstru</w:t>
      </w:r>
      <w:r w:rsidRPr="0034246D">
        <w:t>k</w:t>
      </w:r>
      <w:r w:rsidRPr="0034246D">
        <w:t>tion kommer i konflikt med såväl äganderätten som den social- och skatt</w:t>
      </w:r>
      <w:r w:rsidRPr="0034246D">
        <w:t>e</w:t>
      </w:r>
      <w:r w:rsidRPr="0034246D">
        <w:t>rättsliga principen om skatt efter bärkraft. Den statliga fastighetsskatten kan inte heller motiveras utifrån intresseprincipen, eftersom det inte finns någon som helst koppling mellan å ena sidan den skatt man tvingas betala och å andra sidan någon form av förmån eller nyttighet man har som fastighetsäg</w:t>
      </w:r>
      <w:r w:rsidRPr="0034246D">
        <w:t>a</w:t>
      </w:r>
      <w:r w:rsidRPr="0034246D">
        <w:t>re. Den nuvarande konstruktionen är också svårmotiverad även om man a</w:t>
      </w:r>
      <w:r w:rsidRPr="0034246D">
        <w:t>c</w:t>
      </w:r>
      <w:r w:rsidRPr="0034246D">
        <w:t>cepterar kapitalinkomstperspektivet, och någon utvecklad logik med att b</w:t>
      </w:r>
      <w:r w:rsidRPr="0034246D">
        <w:t>e</w:t>
      </w:r>
      <w:r w:rsidRPr="0034246D">
        <w:t xml:space="preserve">skatta boende både som kapital och konsumtion finns inte. </w:t>
      </w:r>
    </w:p>
    <w:p w:rsidR="00A51C86" w:rsidRPr="0034246D" w:rsidRDefault="00A51C86" w:rsidP="00A51C86">
      <w:pPr>
        <w:pStyle w:val="Normaltindrag"/>
        <w:rPr>
          <w:rStyle w:val="FormatmallAGaramond"/>
        </w:rPr>
      </w:pPr>
      <w:r w:rsidRPr="0034246D">
        <w:rPr>
          <w:snapToGrid w:val="0"/>
        </w:rPr>
        <w:t>Fastighetsbeskattningen är inte skatteteoretiskt konsistent</w:t>
      </w:r>
      <w:r w:rsidRPr="0034246D">
        <w:rPr>
          <w:i/>
          <w:snapToGrid w:val="0"/>
        </w:rPr>
        <w:t xml:space="preserve"> </w:t>
      </w:r>
      <w:r w:rsidRPr="0034246D">
        <w:rPr>
          <w:snapToGrid w:val="0"/>
        </w:rPr>
        <w:t>inom den norm för likformig kapitalinkomstbeskattning som råder sedan skattereformen 1990/91. Skatten saknar därmed legitimitet.</w:t>
      </w:r>
    </w:p>
    <w:p w:rsidR="00A51C86" w:rsidRPr="0034246D" w:rsidRDefault="00A51C86" w:rsidP="00A51C86">
      <w:pPr>
        <w:pStyle w:val="Rubrik2"/>
      </w:pPr>
      <w:bookmarkStart w:id="9" w:name="_Toc33958054"/>
      <w:bookmarkStart w:id="10" w:name="_Toc83901805"/>
      <w:r w:rsidRPr="0034246D">
        <w:t>Skatteförmågeprincipen</w:t>
      </w:r>
      <w:bookmarkEnd w:id="9"/>
      <w:r w:rsidRPr="0034246D">
        <w:t xml:space="preserve"> i konflikt med fastighetsskatten</w:t>
      </w:r>
      <w:bookmarkEnd w:id="10"/>
    </w:p>
    <w:p w:rsidR="00A51C86" w:rsidRPr="0034246D" w:rsidRDefault="00A51C86" w:rsidP="00CE6C68">
      <w:r w:rsidRPr="0034246D">
        <w:t>Skatteförmågeprincipen anger att var och en ska betala skatt efter sin egen förmåga. Detta medför att endast de som har möjlighet att betala skatt ska vara skyldiga att betala skatt. Inom ramen för denna princip brukar man även tala om ”kontantmetoden”, vilken innebär att en inkomst ska beskattas först när den erhållits, eftersom det är först då skatteförmågan uppkommit. Samt</w:t>
      </w:r>
      <w:r w:rsidRPr="0034246D">
        <w:t>i</w:t>
      </w:r>
      <w:r w:rsidRPr="0034246D">
        <w:t>digt vore det principiellt felaktigt att ha fastighetsskatt bara för dem som kan betala den. Det rimliga är givetvis att inte ha någon fastighetsskatt över</w:t>
      </w:r>
      <w:r w:rsidR="00C46E26" w:rsidRPr="0034246D">
        <w:t xml:space="preserve"> </w:t>
      </w:r>
      <w:r w:rsidRPr="0034246D">
        <w:t>huvud</w:t>
      </w:r>
      <w:r w:rsidR="00C46E26" w:rsidRPr="0034246D">
        <w:t xml:space="preserve"> </w:t>
      </w:r>
      <w:r w:rsidRPr="0034246D">
        <w:t xml:space="preserve">taget. </w:t>
      </w:r>
    </w:p>
    <w:p w:rsidR="00A51C86" w:rsidRPr="0034246D" w:rsidRDefault="00A51C86" w:rsidP="00A51C86">
      <w:pPr>
        <w:pStyle w:val="Rubrik2"/>
      </w:pPr>
      <w:bookmarkStart w:id="11" w:name="_Toc33958055"/>
      <w:bookmarkStart w:id="12" w:name="_Toc83901806"/>
      <w:r w:rsidRPr="0034246D">
        <w:t>Fastighetsskatten strider mot minsta-offer-principen</w:t>
      </w:r>
      <w:bookmarkEnd w:id="11"/>
      <w:bookmarkEnd w:id="12"/>
    </w:p>
    <w:p w:rsidR="008F7D74" w:rsidRPr="0034246D" w:rsidRDefault="00A51C86" w:rsidP="00885088">
      <w:r w:rsidRPr="0034246D">
        <w:t>Minsta offerprincipen grundar sig på att största möjliga nytta ska beredas största möjliga antal medborgare. Skatten ska alltså fördelas mellan sa</w:t>
      </w:r>
      <w:r w:rsidRPr="0034246D">
        <w:t>m</w:t>
      </w:r>
      <w:r w:rsidRPr="0034246D">
        <w:t>hällsmedlemmarna på ett sätt så att den medför minsta möjliga uppoffring för dem. Om inkomstfördelningen mellan medborgarna är väldigt ojämn, kan beskattningen utformas på ett sådant sätt att den omfördelar inkomsterna mellan olika medborgare. Även i denna princip antar man att nyttan av pengar är avtagande. Fastighetsskatten strider med sin godtycklighet mot denna pri</w:t>
      </w:r>
      <w:r w:rsidRPr="0034246D">
        <w:t>n</w:t>
      </w:r>
      <w:r w:rsidRPr="0034246D">
        <w:t xml:space="preserve">cip. </w:t>
      </w:r>
      <w:r w:rsidRPr="0034246D">
        <w:rPr>
          <w:rStyle w:val="FormatmallAGaramond"/>
        </w:rPr>
        <w:t xml:space="preserve"> </w:t>
      </w:r>
      <w:bookmarkStart w:id="13" w:name="_Toc33958058"/>
      <w:bookmarkStart w:id="14" w:name="_Toc83901807"/>
    </w:p>
    <w:p w:rsidR="00A51C86" w:rsidRPr="0034246D" w:rsidRDefault="00A51C86" w:rsidP="008F7D74">
      <w:pPr>
        <w:pStyle w:val="Rubrik2"/>
        <w:rPr>
          <w:snapToGrid w:val="0"/>
        </w:rPr>
      </w:pPr>
      <w:r w:rsidRPr="0034246D">
        <w:rPr>
          <w:snapToGrid w:val="0"/>
        </w:rPr>
        <w:t>Neutralitetsprincipen</w:t>
      </w:r>
      <w:bookmarkEnd w:id="13"/>
      <w:r w:rsidRPr="0034246D">
        <w:rPr>
          <w:snapToGrid w:val="0"/>
        </w:rPr>
        <w:t xml:space="preserve"> slås ut av fastighetsskatten</w:t>
      </w:r>
      <w:bookmarkEnd w:id="14"/>
    </w:p>
    <w:p w:rsidR="00A51C86" w:rsidRPr="0034246D" w:rsidRDefault="00A51C86" w:rsidP="00CE6C68">
      <w:r w:rsidRPr="0034246D">
        <w:t>Neutralitetsprincipen innebär att beskattningen ska vara utformad så att den är neutral i förhållande till olika handlingsalternativ. Beskattningen ska alltså inte styra en persons val av boende. Beskattningen ska inte påverka valet mellan arbete och fritid, mellan konsumtion och sparande och ska inte påve</w:t>
      </w:r>
      <w:r w:rsidRPr="0034246D">
        <w:t>r</w:t>
      </w:r>
      <w:r w:rsidRPr="0034246D">
        <w:t>ka den enskildes konsumtionsalternativ. För att uppnå ett neutralt skattes</w:t>
      </w:r>
      <w:r w:rsidRPr="0034246D">
        <w:t>y</w:t>
      </w:r>
      <w:r w:rsidRPr="0034246D">
        <w:t>stem krävs att det är så likformigt som möjligt. Fastighetsskatten påverkar människors valmöjligheter och styr människors val i</w:t>
      </w:r>
      <w:r w:rsidR="00C46E26" w:rsidRPr="0034246D">
        <w:t xml:space="preserve"> </w:t>
      </w:r>
      <w:r w:rsidRPr="0034246D">
        <w:t xml:space="preserve">fråga om bostad både genom var man väljer att bo geografiskt och vilken standard boendet man väljer.  </w:t>
      </w:r>
    </w:p>
    <w:p w:rsidR="00A51C86" w:rsidRPr="0034246D" w:rsidRDefault="00A51C86" w:rsidP="00A51C86">
      <w:pPr>
        <w:pStyle w:val="Rubrik2"/>
        <w:rPr>
          <w:snapToGrid w:val="0"/>
        </w:rPr>
      </w:pPr>
      <w:bookmarkStart w:id="15" w:name="_Toc83901808"/>
      <w:r w:rsidRPr="0034246D">
        <w:rPr>
          <w:snapToGrid w:val="0"/>
        </w:rPr>
        <w:t>Verklighetsfrämmande</w:t>
      </w:r>
      <w:bookmarkEnd w:id="15"/>
    </w:p>
    <w:p w:rsidR="00A51C86" w:rsidRPr="0034246D" w:rsidRDefault="00A51C86" w:rsidP="00A51C86">
      <w:pPr>
        <w:rPr>
          <w:snapToGrid w:val="0"/>
        </w:rPr>
      </w:pPr>
      <w:r w:rsidRPr="0034246D">
        <w:rPr>
          <w:snapToGrid w:val="0"/>
        </w:rPr>
        <w:t>Motiven för den löpande fastighetsbeskattningen är verklighetsfrämmande för</w:t>
      </w:r>
      <w:r w:rsidR="00885088" w:rsidRPr="0034246D">
        <w:rPr>
          <w:snapToGrid w:val="0"/>
        </w:rPr>
        <w:t xml:space="preserve"> </w:t>
      </w:r>
      <w:r w:rsidRPr="0034246D">
        <w:rPr>
          <w:snapToGrid w:val="0"/>
        </w:rPr>
        <w:t>den stora majoriteten av småhusägare och bostadsrättsinnehavare. Det ver</w:t>
      </w:r>
      <w:r w:rsidRPr="0034246D">
        <w:rPr>
          <w:snapToGrid w:val="0"/>
        </w:rPr>
        <w:t>k</w:t>
      </w:r>
      <w:r w:rsidRPr="0034246D">
        <w:rPr>
          <w:snapToGrid w:val="0"/>
        </w:rPr>
        <w:t>lighetsfrämmande består i att småhusägare och bostadsrättsinnehavare i regel huvudsakligen köpt sina hus eller bostadsrätter för att bo i dem och inte för att placera ett stort överskott av kapital. Att ordna bostad för sig själv och sina närmaste är ur allmänmänsklig synvinkel snarast att betrakta som ett grun</w:t>
      </w:r>
      <w:r w:rsidRPr="0034246D">
        <w:rPr>
          <w:snapToGrid w:val="0"/>
        </w:rPr>
        <w:t>d</w:t>
      </w:r>
      <w:r w:rsidRPr="0034246D">
        <w:rPr>
          <w:snapToGrid w:val="0"/>
        </w:rPr>
        <w:t>läggande behov, en plikt och i slutändan en rättighet, än som en av flera mö</w:t>
      </w:r>
      <w:r w:rsidRPr="0034246D">
        <w:rPr>
          <w:snapToGrid w:val="0"/>
        </w:rPr>
        <w:t>j</w:t>
      </w:r>
      <w:r w:rsidRPr="0034246D">
        <w:rPr>
          <w:snapToGrid w:val="0"/>
        </w:rPr>
        <w:t>ligheter till kapitalplacering.</w:t>
      </w:r>
    </w:p>
    <w:p w:rsidR="00A51C86" w:rsidRPr="0034246D" w:rsidRDefault="00A51C86" w:rsidP="00A51C86">
      <w:pPr>
        <w:pStyle w:val="Rubrik2"/>
        <w:rPr>
          <w:snapToGrid w:val="0"/>
        </w:rPr>
      </w:pPr>
      <w:bookmarkStart w:id="16" w:name="_Toc83901809"/>
      <w:r w:rsidRPr="0034246D">
        <w:rPr>
          <w:snapToGrid w:val="0"/>
        </w:rPr>
        <w:t>Hot mot äganderätten</w:t>
      </w:r>
      <w:bookmarkEnd w:id="16"/>
    </w:p>
    <w:p w:rsidR="00A51C86" w:rsidRPr="0034246D" w:rsidRDefault="00A51C86" w:rsidP="00A51C86">
      <w:pPr>
        <w:rPr>
          <w:snapToGrid w:val="0"/>
        </w:rPr>
      </w:pPr>
      <w:r w:rsidRPr="0034246D">
        <w:rPr>
          <w:snapToGrid w:val="0"/>
        </w:rPr>
        <w:t>Hotet mot ägandet blir akut, när den enskilde husägaren på grund av fasti</w:t>
      </w:r>
      <w:r w:rsidRPr="0034246D">
        <w:rPr>
          <w:snapToGrid w:val="0"/>
        </w:rPr>
        <w:t>g</w:t>
      </w:r>
      <w:r w:rsidRPr="0034246D">
        <w:rPr>
          <w:snapToGrid w:val="0"/>
        </w:rPr>
        <w:t>hetsskatten</w:t>
      </w:r>
      <w:r w:rsidR="00885088" w:rsidRPr="0034246D">
        <w:rPr>
          <w:snapToGrid w:val="0"/>
        </w:rPr>
        <w:t xml:space="preserve"> </w:t>
      </w:r>
      <w:r w:rsidRPr="0034246D">
        <w:rPr>
          <w:snapToGrid w:val="0"/>
        </w:rPr>
        <w:t>drabbas av likviditetsproblem, som regeringen brukar välja att kalla det. Med</w:t>
      </w:r>
      <w:r w:rsidR="00885088" w:rsidRPr="0034246D">
        <w:rPr>
          <w:snapToGrid w:val="0"/>
        </w:rPr>
        <w:t xml:space="preserve"> </w:t>
      </w:r>
      <w:r w:rsidRPr="0034246D">
        <w:rPr>
          <w:snapToGrid w:val="0"/>
        </w:rPr>
        <w:t>likviditetsproblem avses att fastighetsskatten inte tar hänsyn till den uråldriga skatterättsliga principen om skatt efter bärkraft. Att låta taxeringsvärdet utg</w:t>
      </w:r>
      <w:r w:rsidRPr="0034246D">
        <w:rPr>
          <w:snapToGrid w:val="0"/>
        </w:rPr>
        <w:t>ö</w:t>
      </w:r>
      <w:r w:rsidRPr="0034246D">
        <w:rPr>
          <w:snapToGrid w:val="0"/>
        </w:rPr>
        <w:t>ra underlag för beskattningen är nämligen detsamma som att bestämma fa</w:t>
      </w:r>
      <w:r w:rsidRPr="0034246D">
        <w:rPr>
          <w:snapToGrid w:val="0"/>
        </w:rPr>
        <w:t>s</w:t>
      </w:r>
      <w:r w:rsidRPr="0034246D">
        <w:rPr>
          <w:snapToGrid w:val="0"/>
        </w:rPr>
        <w:t>tighetsskatten för en viss person genom andra</w:t>
      </w:r>
      <w:r w:rsidRPr="0034246D">
        <w:rPr>
          <w:i/>
          <w:snapToGrid w:val="0"/>
        </w:rPr>
        <w:t xml:space="preserve"> </w:t>
      </w:r>
      <w:r w:rsidRPr="0034246D">
        <w:rPr>
          <w:snapToGrid w:val="0"/>
        </w:rPr>
        <w:t>personers husaffärer. Stiger marknadspriserna på fastigheter så stiger även den allmänna fastighetsskatt</w:t>
      </w:r>
      <w:r w:rsidRPr="0034246D">
        <w:rPr>
          <w:snapToGrid w:val="0"/>
        </w:rPr>
        <w:t>e</w:t>
      </w:r>
      <w:r w:rsidRPr="0034246D">
        <w:rPr>
          <w:snapToGrid w:val="0"/>
        </w:rPr>
        <w:t>nivån i värdeområdet, oavsett hur mycket ett enskilt hushåll har i inkomst eller oavsett hur mycket det förmår betala i skatt.</w:t>
      </w:r>
    </w:p>
    <w:p w:rsidR="00A51C86" w:rsidRPr="0034246D" w:rsidRDefault="00A51C86" w:rsidP="00885088">
      <w:pPr>
        <w:pStyle w:val="Normaltindrag"/>
        <w:rPr>
          <w:snapToGrid w:val="0"/>
        </w:rPr>
      </w:pPr>
      <w:r w:rsidRPr="0034246D">
        <w:rPr>
          <w:snapToGrid w:val="0"/>
        </w:rPr>
        <w:t>Denna orimliga effekt av taxeringsvärdets koppling till det föränderliga marknadsvärdet, ofta i kombination med förmögenhetsbeskattningen, får till följd att permanentboende i kustnära områden eller i expansiva storstadso</w:t>
      </w:r>
      <w:r w:rsidRPr="0034246D">
        <w:rPr>
          <w:snapToGrid w:val="0"/>
        </w:rPr>
        <w:t>m</w:t>
      </w:r>
      <w:r w:rsidRPr="0034246D">
        <w:rPr>
          <w:snapToGrid w:val="0"/>
        </w:rPr>
        <w:t>råden får allt högre fastighetsskatt på grund av nya köpstarka grannar, inte på grund av egna ökade faktiska inkomster. Husägare med låga inkomster, e</w:t>
      </w:r>
      <w:r w:rsidRPr="0034246D">
        <w:rPr>
          <w:snapToGrid w:val="0"/>
        </w:rPr>
        <w:t>x</w:t>
      </w:r>
      <w:r w:rsidRPr="0034246D">
        <w:rPr>
          <w:snapToGrid w:val="0"/>
        </w:rPr>
        <w:t>empelvis en pensionär som betalat av sina skulder på huset, drabbas extremt hårt av nuvarande system. Ägare till privatbostadsfastigheter med låga i</w:t>
      </w:r>
      <w:r w:rsidRPr="0034246D">
        <w:rPr>
          <w:snapToGrid w:val="0"/>
        </w:rPr>
        <w:t>n</w:t>
      </w:r>
      <w:r w:rsidRPr="0034246D">
        <w:rPr>
          <w:snapToGrid w:val="0"/>
        </w:rPr>
        <w:t>komster och kanske avbetalda lån får därför likviditetsproblem och därmed svårigheter att betala skatten. Till slut tvingas de flytta från sina hem. Detta är då inte längre bara fråga om ett hot mot äganderätten, utan den blir ett statligt sanktionerat brott mot äganderätten.</w:t>
      </w:r>
    </w:p>
    <w:p w:rsidR="00A51C86" w:rsidRPr="0034246D" w:rsidRDefault="00A51C86" w:rsidP="00A51C86">
      <w:pPr>
        <w:pStyle w:val="Rubrik1"/>
        <w:rPr>
          <w:snapToGrid w:val="0"/>
        </w:rPr>
      </w:pPr>
      <w:bookmarkStart w:id="17" w:name="_Toc83901810"/>
      <w:r w:rsidRPr="0034246D">
        <w:rPr>
          <w:snapToGrid w:val="0"/>
        </w:rPr>
        <w:t>Regeringens fastighetsskattepolitik förstör hela bostadspolitiken</w:t>
      </w:r>
      <w:bookmarkEnd w:id="17"/>
    </w:p>
    <w:p w:rsidR="00A51C86" w:rsidRPr="0034246D" w:rsidRDefault="00A51C86" w:rsidP="00885088">
      <w:pPr>
        <w:pStyle w:val="Rubrik2"/>
        <w:spacing w:before="120"/>
        <w:rPr>
          <w:snapToGrid w:val="0"/>
        </w:rPr>
      </w:pPr>
      <w:bookmarkStart w:id="18" w:name="_Toc83901811"/>
      <w:r w:rsidRPr="0034246D">
        <w:rPr>
          <w:snapToGrid w:val="0"/>
        </w:rPr>
        <w:t>Orimligt hög beskattning av boendet</w:t>
      </w:r>
      <w:bookmarkEnd w:id="18"/>
    </w:p>
    <w:p w:rsidR="00A51C86" w:rsidRPr="0034246D" w:rsidRDefault="00A51C86" w:rsidP="00A51C86">
      <w:pPr>
        <w:rPr>
          <w:snapToGrid w:val="0"/>
        </w:rPr>
      </w:pPr>
      <w:r w:rsidRPr="0034246D">
        <w:rPr>
          <w:snapToGrid w:val="0"/>
        </w:rPr>
        <w:t>Sedan skattereformen 1990/91 gäller att fastighetsägande även betraktas som konsumtion</w:t>
      </w:r>
      <w:r w:rsidRPr="0034246D">
        <w:rPr>
          <w:i/>
          <w:snapToGrid w:val="0"/>
        </w:rPr>
        <w:t xml:space="preserve"> </w:t>
      </w:r>
      <w:r w:rsidRPr="0034246D">
        <w:rPr>
          <w:snapToGrid w:val="0"/>
        </w:rPr>
        <w:t>i skattehänseende. Således är alla byggnations-, förvaltnings- och underhållskostnader belagda med 25 procents moms. För den som investerat kapital i en aktieportfölj eller i bank är dock varken inköpet eller förvaltnin</w:t>
      </w:r>
      <w:r w:rsidRPr="0034246D">
        <w:rPr>
          <w:snapToGrid w:val="0"/>
        </w:rPr>
        <w:t>g</w:t>
      </w:r>
      <w:r w:rsidRPr="0034246D">
        <w:rPr>
          <w:snapToGrid w:val="0"/>
        </w:rPr>
        <w:t xml:space="preserve">en av detta kapital </w:t>
      </w:r>
      <w:r w:rsidR="00C46E26" w:rsidRPr="0034246D">
        <w:rPr>
          <w:snapToGrid w:val="0"/>
        </w:rPr>
        <w:t>belagda</w:t>
      </w:r>
      <w:r w:rsidRPr="0034246D">
        <w:rPr>
          <w:snapToGrid w:val="0"/>
        </w:rPr>
        <w:t xml:space="preserve"> med moms. Vidare gäller att kapital till exempel kan placeras i en 10-årig obligation utan att skatt behöver betalas förrän efter 10 år, när den löper ut. Pengar kan även placeras i reinvesterande fonder, där utdelningen reinvesteras och beskattning sker först vid försäljning. Dessa fakta gör att logiken kring att både momsbelägga boende och att samtidigt hävda kapitalinkomstperspektivet för egna bostadsfastigheter haltar betän</w:t>
      </w:r>
      <w:r w:rsidRPr="0034246D">
        <w:rPr>
          <w:snapToGrid w:val="0"/>
        </w:rPr>
        <w:t>k</w:t>
      </w:r>
      <w:r w:rsidRPr="0034246D">
        <w:rPr>
          <w:snapToGrid w:val="0"/>
        </w:rPr>
        <w:t>ligt. Det är för övrigt enbart fastigheter som i skattehänseende beskattas både som konsumtion och kapital.</w:t>
      </w:r>
    </w:p>
    <w:p w:rsidR="00A51C86" w:rsidRPr="0034246D" w:rsidRDefault="00A51C86" w:rsidP="00A51C86">
      <w:pPr>
        <w:pStyle w:val="Rubrik2"/>
        <w:rPr>
          <w:snapToGrid w:val="0"/>
        </w:rPr>
      </w:pPr>
      <w:bookmarkStart w:id="19" w:name="_Toc83901812"/>
      <w:r w:rsidRPr="0034246D">
        <w:rPr>
          <w:snapToGrid w:val="0"/>
        </w:rPr>
        <w:t>Begränsningsregel och dämpningsregel löser inte problemen</w:t>
      </w:r>
      <w:bookmarkEnd w:id="19"/>
    </w:p>
    <w:p w:rsidR="00A51C86" w:rsidRPr="0034246D" w:rsidRDefault="00A51C86" w:rsidP="00A51C86">
      <w:pPr>
        <w:rPr>
          <w:snapToGrid w:val="0"/>
        </w:rPr>
      </w:pPr>
      <w:r w:rsidRPr="0034246D">
        <w:rPr>
          <w:snapToGrid w:val="0"/>
        </w:rPr>
        <w:t>Begränsningsregeln i fastighetsskatten samt ändrade grundavdrag i förm</w:t>
      </w:r>
      <w:r w:rsidRPr="0034246D">
        <w:rPr>
          <w:snapToGrid w:val="0"/>
        </w:rPr>
        <w:t>ö</w:t>
      </w:r>
      <w:r w:rsidRPr="0034246D">
        <w:rPr>
          <w:snapToGrid w:val="0"/>
        </w:rPr>
        <w:t>genhetsbeskattningen som regeringen genomdr</w:t>
      </w:r>
      <w:r w:rsidR="00B2233B" w:rsidRPr="0034246D">
        <w:rPr>
          <w:snapToGrid w:val="0"/>
        </w:rPr>
        <w:t xml:space="preserve">ev år </w:t>
      </w:r>
      <w:r w:rsidRPr="0034246D">
        <w:rPr>
          <w:snapToGrid w:val="0"/>
        </w:rPr>
        <w:t xml:space="preserve">2001 </w:t>
      </w:r>
      <w:r w:rsidR="00B2233B" w:rsidRPr="0034246D">
        <w:rPr>
          <w:snapToGrid w:val="0"/>
        </w:rPr>
        <w:t>föreslås nu förbät</w:t>
      </w:r>
      <w:r w:rsidR="00B2233B" w:rsidRPr="0034246D">
        <w:rPr>
          <w:snapToGrid w:val="0"/>
        </w:rPr>
        <w:t>t</w:t>
      </w:r>
      <w:r w:rsidR="00B2233B" w:rsidRPr="0034246D">
        <w:rPr>
          <w:snapToGrid w:val="0"/>
        </w:rPr>
        <w:t>ras från 5 procent av inkomsten till 4 procent. Det är visserligen en förbättring för de fastighetsägare som har det allra svårast. Men det är också ett tydligt symptom på att något är grundläggande fel med den nuvarande fastighetsb</w:t>
      </w:r>
      <w:r w:rsidR="00B2233B" w:rsidRPr="0034246D">
        <w:rPr>
          <w:snapToGrid w:val="0"/>
        </w:rPr>
        <w:t>e</w:t>
      </w:r>
      <w:r w:rsidR="00B2233B" w:rsidRPr="0034246D">
        <w:rPr>
          <w:snapToGrid w:val="0"/>
        </w:rPr>
        <w:t>skattningen när man anser att det är något bra att</w:t>
      </w:r>
      <w:r w:rsidR="00BF314F" w:rsidRPr="0034246D">
        <w:rPr>
          <w:snapToGrid w:val="0"/>
        </w:rPr>
        <w:t xml:space="preserve"> låta låginkomsttagare få 4 </w:t>
      </w:r>
      <w:r w:rsidR="00B2233B" w:rsidRPr="0034246D">
        <w:rPr>
          <w:snapToGrid w:val="0"/>
        </w:rPr>
        <w:t xml:space="preserve">procent högre marginalskatt. Det är liksom dämpningsregeln bara en av </w:t>
      </w:r>
      <w:r w:rsidR="00C46E26" w:rsidRPr="0034246D">
        <w:rPr>
          <w:snapToGrid w:val="0"/>
        </w:rPr>
        <w:t>Soc</w:t>
      </w:r>
      <w:r w:rsidR="00C46E26" w:rsidRPr="0034246D">
        <w:rPr>
          <w:snapToGrid w:val="0"/>
        </w:rPr>
        <w:t>i</w:t>
      </w:r>
      <w:r w:rsidR="00C46E26" w:rsidRPr="0034246D">
        <w:rPr>
          <w:snapToGrid w:val="0"/>
        </w:rPr>
        <w:t xml:space="preserve">aldemokraternas </w:t>
      </w:r>
      <w:r w:rsidRPr="0034246D">
        <w:rPr>
          <w:snapToGrid w:val="0"/>
        </w:rPr>
        <w:t>ad hoc-mässiga regeländringar, som bekräftar kritiken som presenteras i denna motion. Problemens orsak kvarstår i grunden, efte</w:t>
      </w:r>
      <w:r w:rsidRPr="0034246D">
        <w:rPr>
          <w:snapToGrid w:val="0"/>
        </w:rPr>
        <w:t>r</w:t>
      </w:r>
      <w:r w:rsidRPr="0034246D">
        <w:rPr>
          <w:snapToGrid w:val="0"/>
        </w:rPr>
        <w:t>som skattesatsen är fortsatt på en hög nivå och kopplingen till marknadsvä</w:t>
      </w:r>
      <w:r w:rsidRPr="0034246D">
        <w:rPr>
          <w:snapToGrid w:val="0"/>
        </w:rPr>
        <w:t>r</w:t>
      </w:r>
      <w:r w:rsidRPr="0034246D">
        <w:rPr>
          <w:snapToGrid w:val="0"/>
        </w:rPr>
        <w:t xml:space="preserve">det finns kvar. </w:t>
      </w:r>
      <w:r w:rsidR="00B2233B" w:rsidRPr="0034246D">
        <w:rPr>
          <w:snapToGrid w:val="0"/>
        </w:rPr>
        <w:t xml:space="preserve">Likaså skapar begränsningsregeln principiellt djupt tveksamma tröskeleffekter genom att sätta en gräns för hushållets totala inkomst för att det ska kunna åtnjuta begränsningsregeln. </w:t>
      </w:r>
    </w:p>
    <w:p w:rsidR="00A51C86" w:rsidRPr="0034246D" w:rsidRDefault="00A51C86" w:rsidP="00885088">
      <w:pPr>
        <w:pStyle w:val="Normaltindrag"/>
      </w:pPr>
      <w:r w:rsidRPr="0034246D">
        <w:t>Enligt begränsningsregeln ska förvärvsinkomster före skatt, inkomst av kap</w:t>
      </w:r>
      <w:r w:rsidRPr="0034246D">
        <w:t>i</w:t>
      </w:r>
      <w:r w:rsidRPr="0034246D">
        <w:t xml:space="preserve">tal samt 15 procent av den skattepliktiga förmögenheten över fribeloppet räknas som inkomst enligt denna regel. Fastighetens taxeringsvärde </w:t>
      </w:r>
      <w:r w:rsidR="00C46E26" w:rsidRPr="0034246D">
        <w:t>ska</w:t>
      </w:r>
      <w:r w:rsidRPr="0034246D">
        <w:t xml:space="preserve"> dock inte räknas in i förmögenheten. </w:t>
      </w:r>
    </w:p>
    <w:p w:rsidR="00A51C86" w:rsidRPr="0034246D" w:rsidRDefault="00A51C86" w:rsidP="00885088">
      <w:pPr>
        <w:pStyle w:val="Normaltindrag"/>
      </w:pPr>
      <w:r w:rsidRPr="0034246D">
        <w:t>Begränsningsregeln gäller taxeringsvär</w:t>
      </w:r>
      <w:r w:rsidR="00BF314F" w:rsidRPr="0034246D">
        <w:t>den mellan 280 000 kronor och 3 </w:t>
      </w:r>
      <w:r w:rsidRPr="0034246D">
        <w:t>miljoner kronor. För fastigheter med taxeringsvärde över 3 miljoner kronor bet</w:t>
      </w:r>
      <w:r w:rsidRPr="0034246D">
        <w:t>a</w:t>
      </w:r>
      <w:r w:rsidRPr="0034246D">
        <w:t>las full fastighetsskatt på värdet över denna gräns. Fastighetsskatten kan dä</w:t>
      </w:r>
      <w:r w:rsidRPr="0034246D">
        <w:t>r</w:t>
      </w:r>
      <w:r w:rsidRPr="0034246D">
        <w:t xml:space="preserve">med aldrig understiga 2 800 kronor om året. Hushåll med en sammanlagd inkomst över 600 000 kronor om året kan inte utnyttja begränsningsregeln alls. </w:t>
      </w:r>
    </w:p>
    <w:p w:rsidR="00A51C86" w:rsidRPr="0034246D" w:rsidRDefault="00745BE2" w:rsidP="00A51C86">
      <w:pPr>
        <w:pStyle w:val="Normaltindrag"/>
      </w:pPr>
      <w:r w:rsidRPr="0034246D">
        <w:t>Den s.k. dämpningsregeln försenar visserligen höjningarna av fastighet</w:t>
      </w:r>
      <w:r w:rsidRPr="0034246D">
        <w:t>s</w:t>
      </w:r>
      <w:r w:rsidRPr="0034246D">
        <w:t>skatten något men har ingen varaktig effekt. Möjligen fyller den ett syfte genom att de hushåll som tvingas flytta från sitt hem på grund av fastighet</w:t>
      </w:r>
      <w:r w:rsidRPr="0034246D">
        <w:t>s</w:t>
      </w:r>
      <w:r w:rsidRPr="0034246D">
        <w:t xml:space="preserve">skatten får några extra månader på sig att genomföra flytten.  </w:t>
      </w:r>
      <w:r w:rsidR="00A51C86" w:rsidRPr="0034246D">
        <w:t xml:space="preserve">  </w:t>
      </w:r>
    </w:p>
    <w:p w:rsidR="00A51C86" w:rsidRPr="0034246D" w:rsidRDefault="00A51C86" w:rsidP="00A51C86">
      <w:pPr>
        <w:pStyle w:val="Rubrik2"/>
      </w:pPr>
      <w:bookmarkStart w:id="20" w:name="_Toc433632192"/>
      <w:bookmarkStart w:id="21" w:name="_Toc434072705"/>
      <w:bookmarkStart w:id="22" w:name="_Toc463767056"/>
      <w:bookmarkStart w:id="23" w:name="_Toc495051500"/>
      <w:bookmarkStart w:id="24" w:name="_Toc83901813"/>
      <w:bookmarkEnd w:id="6"/>
      <w:r w:rsidRPr="0034246D">
        <w:t>Sverige har världens högsta boendeskatter</w:t>
      </w:r>
      <w:bookmarkEnd w:id="20"/>
      <w:bookmarkEnd w:id="21"/>
      <w:bookmarkEnd w:id="22"/>
      <w:bookmarkEnd w:id="23"/>
      <w:bookmarkEnd w:id="24"/>
    </w:p>
    <w:p w:rsidR="00A51C86" w:rsidRPr="0034246D" w:rsidRDefault="00A51C86" w:rsidP="00A51C86">
      <w:r w:rsidRPr="0034246D">
        <w:t>Trots kritiken från oppositionen har Sverige fortfarande vid sidan av Danmark världens högsta skatter och Sverige har den i särklass hårdaste beskattningen på boendet i hela världen. I övriga europeiska länder är momsen lägre, fö</w:t>
      </w:r>
      <w:r w:rsidRPr="0034246D">
        <w:t>r</w:t>
      </w:r>
      <w:r w:rsidRPr="0034246D">
        <w:t>säljningsskatten (reavinstskatt) förekommer sällan och fastighetsskatten är mycket begränsad. Vissa länder har ingen fastighetsskatt.</w:t>
      </w:r>
    </w:p>
    <w:p w:rsidR="00A51C86" w:rsidRPr="0034246D" w:rsidRDefault="00A51C86" w:rsidP="00A51C86">
      <w:pPr>
        <w:pStyle w:val="Rubrik2"/>
      </w:pPr>
      <w:bookmarkStart w:id="25" w:name="_Toc83901814"/>
      <w:r w:rsidRPr="0034246D">
        <w:t>Svenska hushållens boendekostnader högst i EU</w:t>
      </w:r>
      <w:bookmarkEnd w:id="25"/>
    </w:p>
    <w:p w:rsidR="00A51C86" w:rsidRPr="0034246D" w:rsidRDefault="00A51C86" w:rsidP="00C46E26">
      <w:r w:rsidRPr="0034246D">
        <w:t xml:space="preserve">Hushållen i Sverige har sammantaget de högsta boendekostnaderna i hela EU (förutom Luxemburg). Nästan </w:t>
      </w:r>
      <w:r w:rsidR="00C46E26" w:rsidRPr="0034246D">
        <w:t>30</w:t>
      </w:r>
      <w:r w:rsidRPr="0034246D">
        <w:t xml:space="preserve"> procent av hushållets disponibla inkomst går till att sörja för boendet i Sverige. </w:t>
      </w:r>
    </w:p>
    <w:p w:rsidR="00A51C86" w:rsidRPr="0034246D" w:rsidRDefault="00885088" w:rsidP="008F7D74">
      <w:pPr>
        <w:spacing w:before="0"/>
        <w:jc w:val="left"/>
        <w:rPr>
          <w:b/>
        </w:rPr>
      </w:pPr>
      <w:r w:rsidRPr="0034246D">
        <w:rPr>
          <w:b/>
        </w:rPr>
        <w:br w:type="page"/>
      </w:r>
      <w:r w:rsidR="00C46E26" w:rsidRPr="0034246D">
        <w:rPr>
          <w:b/>
        </w:rPr>
        <w:t>Diagram 1. Hushållens boendekostnader (andel av disponibel</w:t>
      </w:r>
      <w:r w:rsidR="00BF314F" w:rsidRPr="0034246D">
        <w:rPr>
          <w:b/>
        </w:rPr>
        <w:t xml:space="preserve"> </w:t>
      </w:r>
      <w:r w:rsidR="00C46E26" w:rsidRPr="0034246D">
        <w:rPr>
          <w:b/>
        </w:rPr>
        <w:t>inkomst 2001)</w:t>
      </w:r>
      <w:r w:rsidR="00A51C86" w:rsidRPr="0034246D">
        <w:rPr>
          <w:rStyle w:val="Fotnotsreferens"/>
          <w:b/>
        </w:rPr>
        <w:footnoteReference w:id="3"/>
      </w:r>
      <w:r w:rsidR="00C46E26" w:rsidRPr="0034246D">
        <w:rPr>
          <w:b/>
        </w:rPr>
        <w:t xml:space="preserve">        </w:t>
      </w:r>
      <w:r w:rsidR="00A51C86" w:rsidRPr="0034246D">
        <w:rPr>
          <w:b/>
        </w:rPr>
        <w:t xml:space="preserve">                           </w:t>
      </w:r>
    </w:p>
    <w:p w:rsidR="00885088" w:rsidRPr="0034246D" w:rsidRDefault="00885088" w:rsidP="00DD39DD">
      <w:r w:rsidRPr="0034246D">
        <w:object w:dxaOrig="6375" w:dyaOrig="5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7pt;height:238.3pt" o:ole="" fillcolor="window">
            <v:imagedata r:id="rId7" o:title=""/>
          </v:shape>
          <o:OLEObject Type="Embed" ProgID="Excel.Sheet.8" ShapeID="_x0000_i1025" DrawAspect="Content" ObjectID="_1827422573" r:id="rId8"/>
        </w:object>
      </w:r>
      <w:bookmarkStart w:id="26" w:name="_Toc83901815"/>
    </w:p>
    <w:p w:rsidR="00A51C86" w:rsidRPr="0034246D" w:rsidRDefault="00A51C86" w:rsidP="00DD39DD">
      <w:pPr>
        <w:pStyle w:val="Rubrik2"/>
        <w:spacing w:before="360"/>
      </w:pPr>
      <w:r w:rsidRPr="0034246D">
        <w:t>Byggandet har avstannat</w:t>
      </w:r>
      <w:bookmarkEnd w:id="26"/>
    </w:p>
    <w:p w:rsidR="00A51C86" w:rsidRPr="0034246D" w:rsidRDefault="00A51C86" w:rsidP="00A51C86">
      <w:r w:rsidRPr="0034246D">
        <w:t xml:space="preserve">På grund av de höga kostnaderna för boende investeras mindre pengar i nya bostäder. Sverige hade 1999 minst antal nybyggda bostäder i hela EU. Även hyresregleringarna  skapar denna återhållsamhet i byggandet. Sammantaget är slutsatsen att bostadsbristen i de svenska storstäderna är långt ifrån löst.   </w:t>
      </w:r>
      <w:r w:rsidRPr="0034246D">
        <w:rPr>
          <w:sz w:val="16"/>
        </w:rPr>
        <w:t xml:space="preserve">       </w:t>
      </w:r>
    </w:p>
    <w:p w:rsidR="00A51C86" w:rsidRPr="0034246D" w:rsidRDefault="00A51C86" w:rsidP="00A51C86">
      <w:pPr>
        <w:pStyle w:val="Rubrik2"/>
      </w:pPr>
      <w:bookmarkStart w:id="27" w:name="_Toc433632193"/>
      <w:bookmarkStart w:id="28" w:name="_Toc434072706"/>
      <w:bookmarkStart w:id="29" w:name="_Toc463767057"/>
      <w:bookmarkStart w:id="30" w:name="_Toc495051501"/>
      <w:bookmarkStart w:id="31" w:name="_Toc83901816"/>
      <w:r w:rsidRPr="0034246D">
        <w:t>Statens nettoinkomster för boendesektorn</w:t>
      </w:r>
      <w:bookmarkEnd w:id="27"/>
      <w:bookmarkEnd w:id="28"/>
      <w:bookmarkEnd w:id="29"/>
      <w:bookmarkEnd w:id="30"/>
      <w:r w:rsidRPr="0034246D">
        <w:t xml:space="preserve"> överstiger utgifterna</w:t>
      </w:r>
      <w:bookmarkEnd w:id="31"/>
    </w:p>
    <w:p w:rsidR="00A51C86" w:rsidRPr="0034246D" w:rsidRDefault="00A51C86" w:rsidP="00A51C86">
      <w:pPr>
        <w:rPr>
          <w:b/>
          <w:i/>
        </w:rPr>
      </w:pPr>
      <w:r w:rsidRPr="0034246D">
        <w:t>Regeringspolitiken innebär för närvarande att varje förändring av den höga skatten på boende måste finansieras inom samma sektor. När regeringen till följd av den kraftiga opinionen mot den orimliga konstruktionen av fasti</w:t>
      </w:r>
      <w:r w:rsidRPr="0034246D">
        <w:t>g</w:t>
      </w:r>
      <w:r w:rsidRPr="0034246D">
        <w:t xml:space="preserve">hetsbeskattningen föreslår en </w:t>
      </w:r>
      <w:r w:rsidR="00C46E26" w:rsidRPr="0034246D">
        <w:t>–</w:t>
      </w:r>
      <w:r w:rsidRPr="0034246D">
        <w:t xml:space="preserve"> om än blygsam </w:t>
      </w:r>
      <w:r w:rsidR="00C46E26" w:rsidRPr="0034246D">
        <w:t>–</w:t>
      </w:r>
      <w:r w:rsidRPr="0034246D">
        <w:t xml:space="preserve"> lättnad av fastighetsskatten, så </w:t>
      </w:r>
      <w:r w:rsidR="00C46E26" w:rsidRPr="0034246D">
        <w:t>ska</w:t>
      </w:r>
      <w:r w:rsidRPr="0034246D">
        <w:t xml:space="preserve"> den finansieras av höjda taxeringsvärden, vilket ytterligare ökar boe</w:t>
      </w:r>
      <w:r w:rsidRPr="0034246D">
        <w:t>n</w:t>
      </w:r>
      <w:r w:rsidRPr="0034246D">
        <w:t>desegregeringen i landet.</w:t>
      </w:r>
    </w:p>
    <w:p w:rsidR="00A51C86" w:rsidRPr="0034246D" w:rsidRDefault="00A51C86" w:rsidP="00A51C86">
      <w:pPr>
        <w:pStyle w:val="Normaltindrag"/>
      </w:pPr>
      <w:r w:rsidRPr="0034246D">
        <w:t>Statens intäkter och kostnader för boendet genomgår dramatiska förän</w:t>
      </w:r>
      <w:r w:rsidRPr="0034246D">
        <w:t>d</w:t>
      </w:r>
      <w:r w:rsidRPr="0034246D">
        <w:t>ringar. Statens nettokostnader för boendesektorn har tidigare varit stora. Ök</w:t>
      </w:r>
      <w:r w:rsidRPr="0034246D">
        <w:t>a</w:t>
      </w:r>
      <w:r w:rsidRPr="0034246D">
        <w:t xml:space="preserve">de intäkter, från bland annat fastighetsskatt och moms på byggande, ställt mot sjunkande kostnader för räntebidrag, gjorde att statens netto redan 1997 blev positivt. </w:t>
      </w:r>
      <w:bookmarkStart w:id="32" w:name="_Toc463767059"/>
      <w:bookmarkStart w:id="33" w:name="_Toc495051503"/>
      <w:bookmarkStart w:id="34" w:name="_Toc83901817"/>
    </w:p>
    <w:p w:rsidR="00A51C86" w:rsidRPr="0034246D" w:rsidRDefault="00A51C86" w:rsidP="00A51C86">
      <w:pPr>
        <w:pStyle w:val="Rubrik2"/>
      </w:pPr>
      <w:r w:rsidRPr="0034246D">
        <w:t>Ökad boendesegregering</w:t>
      </w:r>
      <w:bookmarkEnd w:id="32"/>
      <w:bookmarkEnd w:id="33"/>
      <w:bookmarkEnd w:id="34"/>
    </w:p>
    <w:p w:rsidR="00A51C86" w:rsidRPr="0034246D" w:rsidRDefault="00A51C86" w:rsidP="00A51C86">
      <w:r w:rsidRPr="0034246D">
        <w:t>Många barnfamiljer och pensionärer med låga inkomster som köpte hus när priserna stod som högst 1989–</w:t>
      </w:r>
      <w:r w:rsidR="00C46E26" w:rsidRPr="0034246D">
        <w:t>19</w:t>
      </w:r>
      <w:r w:rsidRPr="0034246D">
        <w:t>91 har nu stora svårigheter att bo kvar. Detta gäller särskilt boende i skärgårdar och storstadsomr</w:t>
      </w:r>
      <w:r w:rsidRPr="0034246D">
        <w:t>å</w:t>
      </w:r>
      <w:r w:rsidRPr="0034246D">
        <w:t xml:space="preserve">den. </w:t>
      </w:r>
    </w:p>
    <w:p w:rsidR="00A51C86" w:rsidRPr="0034246D" w:rsidRDefault="00A51C86" w:rsidP="00A51C86">
      <w:pPr>
        <w:pStyle w:val="Normaltindrag"/>
      </w:pPr>
      <w:r w:rsidRPr="0034246D">
        <w:t xml:space="preserve">Uppgifter från Statistiska </w:t>
      </w:r>
      <w:r w:rsidR="00C46E26" w:rsidRPr="0034246D">
        <w:t>centralbyrån</w:t>
      </w:r>
      <w:r w:rsidRPr="0034246D">
        <w:t>, SCB visar att 52 procent av LO-medlemmarna bor i småhus (villa eller radhus) som de själva äger. Ytterligare 8 procent bor i småhus med annan upplåtelseform. Det är således fel att påstå att människor som bor i småhus generellt sett är ”rika”. Det bör vidare up</w:t>
      </w:r>
      <w:r w:rsidRPr="0034246D">
        <w:t>p</w:t>
      </w:r>
      <w:r w:rsidRPr="0034246D">
        <w:t>märksammas att 75 procent av alla barn bor i villa.</w:t>
      </w:r>
    </w:p>
    <w:p w:rsidR="00A51C86" w:rsidRPr="0034246D" w:rsidRDefault="00A51C86" w:rsidP="00A51C86">
      <w:pPr>
        <w:pStyle w:val="Normaltindrag"/>
      </w:pPr>
      <w:r w:rsidRPr="0034246D">
        <w:t xml:space="preserve">Regeringen, </w:t>
      </w:r>
      <w:r w:rsidR="00C46E26" w:rsidRPr="0034246D">
        <w:t xml:space="preserve">Vänsterpartiet </w:t>
      </w:r>
      <w:r w:rsidRPr="0034246D">
        <w:t xml:space="preserve">och </w:t>
      </w:r>
      <w:r w:rsidR="00C46E26" w:rsidRPr="0034246D">
        <w:t xml:space="preserve">Miljöpartiet </w:t>
      </w:r>
      <w:r w:rsidRPr="0034246D">
        <w:t>bäddar för en ny bostad</w:t>
      </w:r>
      <w:r w:rsidRPr="0034246D">
        <w:t>s</w:t>
      </w:r>
      <w:r w:rsidRPr="0034246D">
        <w:t xml:space="preserve">segregering genom att överbeskatta småhus och övrigt markboende. Vissa områden kommer att rensas från normalinkomsttagare och endast mycket välbeställda kommer att befolka dessa. </w:t>
      </w:r>
    </w:p>
    <w:p w:rsidR="00A51C86" w:rsidRPr="0034246D" w:rsidRDefault="00A51C86" w:rsidP="00A51C86">
      <w:pPr>
        <w:pStyle w:val="Normaltindrag"/>
      </w:pPr>
      <w:r w:rsidRPr="0034246D">
        <w:t>I skärgårdar, längs kusterna, i fjällvärlden och andra områden som berörs av mycket kraftiga höjningar av taxeringsvärdena utgör fortfarande fasti</w:t>
      </w:r>
      <w:r w:rsidRPr="0034246D">
        <w:t>g</w:t>
      </w:r>
      <w:r w:rsidRPr="0034246D">
        <w:t>hetsskatten ett stort problem. Våra kuster blir ett reservat för rika samtidigt som skatten tvingar bort bönder, hantverkare, butiksägare och fi</w:t>
      </w:r>
      <w:r w:rsidRPr="0034246D">
        <w:t>s</w:t>
      </w:r>
      <w:r w:rsidRPr="0034246D">
        <w:t xml:space="preserve">kare. Det är anmärkningsvärt att </w:t>
      </w:r>
      <w:r w:rsidR="00C46E26" w:rsidRPr="0034246D">
        <w:t xml:space="preserve">Socialdemokraterna </w:t>
      </w:r>
      <w:r w:rsidRPr="0034246D">
        <w:t>vill skapa en sådan segregering. Fastighetsskatten innebär att skillnaden mellan lågprisorter och högprisorter ökar. Det är inte acceptabelt att det för ett likvärdigt hus kan skilja flera tiot</w:t>
      </w:r>
      <w:r w:rsidRPr="0034246D">
        <w:t>u</w:t>
      </w:r>
      <w:r w:rsidRPr="0034246D">
        <w:t>sentals kronor i årlig fastighetsskatt beroende på var i landet huset är beläget.</w:t>
      </w:r>
    </w:p>
    <w:p w:rsidR="00A51C86" w:rsidRPr="0034246D" w:rsidRDefault="00A51C86" w:rsidP="00A51C86">
      <w:pPr>
        <w:pStyle w:val="Rubrik2"/>
      </w:pPr>
      <w:bookmarkStart w:id="35" w:name="_Toc433632196"/>
      <w:bookmarkStart w:id="36" w:name="_Toc434072709"/>
      <w:bookmarkStart w:id="37" w:name="_Toc463767060"/>
      <w:bookmarkStart w:id="38" w:name="_Toc495051504"/>
      <w:bookmarkStart w:id="39" w:name="_Toc83901818"/>
      <w:r w:rsidRPr="0034246D">
        <w:t>Hur ser medborgarna på fastighetsskatten?</w:t>
      </w:r>
      <w:bookmarkEnd w:id="35"/>
      <w:bookmarkEnd w:id="36"/>
      <w:bookmarkEnd w:id="37"/>
      <w:bookmarkEnd w:id="38"/>
      <w:bookmarkEnd w:id="39"/>
    </w:p>
    <w:p w:rsidR="00A51C86" w:rsidRPr="0034246D" w:rsidRDefault="00A51C86" w:rsidP="00A51C86">
      <w:pPr>
        <w:rPr>
          <w:snapToGrid w:val="0"/>
        </w:rPr>
      </w:pPr>
      <w:r w:rsidRPr="0034246D">
        <w:t>Forskningsgruppen för Samhälls- och Informationsstudier, FSI har gjort st</w:t>
      </w:r>
      <w:r w:rsidRPr="0034246D">
        <w:t>u</w:t>
      </w:r>
      <w:r w:rsidRPr="0034246D">
        <w:t>dier som bl.a. visar att det endast är fem procent av LO-anslutna som är neg</w:t>
      </w:r>
      <w:r w:rsidRPr="0034246D">
        <w:t>a</w:t>
      </w:r>
      <w:r w:rsidRPr="0034246D">
        <w:t xml:space="preserve">tiva till en sänkt fastighetsskatt. Inom TCO och SACO är det ungefär samma förhållande. Av hela svenska folket är det endast </w:t>
      </w:r>
      <w:r w:rsidR="00C46E26" w:rsidRPr="0034246D">
        <w:t>5</w:t>
      </w:r>
      <w:r w:rsidRPr="0034246D">
        <w:t xml:space="preserve"> procent som vill behålla fastighetsskatten på samma nivå som den är i</w:t>
      </w:r>
      <w:r w:rsidR="00C46E26" w:rsidRPr="0034246D">
        <w:t xml:space="preserve"> </w:t>
      </w:r>
      <w:r w:rsidRPr="0034246D">
        <w:t>dag. Detta innebär att det finns ett starkt stöd för att fastighetsskatten minskas och slutligen avskaffas helt. FSI har också konstaterat att f</w:t>
      </w:r>
      <w:r w:rsidRPr="0034246D">
        <w:rPr>
          <w:snapToGrid w:val="0"/>
        </w:rPr>
        <w:t xml:space="preserve">astighetsskatten möter en starkt negativ opinion som tydligt går igenom alla partiernas väljargrupper. </w:t>
      </w:r>
      <w:r w:rsidR="00C46E26" w:rsidRPr="0034246D">
        <w:rPr>
          <w:snapToGrid w:val="0"/>
        </w:rPr>
        <w:t>D</w:t>
      </w:r>
      <w:r w:rsidRPr="0034246D">
        <w:rPr>
          <w:snapToGrid w:val="0"/>
        </w:rPr>
        <w:t xml:space="preserve">e mest kunniga </w:t>
      </w:r>
      <w:r w:rsidR="00C46E26" w:rsidRPr="0034246D">
        <w:rPr>
          <w:snapToGrid w:val="0"/>
        </w:rPr>
        <w:t xml:space="preserve">är </w:t>
      </w:r>
      <w:r w:rsidRPr="0034246D">
        <w:rPr>
          <w:snapToGrid w:val="0"/>
        </w:rPr>
        <w:t>ofta de mest kritiska. Bland alla skatter får fastighetsskatten större kritik än skatt</w:t>
      </w:r>
      <w:r w:rsidRPr="0034246D">
        <w:rPr>
          <w:snapToGrid w:val="0"/>
        </w:rPr>
        <w:t>e</w:t>
      </w:r>
      <w:r w:rsidRPr="0034246D">
        <w:rPr>
          <w:snapToGrid w:val="0"/>
        </w:rPr>
        <w:t>trycket och andra enskilda skatter i allmänhet.</w:t>
      </w:r>
    </w:p>
    <w:p w:rsidR="00A51C86" w:rsidRPr="0034246D" w:rsidRDefault="00A51C86" w:rsidP="00885088">
      <w:pPr>
        <w:pStyle w:val="Normaltindrag"/>
      </w:pPr>
      <w:r w:rsidRPr="0034246D">
        <w:rPr>
          <w:snapToGrid w:val="0"/>
        </w:rPr>
        <w:t>De modifieringar av fastighetsskatten som avsetts att mildra den, har knappast lämnat</w:t>
      </w:r>
      <w:r w:rsidR="00885088" w:rsidRPr="0034246D">
        <w:rPr>
          <w:snapToGrid w:val="0"/>
        </w:rPr>
        <w:t xml:space="preserve"> </w:t>
      </w:r>
      <w:r w:rsidRPr="0034246D">
        <w:rPr>
          <w:snapToGrid w:val="0"/>
        </w:rPr>
        <w:t xml:space="preserve">några spår i opinionen sedan 1997. Inte mindre än 450 000 svenskar uppger att de planerar att flytta eller har flyttat eller att det finns en stor risk att </w:t>
      </w:r>
      <w:r w:rsidR="00962557" w:rsidRPr="0034246D">
        <w:rPr>
          <w:snapToGrid w:val="0"/>
        </w:rPr>
        <w:t>de kanske måste flytta på grund</w:t>
      </w:r>
      <w:r w:rsidRPr="0034246D">
        <w:rPr>
          <w:snapToGrid w:val="0"/>
        </w:rPr>
        <w:t xml:space="preserve"> av fastighetsskatten enligt en undersökning gjord av FSI i början av 2003.</w:t>
      </w:r>
    </w:p>
    <w:p w:rsidR="00A51C86" w:rsidRPr="0034246D" w:rsidRDefault="00A51C86" w:rsidP="00A51C86">
      <w:pPr>
        <w:pStyle w:val="Rubrik1"/>
      </w:pPr>
      <w:bookmarkStart w:id="40" w:name="_Toc83901819"/>
      <w:r w:rsidRPr="0034246D">
        <w:t>Kristdemokraternas fastighetsskattepolitik</w:t>
      </w:r>
      <w:bookmarkEnd w:id="40"/>
    </w:p>
    <w:p w:rsidR="00A51C86" w:rsidRPr="0034246D" w:rsidRDefault="00A51C86" w:rsidP="00A51C86">
      <w:pPr>
        <w:rPr>
          <w:snapToGrid w:val="0"/>
        </w:rPr>
      </w:pPr>
      <w:r w:rsidRPr="0034246D">
        <w:rPr>
          <w:snapToGrid w:val="0"/>
        </w:rPr>
        <w:t>Kristdemokraterna föreslår att den statliga fastighetsskatten slopas helt för småhus (egna hem) och bostadshyreshus (hyresrätter och bostadsrättsför</w:t>
      </w:r>
      <w:r w:rsidRPr="0034246D">
        <w:rPr>
          <w:snapToGrid w:val="0"/>
        </w:rPr>
        <w:t>e</w:t>
      </w:r>
      <w:r w:rsidRPr="0034246D">
        <w:rPr>
          <w:snapToGrid w:val="0"/>
        </w:rPr>
        <w:t>ningar), kommersiella lokaler och industrienheter. Kommunerna ges rätt att ta ut en fast avgift per småhus, per bostadslägenhet samt per kvadratmeter l</w:t>
      </w:r>
      <w:r w:rsidRPr="0034246D">
        <w:rPr>
          <w:snapToGrid w:val="0"/>
        </w:rPr>
        <w:t>o</w:t>
      </w:r>
      <w:r w:rsidRPr="0034246D">
        <w:rPr>
          <w:snapToGrid w:val="0"/>
        </w:rPr>
        <w:t>kalyta för kommersiella lokaler och industrienheter. Reavinstskatten vid fö</w:t>
      </w:r>
      <w:r w:rsidRPr="0034246D">
        <w:rPr>
          <w:snapToGrid w:val="0"/>
        </w:rPr>
        <w:t>r</w:t>
      </w:r>
      <w:r w:rsidRPr="0034246D">
        <w:rPr>
          <w:snapToGrid w:val="0"/>
        </w:rPr>
        <w:t>säljning av privatbostadsfastighet och bostadsrätt höjs till den generella nivån på 30 procent.</w:t>
      </w:r>
    </w:p>
    <w:p w:rsidR="00A51C86" w:rsidRPr="0034246D" w:rsidRDefault="00A51C86" w:rsidP="00A51C86">
      <w:pPr>
        <w:pStyle w:val="Rubrik2"/>
        <w:rPr>
          <w:snapToGrid w:val="0"/>
          <w:sz w:val="26"/>
        </w:rPr>
      </w:pPr>
      <w:bookmarkStart w:id="41" w:name="_Toc83901820"/>
      <w:r w:rsidRPr="0034246D">
        <w:t>Slopa den statliga fastighetsskatten för småhus</w:t>
      </w:r>
      <w:bookmarkEnd w:id="41"/>
    </w:p>
    <w:p w:rsidR="00A51C86" w:rsidRPr="0034246D" w:rsidRDefault="00A51C86" w:rsidP="00A51C86">
      <w:pPr>
        <w:rPr>
          <w:snapToGrid w:val="0"/>
        </w:rPr>
      </w:pPr>
      <w:r w:rsidRPr="0034246D">
        <w:rPr>
          <w:snapToGrid w:val="0"/>
        </w:rPr>
        <w:t>Den totala fastighetsskatten beräknas för år 2005 uppgå till ca 25,7 miljarder kronor. Av</w:t>
      </w:r>
      <w:r w:rsidR="00885088" w:rsidRPr="0034246D">
        <w:rPr>
          <w:snapToGrid w:val="0"/>
        </w:rPr>
        <w:t xml:space="preserve"> </w:t>
      </w:r>
      <w:r w:rsidRPr="0034246D">
        <w:rPr>
          <w:snapToGrid w:val="0"/>
        </w:rPr>
        <w:t>detta belopp svarar småhusen (villor och fritidshus) för 14,4 mi</w:t>
      </w:r>
      <w:r w:rsidRPr="0034246D">
        <w:rPr>
          <w:snapToGrid w:val="0"/>
        </w:rPr>
        <w:t>l</w:t>
      </w:r>
      <w:r w:rsidRPr="0034246D">
        <w:rPr>
          <w:snapToGrid w:val="0"/>
        </w:rPr>
        <w:t xml:space="preserve">jarder kronor. </w:t>
      </w:r>
    </w:p>
    <w:p w:rsidR="00A51C86" w:rsidRPr="0034246D" w:rsidRDefault="00A51C86" w:rsidP="00A51C86">
      <w:pPr>
        <w:pStyle w:val="Normaltindrag"/>
        <w:rPr>
          <w:snapToGrid w:val="0"/>
        </w:rPr>
      </w:pPr>
      <w:r w:rsidRPr="0034246D">
        <w:rPr>
          <w:snapToGrid w:val="0"/>
        </w:rPr>
        <w:t>Vårt förslag innebär att den statliga fastighetsskatten slopas helt för sm</w:t>
      </w:r>
      <w:r w:rsidRPr="0034246D">
        <w:rPr>
          <w:snapToGrid w:val="0"/>
        </w:rPr>
        <w:t>å</w:t>
      </w:r>
      <w:r w:rsidRPr="0034246D">
        <w:rPr>
          <w:snapToGrid w:val="0"/>
        </w:rPr>
        <w:t>husen. Bortfallet av denna skatteintäkt föreslår Kristdemokraterna ska fina</w:t>
      </w:r>
      <w:r w:rsidRPr="0034246D">
        <w:rPr>
          <w:snapToGrid w:val="0"/>
        </w:rPr>
        <w:t>n</w:t>
      </w:r>
      <w:r w:rsidRPr="0034246D">
        <w:rPr>
          <w:snapToGrid w:val="0"/>
        </w:rPr>
        <w:t>sieras fullt ut för statens del, huvudsakligen genom en kommunal avgift och genom höjd reavinstskatt vid försäljning av privatbostadshus. Småhusägarna (de som säljer med vinst) kommer att bära större delen av den höjda re</w:t>
      </w:r>
      <w:r w:rsidRPr="0034246D">
        <w:rPr>
          <w:snapToGrid w:val="0"/>
        </w:rPr>
        <w:t>a</w:t>
      </w:r>
      <w:r w:rsidRPr="0034246D">
        <w:rPr>
          <w:snapToGrid w:val="0"/>
        </w:rPr>
        <w:t>vinstskatten, som dock beräknas på en faktisk tillgång av likvida medel.</w:t>
      </w:r>
    </w:p>
    <w:p w:rsidR="00A51C86" w:rsidRPr="0034246D" w:rsidRDefault="00A51C86" w:rsidP="00A51C86">
      <w:pPr>
        <w:pStyle w:val="Rubrik3"/>
        <w:rPr>
          <w:snapToGrid w:val="0"/>
        </w:rPr>
      </w:pPr>
      <w:bookmarkStart w:id="42" w:name="_Toc83901821"/>
      <w:r w:rsidRPr="0034246D">
        <w:rPr>
          <w:snapToGrid w:val="0"/>
        </w:rPr>
        <w:t>Inför kommunal avgift</w:t>
      </w:r>
      <w:bookmarkEnd w:id="42"/>
    </w:p>
    <w:p w:rsidR="00A51C86" w:rsidRPr="0034246D" w:rsidRDefault="00A51C86" w:rsidP="00A51C86">
      <w:pPr>
        <w:rPr>
          <w:snapToGrid w:val="0"/>
        </w:rPr>
      </w:pPr>
      <w:r w:rsidRPr="0034246D">
        <w:rPr>
          <w:snapToGrid w:val="0"/>
        </w:rPr>
        <w:t>Statsbidragen till kommunsektorn motsvarar knappt 20 procent av komm</w:t>
      </w:r>
      <w:r w:rsidRPr="0034246D">
        <w:rPr>
          <w:snapToGrid w:val="0"/>
        </w:rPr>
        <w:t>u</w:t>
      </w:r>
      <w:r w:rsidRPr="0034246D">
        <w:rPr>
          <w:snapToGrid w:val="0"/>
        </w:rPr>
        <w:t>nernas totala</w:t>
      </w:r>
      <w:r w:rsidR="00885088" w:rsidRPr="0034246D">
        <w:rPr>
          <w:snapToGrid w:val="0"/>
        </w:rPr>
        <w:t xml:space="preserve"> </w:t>
      </w:r>
      <w:r w:rsidRPr="0034246D">
        <w:rPr>
          <w:snapToGrid w:val="0"/>
        </w:rPr>
        <w:t xml:space="preserve">inkomster. Med olika metoder har kommunsektorn använts i den </w:t>
      </w:r>
      <w:r w:rsidRPr="0034246D">
        <w:rPr>
          <w:i/>
          <w:snapToGrid w:val="0"/>
        </w:rPr>
        <w:t xml:space="preserve">statliga </w:t>
      </w:r>
      <w:r w:rsidRPr="0034246D">
        <w:rPr>
          <w:snapToGrid w:val="0"/>
        </w:rPr>
        <w:t>saneringspolitiken, vilket naturligtvis påverkat den kommunala serv</w:t>
      </w:r>
      <w:r w:rsidRPr="0034246D">
        <w:rPr>
          <w:snapToGrid w:val="0"/>
        </w:rPr>
        <w:t>i</w:t>
      </w:r>
      <w:r w:rsidRPr="0034246D">
        <w:rPr>
          <w:snapToGrid w:val="0"/>
        </w:rPr>
        <w:t>cen neg</w:t>
      </w:r>
      <w:r w:rsidRPr="0034246D">
        <w:rPr>
          <w:snapToGrid w:val="0"/>
        </w:rPr>
        <w:t>a</w:t>
      </w:r>
      <w:r w:rsidRPr="0034246D">
        <w:rPr>
          <w:snapToGrid w:val="0"/>
        </w:rPr>
        <w:t>tivt. Samtidigt har kommunerna fått ta över en allt större del av den offentliga sektorns åtaganden. Kommunerna kan alltså inte finansiera all sin verksamhet med ”egna” skattemedel, utan är beroende av kompletterande statsbidrag.</w:t>
      </w:r>
    </w:p>
    <w:p w:rsidR="00A51C86" w:rsidRPr="0034246D" w:rsidRDefault="00A51C86" w:rsidP="00A51C86">
      <w:pPr>
        <w:pStyle w:val="Normaltindrag"/>
        <w:rPr>
          <w:snapToGrid w:val="0"/>
        </w:rPr>
      </w:pPr>
      <w:r w:rsidRPr="0034246D">
        <w:rPr>
          <w:snapToGrid w:val="0"/>
        </w:rPr>
        <w:t>Ett starkt motiv för en kommunal fastighetsavgift är det incitament ko</w:t>
      </w:r>
      <w:r w:rsidRPr="0034246D">
        <w:rPr>
          <w:snapToGrid w:val="0"/>
        </w:rPr>
        <w:t>m</w:t>
      </w:r>
      <w:r w:rsidRPr="0034246D">
        <w:rPr>
          <w:snapToGrid w:val="0"/>
        </w:rPr>
        <w:t>munerna får för utveckling av infrastrukturen, ett offensivt bostadsbyggande och en bra näringspolitik. När även företagssektorns lokaler och industrier utgör en del av avgiftsunderlaget i kommunerna, blir effekten långt större incitament än i dag att verka för det lokala näringslivet och för nya arbetstil</w:t>
      </w:r>
      <w:r w:rsidRPr="0034246D">
        <w:rPr>
          <w:snapToGrid w:val="0"/>
        </w:rPr>
        <w:t>l</w:t>
      </w:r>
      <w:r w:rsidRPr="0034246D">
        <w:rPr>
          <w:snapToGrid w:val="0"/>
        </w:rPr>
        <w:t>fällen. En ytterligare aspekt är att kommunerna genom en kommunal avgift får intäkter från fritidsbebyggelse som i vissa kommuner är omfattande, men som inte genererar några kommunala intäkter i dagens system.</w:t>
      </w:r>
    </w:p>
    <w:p w:rsidR="00A51C86" w:rsidRPr="0034246D" w:rsidRDefault="00A51C86" w:rsidP="00A51C86">
      <w:pPr>
        <w:pStyle w:val="Normaltindrag"/>
        <w:rPr>
          <w:snapToGrid w:val="0"/>
        </w:rPr>
      </w:pPr>
      <w:r w:rsidRPr="0034246D">
        <w:rPr>
          <w:snapToGrid w:val="0"/>
        </w:rPr>
        <w:t>Subsidiaritetsprincipens makt- och uppgiftsfördelning mellan olika nivåer i samhället motiverar dessutom, enligt vår uppfattning, en ekonomiskt stabilare grund för kommunernas uppgifter och för den kommunala självstyrelsen. Utan ekonomiskt självstyre, ingen kommunal självstyrelse. Bättre långsiktiga tillväxtförutsättningar och en högre grad av självfinansiering genom en bred</w:t>
      </w:r>
      <w:r w:rsidRPr="0034246D">
        <w:rPr>
          <w:snapToGrid w:val="0"/>
        </w:rPr>
        <w:t>a</w:t>
      </w:r>
      <w:r w:rsidRPr="0034246D">
        <w:rPr>
          <w:snapToGrid w:val="0"/>
        </w:rPr>
        <w:t>re avgiftsbas är ett led i att ge en ekonomiskt stabil bas för den kommunala självstyrelsen. Denna slutsats delas till exempel också av Kommunförbundets så kallade skattebasberedning. I regel är dessutom fastighetsbeskattningen utomlands en kommunal angelägenhet, vilket på kontinenten inte minst har motiverats av subsidiaritetsprincipen.</w:t>
      </w:r>
    </w:p>
    <w:p w:rsidR="00A51C86" w:rsidRPr="0034246D" w:rsidRDefault="00A51C86" w:rsidP="00A51C86">
      <w:pPr>
        <w:pStyle w:val="Normaltindrag"/>
        <w:rPr>
          <w:snapToGrid w:val="0"/>
        </w:rPr>
      </w:pPr>
      <w:r w:rsidRPr="0034246D">
        <w:rPr>
          <w:snapToGrid w:val="0"/>
        </w:rPr>
        <w:t>I ambitionen att stärka kommunernas ekonomiska bas och öka incitame</w:t>
      </w:r>
      <w:r w:rsidRPr="0034246D">
        <w:rPr>
          <w:snapToGrid w:val="0"/>
        </w:rPr>
        <w:t>n</w:t>
      </w:r>
      <w:r w:rsidRPr="0034246D">
        <w:rPr>
          <w:snapToGrid w:val="0"/>
        </w:rPr>
        <w:t>ten att utveckla kommunen spelar alltså en delvis växling av fastighetsskatten till en kommunal avgift en viktig roll. När systemet med statlig fastighetsskatt avvecklas bör kommunerna ges möjlighet att ta ut en avgift för täckande av kostnader för gator och vägar samt räddningstjänst (brandförsvar) och fysisk planering/bostadsförbättring.</w:t>
      </w:r>
      <w:r w:rsidR="00E65CEC" w:rsidRPr="0034246D">
        <w:rPr>
          <w:snapToGrid w:val="0"/>
        </w:rPr>
        <w:t xml:space="preserve"> Den totala kommunala avgiften får inte överst</w:t>
      </w:r>
      <w:r w:rsidR="00E65CEC" w:rsidRPr="0034246D">
        <w:rPr>
          <w:snapToGrid w:val="0"/>
        </w:rPr>
        <w:t>i</w:t>
      </w:r>
      <w:r w:rsidR="00E65CEC" w:rsidRPr="0034246D">
        <w:rPr>
          <w:snapToGrid w:val="0"/>
        </w:rPr>
        <w:t>ga kommunernas självkostnader för gator/vägar och parkering, räddning</w:t>
      </w:r>
      <w:r w:rsidR="00E65CEC" w:rsidRPr="0034246D">
        <w:rPr>
          <w:snapToGrid w:val="0"/>
        </w:rPr>
        <w:t>s</w:t>
      </w:r>
      <w:r w:rsidR="00E65CEC" w:rsidRPr="0034246D">
        <w:rPr>
          <w:snapToGrid w:val="0"/>
        </w:rPr>
        <w:t>tjänst samt fysisk planering. Avgiften per småhus</w:t>
      </w:r>
      <w:r w:rsidR="00C46E26" w:rsidRPr="0034246D">
        <w:rPr>
          <w:snapToGrid w:val="0"/>
        </w:rPr>
        <w:t>enhet får maximalt uppgå till 2 </w:t>
      </w:r>
      <w:r w:rsidR="00E65CEC" w:rsidRPr="0034246D">
        <w:rPr>
          <w:snapToGrid w:val="0"/>
        </w:rPr>
        <w:t xml:space="preserve">800 kronor per år, avgiften per bostadslägenhet får maximalt uppgå </w:t>
      </w:r>
      <w:r w:rsidR="00C46E26" w:rsidRPr="0034246D">
        <w:rPr>
          <w:snapToGrid w:val="0"/>
        </w:rPr>
        <w:t xml:space="preserve">till </w:t>
      </w:r>
      <w:r w:rsidR="00E65CEC" w:rsidRPr="0034246D">
        <w:rPr>
          <w:snapToGrid w:val="0"/>
        </w:rPr>
        <w:t>900 kronor per år, avgiften för kommersiella lokaler får maximalt uppgå till 63 kronor per kvadratmeter per år och avgiften för industrienheter får max</w:t>
      </w:r>
      <w:r w:rsidR="00E65CEC" w:rsidRPr="0034246D">
        <w:rPr>
          <w:snapToGrid w:val="0"/>
        </w:rPr>
        <w:t>i</w:t>
      </w:r>
      <w:r w:rsidR="00E65CEC" w:rsidRPr="0034246D">
        <w:rPr>
          <w:snapToGrid w:val="0"/>
        </w:rPr>
        <w:t>malt uppgå till 17 kronor per kvadratmeter per år. Reavinstskatten vid försäl</w:t>
      </w:r>
      <w:r w:rsidR="00E65CEC" w:rsidRPr="0034246D">
        <w:rPr>
          <w:snapToGrid w:val="0"/>
        </w:rPr>
        <w:t>j</w:t>
      </w:r>
      <w:r w:rsidR="00E65CEC" w:rsidRPr="0034246D">
        <w:rPr>
          <w:snapToGrid w:val="0"/>
        </w:rPr>
        <w:t xml:space="preserve">ning av privatbostadsfastighet och bostadsrätt höjs till den generella nivån på 30 procent. </w:t>
      </w:r>
      <w:r w:rsidRPr="0034246D">
        <w:rPr>
          <w:snapToGrid w:val="0"/>
        </w:rPr>
        <w:t>Statens intäktsbortfall för den slopade fastighetsskatten kan då delvis kompenseras genom en nivåjustering i statsbidraget till primärkomm</w:t>
      </w:r>
      <w:r w:rsidRPr="0034246D">
        <w:rPr>
          <w:snapToGrid w:val="0"/>
        </w:rPr>
        <w:t>u</w:t>
      </w:r>
      <w:r w:rsidRPr="0034246D">
        <w:rPr>
          <w:snapToGrid w:val="0"/>
        </w:rPr>
        <w:t>nerna i enlighet med finansieringsprincipen.</w:t>
      </w:r>
    </w:p>
    <w:p w:rsidR="00A51C86" w:rsidRPr="0034246D" w:rsidRDefault="00A51C86" w:rsidP="00885088">
      <w:pPr>
        <w:pStyle w:val="Normaltindrag"/>
        <w:rPr>
          <w:snapToGrid w:val="0"/>
        </w:rPr>
      </w:pPr>
      <w:r w:rsidRPr="0034246D">
        <w:rPr>
          <w:snapToGrid w:val="0"/>
        </w:rPr>
        <w:t>En kommunal fastighetsavgift för vägar, räddningstjänst och fysisk plan</w:t>
      </w:r>
      <w:r w:rsidRPr="0034246D">
        <w:rPr>
          <w:snapToGrid w:val="0"/>
        </w:rPr>
        <w:t>e</w:t>
      </w:r>
      <w:r w:rsidRPr="0034246D">
        <w:rPr>
          <w:snapToGrid w:val="0"/>
        </w:rPr>
        <w:t>ring har både legitimitet, transparens och förutsägbarhet. Den som betalar avgiften vet att pengarna går till det som han/hon som fastighetsägare har nytta av. Eftersom avgiften inte baseras på marknadsvärdet försvinner hoten om framtida chockhöjningar. Förutsebarheten inte bara ökar utan blir en real</w:t>
      </w:r>
      <w:r w:rsidRPr="0034246D">
        <w:rPr>
          <w:snapToGrid w:val="0"/>
        </w:rPr>
        <w:t>i</w:t>
      </w:r>
      <w:r w:rsidRPr="0034246D">
        <w:rPr>
          <w:snapToGrid w:val="0"/>
        </w:rPr>
        <w:t>tet. Husägaren får en trygghet och kontroll över sin ekonomi. Någon kan invända att kommunernas invånare redan via kommunalskatten betalar för gator, vägar och räddningstjänst och därmed får betala ”dubbelt” med den nya avgiften. Kommunerna klarar dock inte, som nämnts ovan, att finansiera alla sina utgifter med sina egna skatteinkomster, utan är beroende av statsbidrag. Det är därför rimligt att betrakta växlingen fastighetsavgift mot sänkta stat</w:t>
      </w:r>
      <w:r w:rsidRPr="0034246D">
        <w:rPr>
          <w:snapToGrid w:val="0"/>
        </w:rPr>
        <w:t>s</w:t>
      </w:r>
      <w:r w:rsidRPr="0034246D">
        <w:rPr>
          <w:snapToGrid w:val="0"/>
        </w:rPr>
        <w:t>bidrag som att kommunen själv får möjlighet att finansiera det man inte tid</w:t>
      </w:r>
      <w:r w:rsidRPr="0034246D">
        <w:rPr>
          <w:snapToGrid w:val="0"/>
        </w:rPr>
        <w:t>i</w:t>
      </w:r>
      <w:r w:rsidRPr="0034246D">
        <w:rPr>
          <w:snapToGrid w:val="0"/>
        </w:rPr>
        <w:t>gare kunde finansiera på egen hand. Därför blir det också felaktigt att se det som att fastighetsägaren med vår föreslagna reform kommer att betala dubbelt för vägar, räddningstjänst och fysisk planering. Enbart om kommunalskatten redan</w:t>
      </w:r>
      <w:r w:rsidR="00885088" w:rsidRPr="0034246D">
        <w:rPr>
          <w:snapToGrid w:val="0"/>
        </w:rPr>
        <w:t xml:space="preserve"> </w:t>
      </w:r>
      <w:r w:rsidRPr="0034246D">
        <w:rPr>
          <w:snapToGrid w:val="0"/>
        </w:rPr>
        <w:t>täckte alla kommunens utgifter och en avgift för redan befintlig ver</w:t>
      </w:r>
      <w:r w:rsidRPr="0034246D">
        <w:rPr>
          <w:snapToGrid w:val="0"/>
        </w:rPr>
        <w:t>k</w:t>
      </w:r>
      <w:r w:rsidRPr="0034246D">
        <w:rPr>
          <w:snapToGrid w:val="0"/>
        </w:rPr>
        <w:t>samhet lades uppe på detta, skulle det vara fråga om att betala dubbelt.</w:t>
      </w:r>
    </w:p>
    <w:p w:rsidR="00A51C86" w:rsidRPr="0034246D" w:rsidRDefault="00A51C86" w:rsidP="00A51C86">
      <w:pPr>
        <w:pStyle w:val="Normaltindrag"/>
      </w:pPr>
      <w:r w:rsidRPr="0034246D">
        <w:t>För så kallade vägsamfälligheter som på privat sätt ordnar med väghål</w:t>
      </w:r>
      <w:r w:rsidRPr="0034246D">
        <w:t>l</w:t>
      </w:r>
      <w:r w:rsidRPr="0034246D">
        <w:t>ningen i sitt område måste undantag göras för den kommunala avgiften. Vår fastighetsskattereform gällande den kommunala avgiften måste utformas så att kommuner tvingas ge fastighetsägare som är medlemmar i en vägsamfä</w:t>
      </w:r>
      <w:r w:rsidRPr="0034246D">
        <w:t>l</w:t>
      </w:r>
      <w:r w:rsidRPr="0034246D">
        <w:t xml:space="preserve">lighet en rimlig nedsättning av fastighetsavgiften. </w:t>
      </w:r>
    </w:p>
    <w:p w:rsidR="00A51C86" w:rsidRPr="0034246D" w:rsidRDefault="00A51C86" w:rsidP="00A51C86">
      <w:pPr>
        <w:pStyle w:val="Normaltindrag"/>
      </w:pPr>
      <w:r w:rsidRPr="0034246D">
        <w:t xml:space="preserve">Den kommunala fastighetsavgiften ska dessutom vara helt befriad från moms.    </w:t>
      </w:r>
    </w:p>
    <w:p w:rsidR="00A51C86" w:rsidRPr="0034246D" w:rsidRDefault="00A51C86" w:rsidP="00A51C86">
      <w:pPr>
        <w:pStyle w:val="Rubrik2"/>
        <w:rPr>
          <w:snapToGrid w:val="0"/>
        </w:rPr>
      </w:pPr>
      <w:bookmarkStart w:id="43" w:name="_Toc83901822"/>
      <w:r w:rsidRPr="0034246D">
        <w:rPr>
          <w:snapToGrid w:val="0"/>
        </w:rPr>
        <w:t>Slopad statlig fastighetsskatt på hyresbostadshus</w:t>
      </w:r>
      <w:bookmarkEnd w:id="43"/>
    </w:p>
    <w:p w:rsidR="00A51C86" w:rsidRPr="0034246D" w:rsidRDefault="00A51C86" w:rsidP="00A51C86">
      <w:pPr>
        <w:rPr>
          <w:snapToGrid w:val="0"/>
        </w:rPr>
      </w:pPr>
      <w:r w:rsidRPr="0034246D">
        <w:rPr>
          <w:snapToGrid w:val="0"/>
        </w:rPr>
        <w:t>Kristdemokraterna föreslår att den statliga fastighetsskatten slopas helt för bostadshyreshusen (hyres- och bostadsrätter). De minskade skatteintäkterna finansieras genom en kommunal avgift per bostadslägenhet och genom höjd reavinstskatt vid försäljning av bostadsrätt.</w:t>
      </w:r>
    </w:p>
    <w:p w:rsidR="00A51C86" w:rsidRPr="0034246D" w:rsidRDefault="00A51C86" w:rsidP="00A51C86">
      <w:pPr>
        <w:pStyle w:val="Rubrik3"/>
        <w:rPr>
          <w:snapToGrid w:val="0"/>
        </w:rPr>
      </w:pPr>
      <w:bookmarkStart w:id="44" w:name="_Toc83901823"/>
      <w:r w:rsidRPr="0034246D">
        <w:rPr>
          <w:snapToGrid w:val="0"/>
        </w:rPr>
        <w:t>Kommunal avgift</w:t>
      </w:r>
      <w:bookmarkEnd w:id="44"/>
    </w:p>
    <w:p w:rsidR="00A51C86" w:rsidRPr="0034246D" w:rsidRDefault="00A51C86" w:rsidP="00A51C86">
      <w:pPr>
        <w:rPr>
          <w:snapToGrid w:val="0"/>
        </w:rPr>
      </w:pPr>
      <w:r w:rsidRPr="0034246D">
        <w:rPr>
          <w:snapToGrid w:val="0"/>
        </w:rPr>
        <w:t>Den genomsnittliga statliga fastighetsskatten per bostadslägenhet har de s</w:t>
      </w:r>
      <w:r w:rsidRPr="0034246D">
        <w:rPr>
          <w:snapToGrid w:val="0"/>
        </w:rPr>
        <w:t>e</w:t>
      </w:r>
      <w:r w:rsidRPr="0034246D">
        <w:rPr>
          <w:snapToGrid w:val="0"/>
        </w:rPr>
        <w:t>naste åren</w:t>
      </w:r>
      <w:r w:rsidR="00885088" w:rsidRPr="0034246D">
        <w:rPr>
          <w:snapToGrid w:val="0"/>
        </w:rPr>
        <w:t xml:space="preserve"> </w:t>
      </w:r>
      <w:r w:rsidR="00C46E26" w:rsidRPr="0034246D">
        <w:rPr>
          <w:snapToGrid w:val="0"/>
        </w:rPr>
        <w:t>uppgått till drygt 2 </w:t>
      </w:r>
      <w:r w:rsidRPr="0034246D">
        <w:rPr>
          <w:snapToGrid w:val="0"/>
        </w:rPr>
        <w:t>000 kronor per år. Fastighetsskatten har varit tämligen jämnt fördelad mellan bostadsrätt och hyresrätt räknad som geno</w:t>
      </w:r>
      <w:r w:rsidRPr="0034246D">
        <w:rPr>
          <w:snapToGrid w:val="0"/>
        </w:rPr>
        <w:t>m</w:t>
      </w:r>
      <w:r w:rsidRPr="0034246D">
        <w:rPr>
          <w:snapToGrid w:val="0"/>
        </w:rPr>
        <w:t xml:space="preserve">snitt per lägenhet. Kristdemokraternas förslag är att kommunerna ges rätt att ta ut en avgift per lägenhet och år på maximalt </w:t>
      </w:r>
      <w:r w:rsidR="008A4DE5" w:rsidRPr="0034246D">
        <w:rPr>
          <w:snapToGrid w:val="0"/>
        </w:rPr>
        <w:t>9</w:t>
      </w:r>
      <w:r w:rsidRPr="0034246D">
        <w:rPr>
          <w:snapToGrid w:val="0"/>
        </w:rPr>
        <w:t>00 kronor. Avgifterna i en kommun får inte heller sammantaget överstiga kommunens självkostnad för de ver</w:t>
      </w:r>
      <w:r w:rsidRPr="0034246D">
        <w:rPr>
          <w:snapToGrid w:val="0"/>
        </w:rPr>
        <w:t>k</w:t>
      </w:r>
      <w:r w:rsidRPr="0034246D">
        <w:rPr>
          <w:snapToGrid w:val="0"/>
        </w:rPr>
        <w:t xml:space="preserve">samheter den finansierar. Kommunerna kommer då att få en inkomst på ca </w:t>
      </w:r>
      <w:r w:rsidR="008A4DE5" w:rsidRPr="0034246D">
        <w:rPr>
          <w:snapToGrid w:val="0"/>
        </w:rPr>
        <w:t>2</w:t>
      </w:r>
      <w:r w:rsidRPr="0034246D">
        <w:rPr>
          <w:snapToGrid w:val="0"/>
        </w:rPr>
        <w:t>,</w:t>
      </w:r>
      <w:r w:rsidR="008A4DE5" w:rsidRPr="0034246D">
        <w:rPr>
          <w:snapToGrid w:val="0"/>
        </w:rPr>
        <w:t>1</w:t>
      </w:r>
      <w:r w:rsidRPr="0034246D">
        <w:rPr>
          <w:snapToGrid w:val="0"/>
        </w:rPr>
        <w:t xml:space="preserve"> miljarder kronor per år i fastighetsavgifter för bostadslägenheterna. De principiella motiven för den kommunala avgiften är desamma som redov</w:t>
      </w:r>
      <w:r w:rsidRPr="0034246D">
        <w:rPr>
          <w:snapToGrid w:val="0"/>
        </w:rPr>
        <w:t>i</w:t>
      </w:r>
      <w:r w:rsidRPr="0034246D">
        <w:rPr>
          <w:snapToGrid w:val="0"/>
        </w:rPr>
        <w:t>sats ovan vad gäller småhusen. Den kommunala avgiften ska bidra till att täcka kostnader för samma kommunala ändamål som för småhusen: 1) Gator, vägar och parkering, 2)</w:t>
      </w:r>
      <w:r w:rsidR="00C46E26" w:rsidRPr="0034246D">
        <w:rPr>
          <w:snapToGrid w:val="0"/>
        </w:rPr>
        <w:t xml:space="preserve"> räddningstjänst samt 3) fysisk</w:t>
      </w:r>
      <w:r w:rsidRPr="0034246D">
        <w:rPr>
          <w:snapToGrid w:val="0"/>
        </w:rPr>
        <w:t xml:space="preserve"> och teknisk planering och bostadsförbättring.</w:t>
      </w:r>
    </w:p>
    <w:p w:rsidR="00A51C86" w:rsidRPr="0034246D" w:rsidRDefault="00A51C86" w:rsidP="00A51C86">
      <w:pPr>
        <w:pStyle w:val="Normaltindrag"/>
      </w:pPr>
      <w:r w:rsidRPr="0034246D">
        <w:rPr>
          <w:snapToGrid w:val="0"/>
        </w:rPr>
        <w:t>I vårt förslag tas den kommunala avgiften ut per lägenhet. Minst två andra alternativ är möjliga; antingen att avgiften tas ut per taxeringsenhet (hyre</w:t>
      </w:r>
      <w:r w:rsidRPr="0034246D">
        <w:rPr>
          <w:snapToGrid w:val="0"/>
        </w:rPr>
        <w:t>s</w:t>
      </w:r>
      <w:r w:rsidRPr="0034246D">
        <w:rPr>
          <w:snapToGrid w:val="0"/>
        </w:rPr>
        <w:t>husenhet) eller att den tas ut per kvadratmeter bostadsyta. Vad som är mest rimligt eller rättvist beror på vad avgiften ska täcka. En fast avgift per tax</w:t>
      </w:r>
      <w:r w:rsidRPr="0034246D">
        <w:rPr>
          <w:snapToGrid w:val="0"/>
        </w:rPr>
        <w:t>e</w:t>
      </w:r>
      <w:r w:rsidRPr="0034246D">
        <w:rPr>
          <w:snapToGrid w:val="0"/>
        </w:rPr>
        <w:t>ringsenhet skulle förvisso vara enkel, men inte så rättvis i förhållande till de faktiska skillnaderna i vägslitage, risk för brand och kostnad för kommunens fysiska planering, som finns mellan hyreshusenheter med väldigt få lägenh</w:t>
      </w:r>
      <w:r w:rsidRPr="0034246D">
        <w:rPr>
          <w:snapToGrid w:val="0"/>
        </w:rPr>
        <w:t>e</w:t>
      </w:r>
      <w:r w:rsidRPr="0034246D">
        <w:rPr>
          <w:snapToGrid w:val="0"/>
        </w:rPr>
        <w:t>ter och hyreshusenheter med väldigt många lägenheter. Å andra sidan är det svårt att hävda att vägslitaget och kommunens kostnader för fysisk planering ökar med varje extra kvadratmeter bostadsyta. Risken för brand torde inte heller ha en direkt koppling till antalet kvadratmeter bostadsyta, utan snarare är det antalet lägenheter (personer per hushåll) som är avgörande. Därför anser vi det mest lämpligt att den kommunala avgiften baseras på antalet lägenheter. Den kommunala avgiften bör av förenklingsskäl, på samma sätt som den nuvarande statliga fastighetsskatten, debiteras hyresfastighetsägaren respektive bostadsrättsföreningen.</w:t>
      </w:r>
    </w:p>
    <w:p w:rsidR="00A51C86" w:rsidRPr="0034246D" w:rsidRDefault="00A51C86" w:rsidP="00A51C86">
      <w:pPr>
        <w:pStyle w:val="Rubrik2"/>
        <w:rPr>
          <w:snapToGrid w:val="0"/>
        </w:rPr>
      </w:pPr>
      <w:bookmarkStart w:id="45" w:name="_Toc83901824"/>
      <w:r w:rsidRPr="0034246D">
        <w:rPr>
          <w:snapToGrid w:val="0"/>
        </w:rPr>
        <w:t>Slopad fastighetsskatt för kommersiella lokaler och industrifastigheter</w:t>
      </w:r>
      <w:bookmarkEnd w:id="45"/>
    </w:p>
    <w:p w:rsidR="00A51C86" w:rsidRPr="0034246D" w:rsidRDefault="00A51C86" w:rsidP="00A51C86">
      <w:r w:rsidRPr="0034246D">
        <w:rPr>
          <w:snapToGrid w:val="0"/>
        </w:rPr>
        <w:t>Sedan 1996 beskattas även kommersiella lokaler och industrifastigheter med fastighetsskatt. Skattesatsen uppgår till 1,0 procent för lokalerna och 0,5 pr</w:t>
      </w:r>
      <w:r w:rsidRPr="0034246D">
        <w:rPr>
          <w:snapToGrid w:val="0"/>
        </w:rPr>
        <w:t>o</w:t>
      </w:r>
      <w:r w:rsidRPr="0034246D">
        <w:rPr>
          <w:snapToGrid w:val="0"/>
        </w:rPr>
        <w:t>cent för industrienheterna. Lokalerna omfattas av på samma sätt som hyre</w:t>
      </w:r>
      <w:r w:rsidRPr="0034246D">
        <w:rPr>
          <w:snapToGrid w:val="0"/>
        </w:rPr>
        <w:t>s</w:t>
      </w:r>
      <w:r w:rsidRPr="0034246D">
        <w:rPr>
          <w:snapToGrid w:val="0"/>
        </w:rPr>
        <w:t>bostäderna av ett omräkningsförfarande. För industrierna sker ingen omrä</w:t>
      </w:r>
      <w:r w:rsidRPr="0034246D">
        <w:rPr>
          <w:snapToGrid w:val="0"/>
        </w:rPr>
        <w:t>k</w:t>
      </w:r>
      <w:r w:rsidRPr="0034246D">
        <w:rPr>
          <w:snapToGrid w:val="0"/>
        </w:rPr>
        <w:t xml:space="preserve">ning. </w:t>
      </w:r>
      <w:r w:rsidRPr="0034246D">
        <w:t>Kristdemokraterna föreslår att även dessa befrias från statlig fastighet</w:t>
      </w:r>
      <w:r w:rsidRPr="0034246D">
        <w:t>s</w:t>
      </w:r>
      <w:r w:rsidRPr="0034246D">
        <w:t xml:space="preserve">skatt. </w:t>
      </w:r>
      <w:r w:rsidR="008A4DE5" w:rsidRPr="0034246D">
        <w:t>Dock en elproduktionsenheter.</w:t>
      </w:r>
    </w:p>
    <w:p w:rsidR="00A51C86" w:rsidRPr="0034246D" w:rsidRDefault="00A51C86" w:rsidP="00A51C86">
      <w:pPr>
        <w:pStyle w:val="Rubrik3"/>
      </w:pPr>
      <w:bookmarkStart w:id="46" w:name="_Toc83901825"/>
      <w:r w:rsidRPr="0034246D">
        <w:rPr>
          <w:snapToGrid w:val="0"/>
        </w:rPr>
        <w:t>Kommunal avgift</w:t>
      </w:r>
      <w:bookmarkEnd w:id="46"/>
    </w:p>
    <w:p w:rsidR="00A51C86" w:rsidRPr="0034246D" w:rsidRDefault="00A51C86" w:rsidP="00A51C86">
      <w:pPr>
        <w:rPr>
          <w:snapToGrid w:val="0"/>
        </w:rPr>
      </w:pPr>
      <w:r w:rsidRPr="0034246D">
        <w:rPr>
          <w:snapToGrid w:val="0"/>
        </w:rPr>
        <w:t>Även de kommersiella lokalerna och industrifastigheterna ska enligt Kristd</w:t>
      </w:r>
      <w:r w:rsidRPr="0034246D">
        <w:rPr>
          <w:snapToGrid w:val="0"/>
        </w:rPr>
        <w:t>e</w:t>
      </w:r>
      <w:r w:rsidRPr="0034246D">
        <w:rPr>
          <w:snapToGrid w:val="0"/>
        </w:rPr>
        <w:t>mokraternas förslag ingå i kommunernas avgiftsunderlag för den nya fasti</w:t>
      </w:r>
      <w:r w:rsidRPr="0034246D">
        <w:rPr>
          <w:snapToGrid w:val="0"/>
        </w:rPr>
        <w:t>g</w:t>
      </w:r>
      <w:r w:rsidRPr="0034246D">
        <w:rPr>
          <w:snapToGrid w:val="0"/>
        </w:rPr>
        <w:t>hetsavgiften.</w:t>
      </w:r>
      <w:r w:rsidR="00885088" w:rsidRPr="0034246D">
        <w:rPr>
          <w:snapToGrid w:val="0"/>
        </w:rPr>
        <w:t xml:space="preserve"> </w:t>
      </w:r>
      <w:r w:rsidRPr="0034246D">
        <w:rPr>
          <w:snapToGrid w:val="0"/>
        </w:rPr>
        <w:t>Dessa har ju, på samma sätt som för småhusen och hyreshuse</w:t>
      </w:r>
      <w:r w:rsidRPr="0034246D">
        <w:rPr>
          <w:snapToGrid w:val="0"/>
        </w:rPr>
        <w:t>n</w:t>
      </w:r>
      <w:r w:rsidRPr="0034246D">
        <w:rPr>
          <w:snapToGrid w:val="0"/>
        </w:rPr>
        <w:t>heterna, en direkt nytta av de tre kommunala tjänsterna räddningstjänst, vägar och fysisk planering.</w:t>
      </w:r>
      <w:r w:rsidR="00885088" w:rsidRPr="0034246D">
        <w:rPr>
          <w:snapToGrid w:val="0"/>
        </w:rPr>
        <w:t xml:space="preserve"> </w:t>
      </w:r>
      <w:r w:rsidRPr="0034246D">
        <w:rPr>
          <w:snapToGrid w:val="0"/>
        </w:rPr>
        <w:t>Dessa statliga fastighetsskatteintäkter ska växlas rakt av mot en kommunal</w:t>
      </w:r>
      <w:r w:rsidR="00885088" w:rsidRPr="0034246D">
        <w:rPr>
          <w:snapToGrid w:val="0"/>
        </w:rPr>
        <w:t xml:space="preserve"> </w:t>
      </w:r>
      <w:r w:rsidRPr="0034246D">
        <w:rPr>
          <w:snapToGrid w:val="0"/>
        </w:rPr>
        <w:t>avgift. Det totala avgiftsuttaget blir därmed inte lägre än det totala uttaget av fastighetsskatt. Vinsten från företagens synpunkt blir ändå att avgiften sann</w:t>
      </w:r>
      <w:r w:rsidRPr="0034246D">
        <w:rPr>
          <w:snapToGrid w:val="0"/>
        </w:rPr>
        <w:t>o</w:t>
      </w:r>
      <w:r w:rsidRPr="0034246D">
        <w:rPr>
          <w:snapToGrid w:val="0"/>
        </w:rPr>
        <w:t>likt får en legitimitet som den statliga fastighetsskatten helt saknar. Avgiften blir dessutom för lokalernas del mer stabil och förutsä</w:t>
      </w:r>
      <w:r w:rsidRPr="0034246D">
        <w:rPr>
          <w:snapToGrid w:val="0"/>
        </w:rPr>
        <w:t>g</w:t>
      </w:r>
      <w:r w:rsidRPr="0034246D">
        <w:rPr>
          <w:snapToGrid w:val="0"/>
        </w:rPr>
        <w:t>bar än den statliga fastighetsskatten. För kommunernas del ökar också incit</w:t>
      </w:r>
      <w:r w:rsidRPr="0034246D">
        <w:rPr>
          <w:snapToGrid w:val="0"/>
        </w:rPr>
        <w:t>a</w:t>
      </w:r>
      <w:r w:rsidRPr="0034246D">
        <w:rPr>
          <w:snapToGrid w:val="0"/>
        </w:rPr>
        <w:t>mentet att bidra till att fler företag etablerar sig i kommunen, eftersom de då får ökade avgiftsi</w:t>
      </w:r>
      <w:r w:rsidRPr="0034246D">
        <w:rPr>
          <w:snapToGrid w:val="0"/>
        </w:rPr>
        <w:t>n</w:t>
      </w:r>
      <w:r w:rsidRPr="0034246D">
        <w:rPr>
          <w:snapToGrid w:val="0"/>
        </w:rPr>
        <w:t>komster.</w:t>
      </w:r>
    </w:p>
    <w:p w:rsidR="00A51C86" w:rsidRPr="0034246D" w:rsidRDefault="00A51C86" w:rsidP="00885088">
      <w:pPr>
        <w:pStyle w:val="Normaltindrag"/>
        <w:rPr>
          <w:snapToGrid w:val="0"/>
        </w:rPr>
      </w:pPr>
      <w:r w:rsidRPr="0034246D">
        <w:rPr>
          <w:snapToGrid w:val="0"/>
        </w:rPr>
        <w:t>Någon befintlig statistik över antalet kommersiella lokaler finns inte. Dä</w:t>
      </w:r>
      <w:r w:rsidRPr="0034246D">
        <w:rPr>
          <w:snapToGrid w:val="0"/>
        </w:rPr>
        <w:t>r</w:t>
      </w:r>
      <w:r w:rsidRPr="0034246D">
        <w:rPr>
          <w:snapToGrid w:val="0"/>
        </w:rPr>
        <w:t>emot finns</w:t>
      </w:r>
      <w:r w:rsidR="00885088" w:rsidRPr="0034246D">
        <w:rPr>
          <w:snapToGrid w:val="0"/>
        </w:rPr>
        <w:t xml:space="preserve"> </w:t>
      </w:r>
      <w:r w:rsidRPr="0034246D">
        <w:rPr>
          <w:snapToGrid w:val="0"/>
        </w:rPr>
        <w:t>uppgifter om det totala antalet kvadratmeter lokalyta. Den totala lokalytan i hyreshusenheter uppgick år 2000 till ca 77 miljoner kvadratmeter. Den totala lokalarean i industrienheterna uppgick till ca 117 miljoner kv</w:t>
      </w:r>
      <w:r w:rsidRPr="0034246D">
        <w:rPr>
          <w:snapToGrid w:val="0"/>
        </w:rPr>
        <w:t>a</w:t>
      </w:r>
      <w:r w:rsidRPr="0034246D">
        <w:rPr>
          <w:snapToGrid w:val="0"/>
        </w:rPr>
        <w:t>dratmeter. En finansiellt neutral växling från fastighetsskatt till kommunal avgift kan därför göras genom att kommunerna ges rätt att ta ut maximalt 63 kronor per kv</w:t>
      </w:r>
      <w:r w:rsidRPr="0034246D">
        <w:rPr>
          <w:snapToGrid w:val="0"/>
        </w:rPr>
        <w:t>a</w:t>
      </w:r>
      <w:r w:rsidRPr="0034246D">
        <w:rPr>
          <w:snapToGrid w:val="0"/>
        </w:rPr>
        <w:t>dratmeter och år för de kommersiella lokalerna, och maximalt 17 kronor per kvadratmeter och år för industrienheterna.</w:t>
      </w:r>
    </w:p>
    <w:p w:rsidR="00A51C86" w:rsidRPr="0034246D" w:rsidRDefault="00A51C86" w:rsidP="00A51C86">
      <w:pPr>
        <w:pStyle w:val="Rubrik1"/>
        <w:rPr>
          <w:snapToGrid w:val="0"/>
        </w:rPr>
      </w:pPr>
      <w:bookmarkStart w:id="47" w:name="_Toc83901826"/>
      <w:r w:rsidRPr="0034246D">
        <w:rPr>
          <w:snapToGrid w:val="0"/>
        </w:rPr>
        <w:t>Reformens finansiering m.m.</w:t>
      </w:r>
      <w:bookmarkEnd w:id="47"/>
    </w:p>
    <w:p w:rsidR="00A51C86" w:rsidRPr="0034246D" w:rsidRDefault="00A51C86" w:rsidP="00885088">
      <w:pPr>
        <w:pStyle w:val="Rubrik2"/>
        <w:spacing w:before="120"/>
        <w:rPr>
          <w:snapToGrid w:val="0"/>
        </w:rPr>
      </w:pPr>
      <w:bookmarkStart w:id="48" w:name="_Toc83901827"/>
      <w:r w:rsidRPr="0034246D">
        <w:rPr>
          <w:snapToGrid w:val="0"/>
        </w:rPr>
        <w:t>Kommunal avgift – minskat statsbidrag</w:t>
      </w:r>
      <w:bookmarkEnd w:id="48"/>
    </w:p>
    <w:p w:rsidR="00A51C86" w:rsidRPr="0034246D" w:rsidRDefault="00A51C86" w:rsidP="00A51C86">
      <w:pPr>
        <w:rPr>
          <w:snapToGrid w:val="0"/>
        </w:rPr>
      </w:pPr>
      <w:r w:rsidRPr="0034246D">
        <w:rPr>
          <w:snapToGrid w:val="0"/>
        </w:rPr>
        <w:t>Kommunernas årliga nettokostnader för gator, vägar och parkering har vari</w:t>
      </w:r>
      <w:r w:rsidRPr="0034246D">
        <w:rPr>
          <w:snapToGrid w:val="0"/>
        </w:rPr>
        <w:t>e</w:t>
      </w:r>
      <w:r w:rsidRPr="0034246D">
        <w:rPr>
          <w:snapToGrid w:val="0"/>
        </w:rPr>
        <w:t>rat ganska</w:t>
      </w:r>
      <w:r w:rsidR="00885088" w:rsidRPr="0034246D">
        <w:rPr>
          <w:snapToGrid w:val="0"/>
        </w:rPr>
        <w:t xml:space="preserve"> </w:t>
      </w:r>
      <w:r w:rsidRPr="0034246D">
        <w:rPr>
          <w:snapToGrid w:val="0"/>
        </w:rPr>
        <w:t>mycket de senaste åren och uppgick till knappt 6 miljarder kronor år 2000. Kommunernas nettokostnader för räddningstjänst har varit stabila de senaste åren och uppgick till ca 4 miljarder kronor år 2000. Nettokostnaderna för fysisk och teknisk planering samt bostadsförbättring har minskat något de senaste åren och uppgick till ca 2,3 miljarder kronor år 2000. I tabell 2 red</w:t>
      </w:r>
      <w:r w:rsidRPr="0034246D">
        <w:rPr>
          <w:snapToGrid w:val="0"/>
        </w:rPr>
        <w:t>o</w:t>
      </w:r>
      <w:r w:rsidRPr="0034246D">
        <w:rPr>
          <w:snapToGrid w:val="0"/>
        </w:rPr>
        <w:t>visas kostnadsutvecklingen fram till år 2003 och en prognos för perioden 2004 till 200</w:t>
      </w:r>
      <w:r w:rsidR="00B2233B" w:rsidRPr="0034246D">
        <w:rPr>
          <w:snapToGrid w:val="0"/>
        </w:rPr>
        <w:t>8</w:t>
      </w:r>
      <w:r w:rsidRPr="0034246D">
        <w:rPr>
          <w:snapToGrid w:val="0"/>
        </w:rPr>
        <w:t>.</w:t>
      </w:r>
    </w:p>
    <w:p w:rsidR="00A51C86" w:rsidRPr="0034246D" w:rsidRDefault="00A51C86" w:rsidP="00A51C86">
      <w:pPr>
        <w:pStyle w:val="Normaltindrag"/>
      </w:pPr>
    </w:p>
    <w:p w:rsidR="00A51C86" w:rsidRPr="0034246D" w:rsidRDefault="00885088" w:rsidP="00C46E26">
      <w:pPr>
        <w:rPr>
          <w:b/>
        </w:rPr>
      </w:pPr>
      <w:r w:rsidRPr="0034246D">
        <w:rPr>
          <w:b/>
        </w:rPr>
        <w:br w:type="page"/>
      </w:r>
      <w:r w:rsidR="00C46E26" w:rsidRPr="0034246D">
        <w:rPr>
          <w:b/>
        </w:rPr>
        <w:t>Tabell 2. Kommunernas nettokostnader för gator och vägar, räddning</w:t>
      </w:r>
      <w:r w:rsidR="00C46E26" w:rsidRPr="0034246D">
        <w:rPr>
          <w:b/>
        </w:rPr>
        <w:t>s</w:t>
      </w:r>
      <w:r w:rsidR="00C46E26" w:rsidRPr="0034246D">
        <w:rPr>
          <w:b/>
        </w:rPr>
        <w:t>tjänst samt fysisk planering</w:t>
      </w:r>
    </w:p>
    <w:tbl>
      <w:tblPr>
        <w:tblW w:w="6093" w:type="dxa"/>
        <w:tblCellMar>
          <w:left w:w="70" w:type="dxa"/>
          <w:right w:w="70" w:type="dxa"/>
        </w:tblCellMar>
        <w:tblLook w:val="0000" w:firstRow="0" w:lastRow="0" w:firstColumn="0" w:lastColumn="0" w:noHBand="0" w:noVBand="0"/>
      </w:tblPr>
      <w:tblGrid>
        <w:gridCol w:w="1701"/>
        <w:gridCol w:w="567"/>
        <w:gridCol w:w="567"/>
        <w:gridCol w:w="567"/>
        <w:gridCol w:w="567"/>
        <w:gridCol w:w="567"/>
        <w:gridCol w:w="567"/>
        <w:gridCol w:w="567"/>
        <w:gridCol w:w="567"/>
        <w:gridCol w:w="567"/>
      </w:tblGrid>
      <w:tr w:rsidR="00885088" w:rsidRPr="0034246D">
        <w:trPr>
          <w:trHeight w:val="244"/>
        </w:trPr>
        <w:tc>
          <w:tcPr>
            <w:tcW w:w="1701" w:type="dxa"/>
            <w:tcBorders>
              <w:top w:val="single" w:sz="4" w:space="0" w:color="auto"/>
              <w:left w:val="nil"/>
              <w:bottom w:val="nil"/>
              <w:right w:val="nil"/>
            </w:tcBorders>
            <w:noWrap/>
            <w:vAlign w:val="bottom"/>
          </w:tcPr>
          <w:p w:rsidR="00885088" w:rsidRPr="0034246D" w:rsidRDefault="00885088" w:rsidP="00DD39DD">
            <w:pPr>
              <w:spacing w:before="0" w:line="200" w:lineRule="exact"/>
              <w:rPr>
                <w:sz w:val="16"/>
                <w:szCs w:val="16"/>
              </w:rPr>
            </w:pPr>
          </w:p>
        </w:tc>
        <w:tc>
          <w:tcPr>
            <w:tcW w:w="567" w:type="dxa"/>
            <w:gridSpan w:val="2"/>
            <w:tcBorders>
              <w:top w:val="single" w:sz="4" w:space="0" w:color="auto"/>
              <w:left w:val="nil"/>
              <w:bottom w:val="single" w:sz="4" w:space="0" w:color="auto"/>
              <w:right w:val="nil"/>
            </w:tcBorders>
            <w:noWrap/>
            <w:vAlign w:val="bottom"/>
          </w:tcPr>
          <w:p w:rsidR="00885088" w:rsidRPr="0034246D" w:rsidRDefault="00885088" w:rsidP="00DD39DD">
            <w:pPr>
              <w:spacing w:before="0" w:line="200" w:lineRule="exact"/>
              <w:rPr>
                <w:sz w:val="16"/>
                <w:szCs w:val="16"/>
              </w:rPr>
            </w:pPr>
            <w:r w:rsidRPr="0034246D">
              <w:rPr>
                <w:sz w:val="16"/>
                <w:szCs w:val="16"/>
              </w:rPr>
              <w:t>U</w:t>
            </w:r>
            <w:r w:rsidRPr="0034246D">
              <w:rPr>
                <w:sz w:val="16"/>
                <w:szCs w:val="16"/>
              </w:rPr>
              <w:t>t</w:t>
            </w:r>
            <w:r w:rsidRPr="0034246D">
              <w:rPr>
                <w:sz w:val="16"/>
                <w:szCs w:val="16"/>
              </w:rPr>
              <w:t>fall </w:t>
            </w:r>
          </w:p>
        </w:tc>
        <w:tc>
          <w:tcPr>
            <w:tcW w:w="567" w:type="dxa"/>
            <w:tcBorders>
              <w:top w:val="single" w:sz="4" w:space="0" w:color="auto"/>
              <w:left w:val="nil"/>
              <w:bottom w:val="single" w:sz="4" w:space="0" w:color="auto"/>
              <w:right w:val="nil"/>
            </w:tcBorders>
            <w:noWrap/>
            <w:vAlign w:val="bottom"/>
          </w:tcPr>
          <w:p w:rsidR="00885088" w:rsidRPr="0034246D" w:rsidRDefault="00885088" w:rsidP="00DD39DD">
            <w:pPr>
              <w:spacing w:before="0" w:line="200" w:lineRule="exact"/>
              <w:rPr>
                <w:sz w:val="16"/>
                <w:szCs w:val="16"/>
              </w:rPr>
            </w:pPr>
            <w:r w:rsidRPr="0034246D">
              <w:rPr>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885088" w:rsidRPr="0034246D" w:rsidRDefault="00885088" w:rsidP="00DD39DD">
            <w:pPr>
              <w:spacing w:before="0" w:line="200" w:lineRule="exact"/>
              <w:rPr>
                <w:sz w:val="16"/>
                <w:szCs w:val="16"/>
              </w:rPr>
            </w:pPr>
            <w:r w:rsidRPr="0034246D">
              <w:rPr>
                <w:sz w:val="16"/>
                <w:szCs w:val="16"/>
              </w:rPr>
              <w:t> </w:t>
            </w:r>
          </w:p>
        </w:tc>
        <w:tc>
          <w:tcPr>
            <w:tcW w:w="567" w:type="dxa"/>
            <w:gridSpan w:val="2"/>
            <w:tcBorders>
              <w:top w:val="single" w:sz="4" w:space="0" w:color="auto"/>
              <w:left w:val="single" w:sz="4" w:space="0" w:color="auto"/>
              <w:bottom w:val="single" w:sz="4" w:space="0" w:color="auto"/>
              <w:right w:val="nil"/>
            </w:tcBorders>
            <w:noWrap/>
            <w:vAlign w:val="bottom"/>
          </w:tcPr>
          <w:p w:rsidR="00885088" w:rsidRPr="0034246D" w:rsidRDefault="00885088" w:rsidP="00DD39DD">
            <w:pPr>
              <w:spacing w:before="0" w:line="200" w:lineRule="exact"/>
              <w:rPr>
                <w:sz w:val="16"/>
                <w:szCs w:val="16"/>
              </w:rPr>
            </w:pPr>
            <w:r w:rsidRPr="0034246D">
              <w:rPr>
                <w:i/>
                <w:iCs/>
                <w:sz w:val="16"/>
                <w:szCs w:val="16"/>
              </w:rPr>
              <w:t>Pr</w:t>
            </w:r>
            <w:r w:rsidRPr="0034246D">
              <w:rPr>
                <w:i/>
                <w:iCs/>
                <w:sz w:val="16"/>
                <w:szCs w:val="16"/>
              </w:rPr>
              <w:t>o</w:t>
            </w:r>
            <w:r w:rsidRPr="0034246D">
              <w:rPr>
                <w:i/>
                <w:iCs/>
                <w:sz w:val="16"/>
                <w:szCs w:val="16"/>
              </w:rPr>
              <w:t>gnos</w:t>
            </w:r>
            <w:r w:rsidRPr="0034246D">
              <w:rPr>
                <w:sz w:val="16"/>
                <w:szCs w:val="16"/>
              </w:rPr>
              <w:t> </w:t>
            </w:r>
          </w:p>
        </w:tc>
        <w:tc>
          <w:tcPr>
            <w:tcW w:w="567" w:type="dxa"/>
            <w:tcBorders>
              <w:top w:val="single" w:sz="4" w:space="0" w:color="auto"/>
              <w:left w:val="nil"/>
              <w:bottom w:val="single" w:sz="4" w:space="0" w:color="auto"/>
              <w:right w:val="nil"/>
            </w:tcBorders>
            <w:noWrap/>
            <w:vAlign w:val="bottom"/>
          </w:tcPr>
          <w:p w:rsidR="00885088" w:rsidRPr="0034246D" w:rsidRDefault="00885088" w:rsidP="00DD39DD">
            <w:pPr>
              <w:spacing w:before="0" w:line="200" w:lineRule="exact"/>
              <w:rPr>
                <w:sz w:val="16"/>
                <w:szCs w:val="16"/>
              </w:rPr>
            </w:pPr>
            <w:r w:rsidRPr="0034246D">
              <w:rPr>
                <w:sz w:val="16"/>
                <w:szCs w:val="16"/>
              </w:rPr>
              <w:t> </w:t>
            </w:r>
          </w:p>
        </w:tc>
        <w:tc>
          <w:tcPr>
            <w:tcW w:w="567" w:type="dxa"/>
            <w:tcBorders>
              <w:top w:val="single" w:sz="4" w:space="0" w:color="auto"/>
              <w:left w:val="nil"/>
              <w:bottom w:val="single" w:sz="4" w:space="0" w:color="auto"/>
              <w:right w:val="nil"/>
            </w:tcBorders>
            <w:noWrap/>
            <w:vAlign w:val="bottom"/>
          </w:tcPr>
          <w:p w:rsidR="00885088" w:rsidRPr="0034246D" w:rsidRDefault="00885088" w:rsidP="00DD39DD">
            <w:pPr>
              <w:spacing w:before="0" w:line="200" w:lineRule="exact"/>
              <w:rPr>
                <w:sz w:val="16"/>
                <w:szCs w:val="16"/>
              </w:rPr>
            </w:pPr>
          </w:p>
        </w:tc>
        <w:tc>
          <w:tcPr>
            <w:tcW w:w="567" w:type="dxa"/>
            <w:tcBorders>
              <w:top w:val="single" w:sz="4" w:space="0" w:color="auto"/>
              <w:left w:val="nil"/>
              <w:bottom w:val="single" w:sz="4" w:space="0" w:color="auto"/>
              <w:right w:val="nil"/>
            </w:tcBorders>
            <w:noWrap/>
            <w:vAlign w:val="bottom"/>
          </w:tcPr>
          <w:p w:rsidR="00885088" w:rsidRPr="0034246D" w:rsidRDefault="00885088" w:rsidP="00DD39DD">
            <w:pPr>
              <w:spacing w:before="0" w:line="200" w:lineRule="exact"/>
              <w:rPr>
                <w:sz w:val="16"/>
                <w:szCs w:val="16"/>
              </w:rPr>
            </w:pPr>
          </w:p>
        </w:tc>
      </w:tr>
      <w:tr w:rsidR="00885088" w:rsidRPr="0034246D">
        <w:trPr>
          <w:trHeight w:val="244"/>
        </w:trPr>
        <w:tc>
          <w:tcPr>
            <w:tcW w:w="1701" w:type="dxa"/>
            <w:tcBorders>
              <w:top w:val="single" w:sz="4" w:space="0" w:color="auto"/>
              <w:left w:val="nil"/>
              <w:bottom w:val="single" w:sz="4" w:space="0" w:color="auto"/>
              <w:right w:val="nil"/>
            </w:tcBorders>
            <w:noWrap/>
            <w:vAlign w:val="bottom"/>
          </w:tcPr>
          <w:p w:rsidR="00B2233B" w:rsidRPr="0034246D" w:rsidRDefault="00B2233B" w:rsidP="00DD39DD">
            <w:pPr>
              <w:spacing w:before="0" w:line="200" w:lineRule="exact"/>
              <w:rPr>
                <w:i/>
                <w:iCs/>
                <w:sz w:val="16"/>
                <w:szCs w:val="16"/>
              </w:rPr>
            </w:pPr>
            <w:r w:rsidRPr="0034246D">
              <w:rPr>
                <w:i/>
                <w:iCs/>
                <w:sz w:val="16"/>
                <w:szCs w:val="16"/>
              </w:rPr>
              <w:t>Miljarder kronor</w:t>
            </w:r>
          </w:p>
        </w:tc>
        <w:tc>
          <w:tcPr>
            <w:tcW w:w="567" w:type="dxa"/>
            <w:tcBorders>
              <w:top w:val="nil"/>
              <w:left w:val="nil"/>
              <w:bottom w:val="single" w:sz="4" w:space="0" w:color="auto"/>
              <w:right w:val="nil"/>
            </w:tcBorders>
            <w:noWrap/>
            <w:vAlign w:val="bottom"/>
          </w:tcPr>
          <w:p w:rsidR="00B2233B" w:rsidRPr="0034246D" w:rsidRDefault="00B2233B" w:rsidP="00DD39DD">
            <w:pPr>
              <w:spacing w:before="0" w:line="200" w:lineRule="exact"/>
              <w:jc w:val="right"/>
              <w:rPr>
                <w:b/>
                <w:bCs/>
                <w:sz w:val="16"/>
                <w:szCs w:val="16"/>
              </w:rPr>
            </w:pPr>
            <w:r w:rsidRPr="0034246D">
              <w:rPr>
                <w:b/>
                <w:bCs/>
                <w:sz w:val="16"/>
                <w:szCs w:val="16"/>
              </w:rPr>
              <w:t>2000</w:t>
            </w:r>
          </w:p>
        </w:tc>
        <w:tc>
          <w:tcPr>
            <w:tcW w:w="567" w:type="dxa"/>
            <w:tcBorders>
              <w:top w:val="nil"/>
              <w:left w:val="nil"/>
              <w:bottom w:val="single" w:sz="4" w:space="0" w:color="auto"/>
              <w:right w:val="nil"/>
            </w:tcBorders>
            <w:noWrap/>
            <w:vAlign w:val="bottom"/>
          </w:tcPr>
          <w:p w:rsidR="00B2233B" w:rsidRPr="0034246D" w:rsidRDefault="00B2233B" w:rsidP="00DD39DD">
            <w:pPr>
              <w:spacing w:before="0" w:line="200" w:lineRule="exact"/>
              <w:jc w:val="right"/>
              <w:rPr>
                <w:b/>
                <w:bCs/>
                <w:sz w:val="16"/>
                <w:szCs w:val="16"/>
              </w:rPr>
            </w:pPr>
            <w:r w:rsidRPr="0034246D">
              <w:rPr>
                <w:b/>
                <w:bCs/>
                <w:sz w:val="16"/>
                <w:szCs w:val="16"/>
              </w:rPr>
              <w:t>2001</w:t>
            </w:r>
          </w:p>
        </w:tc>
        <w:tc>
          <w:tcPr>
            <w:tcW w:w="567" w:type="dxa"/>
            <w:tcBorders>
              <w:top w:val="nil"/>
              <w:left w:val="nil"/>
              <w:bottom w:val="single" w:sz="4" w:space="0" w:color="auto"/>
              <w:right w:val="single" w:sz="4" w:space="0" w:color="auto"/>
            </w:tcBorders>
            <w:noWrap/>
            <w:vAlign w:val="bottom"/>
          </w:tcPr>
          <w:p w:rsidR="00B2233B" w:rsidRPr="0034246D" w:rsidRDefault="00B2233B" w:rsidP="00DD39DD">
            <w:pPr>
              <w:spacing w:before="0" w:line="200" w:lineRule="exact"/>
              <w:jc w:val="right"/>
              <w:rPr>
                <w:b/>
                <w:bCs/>
                <w:sz w:val="16"/>
                <w:szCs w:val="16"/>
              </w:rPr>
            </w:pPr>
            <w:r w:rsidRPr="0034246D">
              <w:rPr>
                <w:b/>
                <w:bCs/>
                <w:sz w:val="16"/>
                <w:szCs w:val="16"/>
              </w:rPr>
              <w:t>2002</w:t>
            </w:r>
          </w:p>
        </w:tc>
        <w:tc>
          <w:tcPr>
            <w:tcW w:w="567" w:type="dxa"/>
            <w:tcBorders>
              <w:top w:val="nil"/>
              <w:left w:val="nil"/>
              <w:bottom w:val="single" w:sz="4" w:space="0" w:color="auto"/>
              <w:right w:val="single" w:sz="4" w:space="0" w:color="auto"/>
            </w:tcBorders>
            <w:noWrap/>
            <w:vAlign w:val="bottom"/>
          </w:tcPr>
          <w:p w:rsidR="00B2233B" w:rsidRPr="0034246D" w:rsidRDefault="00B2233B" w:rsidP="00DD39DD">
            <w:pPr>
              <w:spacing w:before="0" w:line="200" w:lineRule="exact"/>
              <w:jc w:val="right"/>
              <w:rPr>
                <w:b/>
                <w:bCs/>
                <w:sz w:val="16"/>
                <w:szCs w:val="16"/>
              </w:rPr>
            </w:pPr>
            <w:r w:rsidRPr="0034246D">
              <w:rPr>
                <w:b/>
                <w:bCs/>
                <w:sz w:val="16"/>
                <w:szCs w:val="16"/>
              </w:rPr>
              <w:t>2003</w:t>
            </w:r>
          </w:p>
        </w:tc>
        <w:tc>
          <w:tcPr>
            <w:tcW w:w="567" w:type="dxa"/>
            <w:tcBorders>
              <w:top w:val="nil"/>
              <w:left w:val="nil"/>
              <w:bottom w:val="single" w:sz="4" w:space="0" w:color="auto"/>
              <w:right w:val="nil"/>
            </w:tcBorders>
            <w:noWrap/>
            <w:vAlign w:val="bottom"/>
          </w:tcPr>
          <w:p w:rsidR="00B2233B" w:rsidRPr="0034246D" w:rsidRDefault="00B2233B" w:rsidP="00DD39DD">
            <w:pPr>
              <w:spacing w:before="0" w:line="200" w:lineRule="exact"/>
              <w:jc w:val="right"/>
              <w:rPr>
                <w:b/>
                <w:bCs/>
                <w:sz w:val="16"/>
                <w:szCs w:val="16"/>
              </w:rPr>
            </w:pPr>
            <w:r w:rsidRPr="0034246D">
              <w:rPr>
                <w:b/>
                <w:bCs/>
                <w:sz w:val="16"/>
                <w:szCs w:val="16"/>
              </w:rPr>
              <w:t>2004</w:t>
            </w:r>
          </w:p>
        </w:tc>
        <w:tc>
          <w:tcPr>
            <w:tcW w:w="567" w:type="dxa"/>
            <w:tcBorders>
              <w:top w:val="nil"/>
              <w:left w:val="nil"/>
              <w:bottom w:val="single" w:sz="4" w:space="0" w:color="auto"/>
              <w:right w:val="nil"/>
            </w:tcBorders>
            <w:noWrap/>
            <w:vAlign w:val="bottom"/>
          </w:tcPr>
          <w:p w:rsidR="00B2233B" w:rsidRPr="0034246D" w:rsidRDefault="00B2233B" w:rsidP="00DD39DD">
            <w:pPr>
              <w:spacing w:before="0" w:line="200" w:lineRule="exact"/>
              <w:jc w:val="right"/>
              <w:rPr>
                <w:b/>
                <w:bCs/>
                <w:sz w:val="16"/>
                <w:szCs w:val="16"/>
              </w:rPr>
            </w:pPr>
            <w:r w:rsidRPr="0034246D">
              <w:rPr>
                <w:b/>
                <w:bCs/>
                <w:sz w:val="16"/>
                <w:szCs w:val="16"/>
              </w:rPr>
              <w:t>2005</w:t>
            </w:r>
          </w:p>
        </w:tc>
        <w:tc>
          <w:tcPr>
            <w:tcW w:w="567" w:type="dxa"/>
            <w:tcBorders>
              <w:top w:val="single" w:sz="4" w:space="0" w:color="auto"/>
              <w:left w:val="nil"/>
              <w:bottom w:val="single" w:sz="4" w:space="0" w:color="auto"/>
              <w:right w:val="single" w:sz="4" w:space="0" w:color="auto"/>
            </w:tcBorders>
            <w:noWrap/>
            <w:vAlign w:val="bottom"/>
          </w:tcPr>
          <w:p w:rsidR="00B2233B" w:rsidRPr="0034246D" w:rsidRDefault="00B2233B" w:rsidP="00DD39DD">
            <w:pPr>
              <w:spacing w:before="0" w:line="200" w:lineRule="exact"/>
              <w:jc w:val="right"/>
              <w:rPr>
                <w:b/>
                <w:bCs/>
                <w:sz w:val="16"/>
                <w:szCs w:val="16"/>
              </w:rPr>
            </w:pPr>
            <w:r w:rsidRPr="0034246D">
              <w:rPr>
                <w:b/>
                <w:bCs/>
                <w:sz w:val="16"/>
                <w:szCs w:val="16"/>
              </w:rPr>
              <w:t>2006</w:t>
            </w:r>
          </w:p>
        </w:tc>
        <w:tc>
          <w:tcPr>
            <w:tcW w:w="567" w:type="dxa"/>
            <w:tcBorders>
              <w:top w:val="single" w:sz="4" w:space="0" w:color="auto"/>
              <w:left w:val="single" w:sz="4" w:space="0" w:color="auto"/>
              <w:bottom w:val="single" w:sz="4" w:space="0" w:color="auto"/>
              <w:right w:val="nil"/>
            </w:tcBorders>
            <w:noWrap/>
            <w:vAlign w:val="bottom"/>
          </w:tcPr>
          <w:p w:rsidR="00B2233B" w:rsidRPr="0034246D" w:rsidRDefault="00B2233B" w:rsidP="00DD39DD">
            <w:pPr>
              <w:spacing w:before="0" w:line="200" w:lineRule="exact"/>
              <w:jc w:val="right"/>
              <w:rPr>
                <w:b/>
                <w:bCs/>
                <w:sz w:val="16"/>
                <w:szCs w:val="16"/>
              </w:rPr>
            </w:pPr>
            <w:r w:rsidRPr="0034246D">
              <w:rPr>
                <w:b/>
                <w:bCs/>
                <w:sz w:val="16"/>
                <w:szCs w:val="16"/>
              </w:rPr>
              <w:t>2007</w:t>
            </w:r>
          </w:p>
        </w:tc>
        <w:tc>
          <w:tcPr>
            <w:tcW w:w="567" w:type="dxa"/>
            <w:tcBorders>
              <w:top w:val="single" w:sz="4" w:space="0" w:color="auto"/>
              <w:left w:val="nil"/>
              <w:bottom w:val="single" w:sz="4" w:space="0" w:color="auto"/>
              <w:right w:val="nil"/>
            </w:tcBorders>
            <w:noWrap/>
            <w:vAlign w:val="bottom"/>
          </w:tcPr>
          <w:p w:rsidR="00B2233B" w:rsidRPr="0034246D" w:rsidRDefault="00B2233B" w:rsidP="00DD39DD">
            <w:pPr>
              <w:spacing w:before="0" w:line="200" w:lineRule="exact"/>
              <w:jc w:val="right"/>
              <w:rPr>
                <w:b/>
                <w:bCs/>
                <w:sz w:val="16"/>
                <w:szCs w:val="16"/>
              </w:rPr>
            </w:pPr>
            <w:r w:rsidRPr="0034246D">
              <w:rPr>
                <w:b/>
                <w:bCs/>
                <w:sz w:val="16"/>
                <w:szCs w:val="16"/>
              </w:rPr>
              <w:t>2008</w:t>
            </w:r>
          </w:p>
        </w:tc>
      </w:tr>
      <w:tr w:rsidR="00885088" w:rsidRPr="0034246D">
        <w:trPr>
          <w:trHeight w:val="244"/>
        </w:trPr>
        <w:tc>
          <w:tcPr>
            <w:tcW w:w="1701" w:type="dxa"/>
            <w:tcBorders>
              <w:top w:val="nil"/>
              <w:left w:val="nil"/>
              <w:bottom w:val="nil"/>
              <w:right w:val="nil"/>
            </w:tcBorders>
            <w:noWrap/>
            <w:vAlign w:val="bottom"/>
          </w:tcPr>
          <w:p w:rsidR="00B2233B" w:rsidRPr="0034246D" w:rsidRDefault="00B2233B" w:rsidP="00C30FD8">
            <w:pPr>
              <w:spacing w:beforeLines="60" w:before="144" w:line="200" w:lineRule="exact"/>
              <w:jc w:val="left"/>
              <w:rPr>
                <w:sz w:val="16"/>
                <w:szCs w:val="16"/>
              </w:rPr>
            </w:pPr>
            <w:r w:rsidRPr="0034246D">
              <w:rPr>
                <w:sz w:val="16"/>
                <w:szCs w:val="16"/>
              </w:rPr>
              <w:t xml:space="preserve">Gator, vägar och </w:t>
            </w:r>
            <w:r w:rsidR="00DD39DD" w:rsidRPr="0034246D">
              <w:rPr>
                <w:sz w:val="16"/>
                <w:szCs w:val="16"/>
              </w:rPr>
              <w:br/>
            </w:r>
            <w:r w:rsidRPr="0034246D">
              <w:rPr>
                <w:sz w:val="16"/>
                <w:szCs w:val="16"/>
              </w:rPr>
              <w:t>pa</w:t>
            </w:r>
            <w:r w:rsidRPr="0034246D">
              <w:rPr>
                <w:sz w:val="16"/>
                <w:szCs w:val="16"/>
              </w:rPr>
              <w:t>r</w:t>
            </w:r>
            <w:r w:rsidRPr="0034246D">
              <w:rPr>
                <w:sz w:val="16"/>
                <w:szCs w:val="16"/>
              </w:rPr>
              <w:t>kering</w:t>
            </w:r>
          </w:p>
        </w:tc>
        <w:tc>
          <w:tcPr>
            <w:tcW w:w="567" w:type="dxa"/>
            <w:tcBorders>
              <w:top w:val="nil"/>
              <w:left w:val="nil"/>
              <w:bottom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5,9</w:t>
            </w:r>
          </w:p>
        </w:tc>
        <w:tc>
          <w:tcPr>
            <w:tcW w:w="567" w:type="dxa"/>
            <w:tcBorders>
              <w:top w:val="nil"/>
              <w:left w:val="nil"/>
              <w:bottom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6,8</w:t>
            </w:r>
          </w:p>
        </w:tc>
        <w:tc>
          <w:tcPr>
            <w:tcW w:w="567" w:type="dxa"/>
            <w:tcBorders>
              <w:top w:val="nil"/>
              <w:left w:val="nil"/>
              <w:bottom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6,7</w:t>
            </w:r>
          </w:p>
        </w:tc>
        <w:tc>
          <w:tcPr>
            <w:tcW w:w="567" w:type="dxa"/>
            <w:tcBorders>
              <w:top w:val="nil"/>
              <w:left w:val="nil"/>
              <w:bottom w:val="nil"/>
              <w:right w:val="single" w:sz="4" w:space="0" w:color="auto"/>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7,0</w:t>
            </w:r>
          </w:p>
        </w:tc>
        <w:tc>
          <w:tcPr>
            <w:tcW w:w="567" w:type="dxa"/>
            <w:tcBorders>
              <w:top w:val="nil"/>
              <w:left w:val="nil"/>
              <w:bottom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7,1</w:t>
            </w:r>
          </w:p>
        </w:tc>
        <w:tc>
          <w:tcPr>
            <w:tcW w:w="567" w:type="dxa"/>
            <w:tcBorders>
              <w:top w:val="nil"/>
              <w:left w:val="nil"/>
              <w:bottom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7,3</w:t>
            </w:r>
          </w:p>
        </w:tc>
        <w:tc>
          <w:tcPr>
            <w:tcW w:w="567" w:type="dxa"/>
            <w:tcBorders>
              <w:top w:val="nil"/>
              <w:left w:val="nil"/>
              <w:bottom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7,4</w:t>
            </w:r>
          </w:p>
        </w:tc>
        <w:tc>
          <w:tcPr>
            <w:tcW w:w="567" w:type="dxa"/>
            <w:tcBorders>
              <w:top w:val="nil"/>
              <w:left w:val="nil"/>
              <w:bottom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7,6</w:t>
            </w:r>
          </w:p>
        </w:tc>
        <w:tc>
          <w:tcPr>
            <w:tcW w:w="567" w:type="dxa"/>
            <w:tcBorders>
              <w:top w:val="nil"/>
              <w:left w:val="nil"/>
              <w:bottom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7,7</w:t>
            </w:r>
          </w:p>
        </w:tc>
      </w:tr>
      <w:tr w:rsidR="00885088" w:rsidRPr="0034246D">
        <w:trPr>
          <w:trHeight w:val="244"/>
        </w:trPr>
        <w:tc>
          <w:tcPr>
            <w:tcW w:w="1701" w:type="dxa"/>
            <w:tcBorders>
              <w:top w:val="nil"/>
              <w:left w:val="nil"/>
              <w:bottom w:val="nil"/>
              <w:right w:val="nil"/>
            </w:tcBorders>
            <w:noWrap/>
            <w:vAlign w:val="bottom"/>
          </w:tcPr>
          <w:p w:rsidR="00B2233B" w:rsidRPr="0034246D" w:rsidRDefault="00B2233B" w:rsidP="00885088">
            <w:pPr>
              <w:spacing w:beforeLines="60" w:before="144" w:line="200" w:lineRule="exact"/>
              <w:rPr>
                <w:sz w:val="16"/>
                <w:szCs w:val="16"/>
              </w:rPr>
            </w:pPr>
            <w:r w:rsidRPr="0034246D">
              <w:rPr>
                <w:sz w:val="16"/>
                <w:szCs w:val="16"/>
              </w:rPr>
              <w:t>Räddningstjänst</w:t>
            </w:r>
          </w:p>
        </w:tc>
        <w:tc>
          <w:tcPr>
            <w:tcW w:w="567" w:type="dxa"/>
            <w:tcBorders>
              <w:top w:val="nil"/>
              <w:left w:val="nil"/>
              <w:bottom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4,0</w:t>
            </w:r>
          </w:p>
        </w:tc>
        <w:tc>
          <w:tcPr>
            <w:tcW w:w="567" w:type="dxa"/>
            <w:tcBorders>
              <w:top w:val="nil"/>
              <w:left w:val="nil"/>
              <w:bottom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4,5</w:t>
            </w:r>
          </w:p>
        </w:tc>
        <w:tc>
          <w:tcPr>
            <w:tcW w:w="567" w:type="dxa"/>
            <w:tcBorders>
              <w:top w:val="nil"/>
              <w:left w:val="nil"/>
              <w:bottom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4,8</w:t>
            </w:r>
          </w:p>
        </w:tc>
        <w:tc>
          <w:tcPr>
            <w:tcW w:w="567" w:type="dxa"/>
            <w:tcBorders>
              <w:top w:val="nil"/>
              <w:left w:val="nil"/>
              <w:bottom w:val="nil"/>
              <w:right w:val="single" w:sz="4" w:space="0" w:color="auto"/>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5,1</w:t>
            </w:r>
          </w:p>
        </w:tc>
        <w:tc>
          <w:tcPr>
            <w:tcW w:w="567" w:type="dxa"/>
            <w:tcBorders>
              <w:top w:val="nil"/>
              <w:left w:val="nil"/>
              <w:bottom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5,2</w:t>
            </w:r>
          </w:p>
        </w:tc>
        <w:tc>
          <w:tcPr>
            <w:tcW w:w="567" w:type="dxa"/>
            <w:tcBorders>
              <w:top w:val="nil"/>
              <w:left w:val="nil"/>
              <w:bottom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5,3</w:t>
            </w:r>
          </w:p>
        </w:tc>
        <w:tc>
          <w:tcPr>
            <w:tcW w:w="567" w:type="dxa"/>
            <w:tcBorders>
              <w:top w:val="nil"/>
              <w:left w:val="nil"/>
              <w:bottom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5,4</w:t>
            </w:r>
          </w:p>
        </w:tc>
        <w:tc>
          <w:tcPr>
            <w:tcW w:w="567" w:type="dxa"/>
            <w:tcBorders>
              <w:top w:val="nil"/>
              <w:left w:val="nil"/>
              <w:bottom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5,5</w:t>
            </w:r>
          </w:p>
        </w:tc>
        <w:tc>
          <w:tcPr>
            <w:tcW w:w="567" w:type="dxa"/>
            <w:tcBorders>
              <w:top w:val="nil"/>
              <w:left w:val="nil"/>
              <w:bottom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5,6</w:t>
            </w:r>
          </w:p>
        </w:tc>
      </w:tr>
      <w:tr w:rsidR="00885088" w:rsidRPr="0034246D">
        <w:trPr>
          <w:trHeight w:val="244"/>
        </w:trPr>
        <w:tc>
          <w:tcPr>
            <w:tcW w:w="1701" w:type="dxa"/>
            <w:tcBorders>
              <w:top w:val="nil"/>
              <w:left w:val="nil"/>
              <w:right w:val="nil"/>
            </w:tcBorders>
            <w:noWrap/>
            <w:vAlign w:val="bottom"/>
          </w:tcPr>
          <w:p w:rsidR="00B2233B" w:rsidRPr="0034246D" w:rsidRDefault="00B2233B" w:rsidP="00885088">
            <w:pPr>
              <w:spacing w:beforeLines="60" w:before="144" w:line="200" w:lineRule="exact"/>
              <w:rPr>
                <w:sz w:val="16"/>
                <w:szCs w:val="16"/>
              </w:rPr>
            </w:pPr>
            <w:r w:rsidRPr="0034246D">
              <w:rPr>
                <w:sz w:val="16"/>
                <w:szCs w:val="16"/>
              </w:rPr>
              <w:t>Fysisk &amp; teknisk plan</w:t>
            </w:r>
            <w:r w:rsidRPr="0034246D">
              <w:rPr>
                <w:sz w:val="16"/>
                <w:szCs w:val="16"/>
              </w:rPr>
              <w:t>e</w:t>
            </w:r>
            <w:r w:rsidRPr="0034246D">
              <w:rPr>
                <w:sz w:val="16"/>
                <w:szCs w:val="16"/>
              </w:rPr>
              <w:t>ring, bostadsfö</w:t>
            </w:r>
            <w:r w:rsidRPr="0034246D">
              <w:rPr>
                <w:sz w:val="16"/>
                <w:szCs w:val="16"/>
              </w:rPr>
              <w:t>r</w:t>
            </w:r>
            <w:r w:rsidRPr="0034246D">
              <w:rPr>
                <w:sz w:val="16"/>
                <w:szCs w:val="16"/>
              </w:rPr>
              <w:t>bättr.</w:t>
            </w:r>
          </w:p>
        </w:tc>
        <w:tc>
          <w:tcPr>
            <w:tcW w:w="567" w:type="dxa"/>
            <w:tcBorders>
              <w:top w:val="nil"/>
              <w:left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2,3</w:t>
            </w:r>
          </w:p>
        </w:tc>
        <w:tc>
          <w:tcPr>
            <w:tcW w:w="567" w:type="dxa"/>
            <w:tcBorders>
              <w:top w:val="nil"/>
              <w:left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2,0</w:t>
            </w:r>
          </w:p>
        </w:tc>
        <w:tc>
          <w:tcPr>
            <w:tcW w:w="567" w:type="dxa"/>
            <w:tcBorders>
              <w:top w:val="nil"/>
              <w:left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2,4</w:t>
            </w:r>
          </w:p>
        </w:tc>
        <w:tc>
          <w:tcPr>
            <w:tcW w:w="567" w:type="dxa"/>
            <w:tcBorders>
              <w:top w:val="nil"/>
              <w:left w:val="nil"/>
              <w:right w:val="single" w:sz="4" w:space="0" w:color="auto"/>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2,5</w:t>
            </w:r>
          </w:p>
        </w:tc>
        <w:tc>
          <w:tcPr>
            <w:tcW w:w="567" w:type="dxa"/>
            <w:tcBorders>
              <w:top w:val="nil"/>
              <w:left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2,5</w:t>
            </w:r>
          </w:p>
        </w:tc>
        <w:tc>
          <w:tcPr>
            <w:tcW w:w="567" w:type="dxa"/>
            <w:tcBorders>
              <w:top w:val="nil"/>
              <w:left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2,6</w:t>
            </w:r>
          </w:p>
        </w:tc>
        <w:tc>
          <w:tcPr>
            <w:tcW w:w="567" w:type="dxa"/>
            <w:tcBorders>
              <w:top w:val="nil"/>
              <w:left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2,6</w:t>
            </w:r>
          </w:p>
        </w:tc>
        <w:tc>
          <w:tcPr>
            <w:tcW w:w="567" w:type="dxa"/>
            <w:tcBorders>
              <w:top w:val="nil"/>
              <w:left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2,7</w:t>
            </w:r>
          </w:p>
        </w:tc>
        <w:tc>
          <w:tcPr>
            <w:tcW w:w="567" w:type="dxa"/>
            <w:tcBorders>
              <w:top w:val="nil"/>
              <w:left w:val="nil"/>
              <w:right w:val="nil"/>
            </w:tcBorders>
            <w:noWrap/>
            <w:vAlign w:val="bottom"/>
          </w:tcPr>
          <w:p w:rsidR="00B2233B" w:rsidRPr="0034246D" w:rsidRDefault="00B2233B" w:rsidP="00885088">
            <w:pPr>
              <w:spacing w:beforeLines="60" w:before="144" w:line="200" w:lineRule="exact"/>
              <w:jc w:val="right"/>
              <w:rPr>
                <w:sz w:val="16"/>
                <w:szCs w:val="16"/>
              </w:rPr>
            </w:pPr>
            <w:r w:rsidRPr="0034246D">
              <w:rPr>
                <w:sz w:val="16"/>
                <w:szCs w:val="16"/>
              </w:rPr>
              <w:t>2,7</w:t>
            </w:r>
          </w:p>
        </w:tc>
      </w:tr>
      <w:tr w:rsidR="00885088" w:rsidRPr="0034246D">
        <w:trPr>
          <w:trHeight w:val="244"/>
        </w:trPr>
        <w:tc>
          <w:tcPr>
            <w:tcW w:w="1701" w:type="dxa"/>
            <w:tcBorders>
              <w:left w:val="nil"/>
              <w:bottom w:val="single" w:sz="4" w:space="0" w:color="auto"/>
              <w:right w:val="nil"/>
            </w:tcBorders>
            <w:noWrap/>
            <w:vAlign w:val="bottom"/>
          </w:tcPr>
          <w:p w:rsidR="00B2233B" w:rsidRPr="0034246D" w:rsidRDefault="00B2233B" w:rsidP="00885088">
            <w:pPr>
              <w:spacing w:beforeLines="60" w:before="144" w:line="200" w:lineRule="exact"/>
              <w:rPr>
                <w:b/>
                <w:bCs/>
                <w:sz w:val="16"/>
                <w:szCs w:val="16"/>
              </w:rPr>
            </w:pPr>
            <w:r w:rsidRPr="0034246D">
              <w:rPr>
                <w:b/>
                <w:bCs/>
                <w:sz w:val="16"/>
                <w:szCs w:val="16"/>
              </w:rPr>
              <w:t>Summa</w:t>
            </w:r>
          </w:p>
        </w:tc>
        <w:tc>
          <w:tcPr>
            <w:tcW w:w="567" w:type="dxa"/>
            <w:tcBorders>
              <w:left w:val="nil"/>
              <w:bottom w:val="single" w:sz="4" w:space="0" w:color="auto"/>
              <w:right w:val="nil"/>
            </w:tcBorders>
            <w:noWrap/>
            <w:vAlign w:val="bottom"/>
          </w:tcPr>
          <w:p w:rsidR="00B2233B" w:rsidRPr="0034246D" w:rsidRDefault="00B2233B" w:rsidP="00885088">
            <w:pPr>
              <w:spacing w:beforeLines="60" w:before="144" w:line="200" w:lineRule="exact"/>
              <w:jc w:val="right"/>
              <w:rPr>
                <w:b/>
                <w:bCs/>
                <w:sz w:val="16"/>
                <w:szCs w:val="16"/>
              </w:rPr>
            </w:pPr>
            <w:r w:rsidRPr="0034246D">
              <w:rPr>
                <w:b/>
                <w:bCs/>
                <w:sz w:val="16"/>
                <w:szCs w:val="16"/>
              </w:rPr>
              <w:t>12,3</w:t>
            </w:r>
          </w:p>
        </w:tc>
        <w:tc>
          <w:tcPr>
            <w:tcW w:w="567" w:type="dxa"/>
            <w:tcBorders>
              <w:left w:val="nil"/>
              <w:bottom w:val="single" w:sz="4" w:space="0" w:color="auto"/>
              <w:right w:val="nil"/>
            </w:tcBorders>
            <w:noWrap/>
            <w:vAlign w:val="bottom"/>
          </w:tcPr>
          <w:p w:rsidR="00B2233B" w:rsidRPr="0034246D" w:rsidRDefault="00B2233B" w:rsidP="00885088">
            <w:pPr>
              <w:spacing w:beforeLines="60" w:before="144" w:line="200" w:lineRule="exact"/>
              <w:jc w:val="right"/>
              <w:rPr>
                <w:b/>
                <w:bCs/>
                <w:sz w:val="16"/>
                <w:szCs w:val="16"/>
              </w:rPr>
            </w:pPr>
            <w:r w:rsidRPr="0034246D">
              <w:rPr>
                <w:b/>
                <w:bCs/>
                <w:sz w:val="16"/>
                <w:szCs w:val="16"/>
              </w:rPr>
              <w:t>13,4</w:t>
            </w:r>
          </w:p>
        </w:tc>
        <w:tc>
          <w:tcPr>
            <w:tcW w:w="567" w:type="dxa"/>
            <w:tcBorders>
              <w:left w:val="nil"/>
              <w:bottom w:val="single" w:sz="4" w:space="0" w:color="auto"/>
            </w:tcBorders>
            <w:noWrap/>
            <w:vAlign w:val="bottom"/>
          </w:tcPr>
          <w:p w:rsidR="00B2233B" w:rsidRPr="0034246D" w:rsidRDefault="00B2233B" w:rsidP="00885088">
            <w:pPr>
              <w:spacing w:beforeLines="60" w:before="144" w:line="200" w:lineRule="exact"/>
              <w:jc w:val="right"/>
              <w:rPr>
                <w:b/>
                <w:bCs/>
                <w:sz w:val="16"/>
                <w:szCs w:val="16"/>
              </w:rPr>
            </w:pPr>
            <w:r w:rsidRPr="0034246D">
              <w:rPr>
                <w:b/>
                <w:bCs/>
                <w:sz w:val="16"/>
                <w:szCs w:val="16"/>
              </w:rPr>
              <w:t>13,9</w:t>
            </w:r>
          </w:p>
        </w:tc>
        <w:tc>
          <w:tcPr>
            <w:tcW w:w="567" w:type="dxa"/>
            <w:tcBorders>
              <w:bottom w:val="single" w:sz="4" w:space="0" w:color="auto"/>
              <w:right w:val="single" w:sz="4" w:space="0" w:color="auto"/>
            </w:tcBorders>
            <w:noWrap/>
            <w:vAlign w:val="bottom"/>
          </w:tcPr>
          <w:p w:rsidR="00B2233B" w:rsidRPr="0034246D" w:rsidRDefault="00B2233B" w:rsidP="00885088">
            <w:pPr>
              <w:spacing w:beforeLines="60" w:before="144" w:line="200" w:lineRule="exact"/>
              <w:jc w:val="right"/>
              <w:rPr>
                <w:b/>
                <w:bCs/>
                <w:sz w:val="16"/>
                <w:szCs w:val="16"/>
              </w:rPr>
            </w:pPr>
            <w:r w:rsidRPr="0034246D">
              <w:rPr>
                <w:b/>
                <w:bCs/>
                <w:sz w:val="16"/>
                <w:szCs w:val="16"/>
              </w:rPr>
              <w:t>14,5</w:t>
            </w:r>
          </w:p>
        </w:tc>
        <w:tc>
          <w:tcPr>
            <w:tcW w:w="567" w:type="dxa"/>
            <w:tcBorders>
              <w:left w:val="nil"/>
              <w:bottom w:val="single" w:sz="4" w:space="0" w:color="auto"/>
              <w:right w:val="nil"/>
            </w:tcBorders>
            <w:noWrap/>
            <w:vAlign w:val="bottom"/>
          </w:tcPr>
          <w:p w:rsidR="00B2233B" w:rsidRPr="0034246D" w:rsidRDefault="00B2233B" w:rsidP="00885088">
            <w:pPr>
              <w:spacing w:beforeLines="60" w:before="144" w:line="200" w:lineRule="exact"/>
              <w:jc w:val="right"/>
              <w:rPr>
                <w:b/>
                <w:bCs/>
                <w:sz w:val="16"/>
                <w:szCs w:val="16"/>
              </w:rPr>
            </w:pPr>
            <w:r w:rsidRPr="0034246D">
              <w:rPr>
                <w:b/>
                <w:bCs/>
                <w:sz w:val="16"/>
                <w:szCs w:val="16"/>
              </w:rPr>
              <w:t>14,8</w:t>
            </w:r>
          </w:p>
        </w:tc>
        <w:tc>
          <w:tcPr>
            <w:tcW w:w="567" w:type="dxa"/>
            <w:tcBorders>
              <w:left w:val="nil"/>
              <w:bottom w:val="single" w:sz="4" w:space="0" w:color="auto"/>
              <w:right w:val="nil"/>
            </w:tcBorders>
            <w:noWrap/>
            <w:vAlign w:val="bottom"/>
          </w:tcPr>
          <w:p w:rsidR="00B2233B" w:rsidRPr="0034246D" w:rsidRDefault="00B2233B" w:rsidP="00885088">
            <w:pPr>
              <w:spacing w:beforeLines="60" w:before="144" w:line="200" w:lineRule="exact"/>
              <w:jc w:val="right"/>
              <w:rPr>
                <w:b/>
                <w:bCs/>
                <w:sz w:val="16"/>
                <w:szCs w:val="16"/>
              </w:rPr>
            </w:pPr>
            <w:r w:rsidRPr="0034246D">
              <w:rPr>
                <w:b/>
                <w:bCs/>
                <w:sz w:val="16"/>
                <w:szCs w:val="16"/>
              </w:rPr>
              <w:t>15,1</w:t>
            </w:r>
          </w:p>
        </w:tc>
        <w:tc>
          <w:tcPr>
            <w:tcW w:w="567" w:type="dxa"/>
            <w:tcBorders>
              <w:left w:val="nil"/>
              <w:bottom w:val="single" w:sz="4" w:space="0" w:color="auto"/>
              <w:right w:val="nil"/>
            </w:tcBorders>
            <w:noWrap/>
            <w:vAlign w:val="bottom"/>
          </w:tcPr>
          <w:p w:rsidR="00B2233B" w:rsidRPr="0034246D" w:rsidRDefault="00B2233B" w:rsidP="00885088">
            <w:pPr>
              <w:spacing w:beforeLines="60" w:before="144" w:line="200" w:lineRule="exact"/>
              <w:jc w:val="right"/>
              <w:rPr>
                <w:b/>
                <w:bCs/>
                <w:sz w:val="16"/>
                <w:szCs w:val="16"/>
              </w:rPr>
            </w:pPr>
            <w:r w:rsidRPr="0034246D">
              <w:rPr>
                <w:b/>
                <w:bCs/>
                <w:sz w:val="16"/>
                <w:szCs w:val="16"/>
              </w:rPr>
              <w:t>15,4</w:t>
            </w:r>
          </w:p>
        </w:tc>
        <w:tc>
          <w:tcPr>
            <w:tcW w:w="567" w:type="dxa"/>
            <w:tcBorders>
              <w:left w:val="nil"/>
              <w:bottom w:val="single" w:sz="4" w:space="0" w:color="auto"/>
              <w:right w:val="nil"/>
            </w:tcBorders>
            <w:noWrap/>
            <w:vAlign w:val="bottom"/>
          </w:tcPr>
          <w:p w:rsidR="00B2233B" w:rsidRPr="0034246D" w:rsidRDefault="00B2233B" w:rsidP="00885088">
            <w:pPr>
              <w:spacing w:beforeLines="60" w:before="144" w:line="200" w:lineRule="exact"/>
              <w:jc w:val="right"/>
              <w:rPr>
                <w:b/>
                <w:bCs/>
                <w:sz w:val="16"/>
                <w:szCs w:val="16"/>
              </w:rPr>
            </w:pPr>
            <w:r w:rsidRPr="0034246D">
              <w:rPr>
                <w:b/>
                <w:bCs/>
                <w:sz w:val="16"/>
                <w:szCs w:val="16"/>
              </w:rPr>
              <w:t>15,7</w:t>
            </w:r>
          </w:p>
        </w:tc>
        <w:tc>
          <w:tcPr>
            <w:tcW w:w="567" w:type="dxa"/>
            <w:tcBorders>
              <w:left w:val="nil"/>
              <w:bottom w:val="single" w:sz="4" w:space="0" w:color="auto"/>
              <w:right w:val="nil"/>
            </w:tcBorders>
            <w:noWrap/>
            <w:vAlign w:val="bottom"/>
          </w:tcPr>
          <w:p w:rsidR="00B2233B" w:rsidRPr="0034246D" w:rsidRDefault="00B2233B" w:rsidP="00885088">
            <w:pPr>
              <w:spacing w:beforeLines="60" w:before="144" w:line="200" w:lineRule="exact"/>
              <w:jc w:val="right"/>
              <w:rPr>
                <w:b/>
                <w:bCs/>
                <w:sz w:val="16"/>
                <w:szCs w:val="16"/>
              </w:rPr>
            </w:pPr>
            <w:r w:rsidRPr="0034246D">
              <w:rPr>
                <w:b/>
                <w:bCs/>
                <w:sz w:val="16"/>
                <w:szCs w:val="16"/>
              </w:rPr>
              <w:t>16,1</w:t>
            </w:r>
          </w:p>
        </w:tc>
      </w:tr>
      <w:tr w:rsidR="00B2233B" w:rsidRPr="0034246D">
        <w:trPr>
          <w:trHeight w:val="244"/>
        </w:trPr>
        <w:tc>
          <w:tcPr>
            <w:tcW w:w="1701" w:type="dxa"/>
            <w:tcBorders>
              <w:top w:val="nil"/>
              <w:left w:val="nil"/>
              <w:bottom w:val="nil"/>
              <w:right w:val="nil"/>
            </w:tcBorders>
            <w:noWrap/>
            <w:vAlign w:val="bottom"/>
          </w:tcPr>
          <w:p w:rsidR="00B2233B" w:rsidRPr="0034246D" w:rsidRDefault="00B2233B" w:rsidP="00DD39DD">
            <w:pPr>
              <w:spacing w:before="0" w:line="200" w:lineRule="exact"/>
              <w:rPr>
                <w:sz w:val="16"/>
                <w:szCs w:val="16"/>
              </w:rPr>
            </w:pPr>
          </w:p>
        </w:tc>
        <w:tc>
          <w:tcPr>
            <w:tcW w:w="567" w:type="dxa"/>
            <w:tcBorders>
              <w:top w:val="nil"/>
              <w:left w:val="nil"/>
              <w:bottom w:val="nil"/>
              <w:right w:val="nil"/>
            </w:tcBorders>
            <w:noWrap/>
            <w:vAlign w:val="bottom"/>
          </w:tcPr>
          <w:p w:rsidR="00B2233B" w:rsidRPr="0034246D" w:rsidRDefault="00B2233B" w:rsidP="00DD39DD">
            <w:pPr>
              <w:spacing w:before="0" w:line="200" w:lineRule="exact"/>
              <w:rPr>
                <w:sz w:val="16"/>
                <w:szCs w:val="16"/>
              </w:rPr>
            </w:pPr>
          </w:p>
        </w:tc>
        <w:tc>
          <w:tcPr>
            <w:tcW w:w="567" w:type="dxa"/>
            <w:tcBorders>
              <w:top w:val="nil"/>
              <w:left w:val="nil"/>
              <w:bottom w:val="nil"/>
              <w:right w:val="nil"/>
            </w:tcBorders>
            <w:noWrap/>
            <w:vAlign w:val="bottom"/>
          </w:tcPr>
          <w:p w:rsidR="00B2233B" w:rsidRPr="0034246D" w:rsidRDefault="00B2233B" w:rsidP="00DD39DD">
            <w:pPr>
              <w:spacing w:before="0" w:line="200" w:lineRule="exact"/>
              <w:rPr>
                <w:sz w:val="16"/>
                <w:szCs w:val="16"/>
              </w:rPr>
            </w:pPr>
          </w:p>
        </w:tc>
        <w:tc>
          <w:tcPr>
            <w:tcW w:w="567" w:type="dxa"/>
            <w:gridSpan w:val="7"/>
            <w:tcBorders>
              <w:top w:val="nil"/>
              <w:left w:val="nil"/>
              <w:bottom w:val="nil"/>
              <w:right w:val="nil"/>
            </w:tcBorders>
            <w:noWrap/>
            <w:vAlign w:val="bottom"/>
          </w:tcPr>
          <w:p w:rsidR="00B2233B" w:rsidRPr="0034246D" w:rsidRDefault="00962557" w:rsidP="00DD39DD">
            <w:pPr>
              <w:spacing w:before="0" w:line="200" w:lineRule="exact"/>
              <w:rPr>
                <w:sz w:val="16"/>
                <w:szCs w:val="16"/>
              </w:rPr>
            </w:pPr>
            <w:r w:rsidRPr="0034246D">
              <w:rPr>
                <w:sz w:val="16"/>
                <w:szCs w:val="16"/>
              </w:rPr>
              <w:t>Antagande:</w:t>
            </w:r>
            <w:r w:rsidR="0093458E" w:rsidRPr="0034246D">
              <w:rPr>
                <w:sz w:val="16"/>
                <w:szCs w:val="16"/>
              </w:rPr>
              <w:t xml:space="preserve"> </w:t>
            </w:r>
            <w:r w:rsidR="00B2233B" w:rsidRPr="0034246D">
              <w:rPr>
                <w:sz w:val="16"/>
                <w:szCs w:val="16"/>
              </w:rPr>
              <w:t>2 procents årlig ökning av nettokostn</w:t>
            </w:r>
            <w:r w:rsidR="00B2233B" w:rsidRPr="0034246D">
              <w:rPr>
                <w:sz w:val="16"/>
                <w:szCs w:val="16"/>
              </w:rPr>
              <w:t>a</w:t>
            </w:r>
            <w:r w:rsidR="00B2233B" w:rsidRPr="0034246D">
              <w:rPr>
                <w:sz w:val="16"/>
                <w:szCs w:val="16"/>
              </w:rPr>
              <w:t>derna från 2003</w:t>
            </w:r>
            <w:r w:rsidR="00C46E26" w:rsidRPr="0034246D">
              <w:rPr>
                <w:sz w:val="16"/>
                <w:szCs w:val="16"/>
              </w:rPr>
              <w:t>.</w:t>
            </w:r>
          </w:p>
        </w:tc>
      </w:tr>
    </w:tbl>
    <w:p w:rsidR="00B2233B" w:rsidRPr="0034246D" w:rsidRDefault="00C46E26" w:rsidP="00C30FD8">
      <w:pPr>
        <w:spacing w:before="0"/>
        <w:rPr>
          <w:smallCaps/>
          <w:sz w:val="16"/>
          <w:szCs w:val="16"/>
        </w:rPr>
      </w:pPr>
      <w:r w:rsidRPr="0034246D">
        <w:rPr>
          <w:sz w:val="16"/>
          <w:szCs w:val="16"/>
        </w:rPr>
        <w:t>Källor: SCB, OE 25 SM 0401.</w:t>
      </w:r>
    </w:p>
    <w:p w:rsidR="00A51C86" w:rsidRPr="0034246D" w:rsidRDefault="00C46E26" w:rsidP="00C30FD8">
      <w:pPr>
        <w:spacing w:before="250"/>
        <w:rPr>
          <w:b/>
        </w:rPr>
      </w:pPr>
      <w:r w:rsidRPr="0034246D">
        <w:rPr>
          <w:b/>
        </w:rPr>
        <w:t>Tabell 3. Intäkterna (maximalt) från kommunal fastighet</w:t>
      </w:r>
      <w:r w:rsidR="00DD39DD" w:rsidRPr="0034246D">
        <w:rPr>
          <w:b/>
        </w:rPr>
        <w:t>savgift</w:t>
      </w:r>
    </w:p>
    <w:tbl>
      <w:tblPr>
        <w:tblW w:w="5000" w:type="pct"/>
        <w:tblCellMar>
          <w:left w:w="70" w:type="dxa"/>
          <w:right w:w="70" w:type="dxa"/>
        </w:tblCellMar>
        <w:tblLook w:val="0000" w:firstRow="0" w:lastRow="0" w:firstColumn="0" w:lastColumn="0" w:noHBand="0" w:noVBand="0"/>
      </w:tblPr>
      <w:tblGrid>
        <w:gridCol w:w="3939"/>
        <w:gridCol w:w="2014"/>
      </w:tblGrid>
      <w:tr w:rsidR="008A4DE5" w:rsidRPr="0034246D">
        <w:trPr>
          <w:trHeight w:val="143"/>
        </w:trPr>
        <w:tc>
          <w:tcPr>
            <w:tcW w:w="2500" w:type="pct"/>
            <w:tcBorders>
              <w:top w:val="single" w:sz="4" w:space="0" w:color="auto"/>
              <w:bottom w:val="single" w:sz="4" w:space="0" w:color="auto"/>
            </w:tcBorders>
            <w:noWrap/>
            <w:vAlign w:val="bottom"/>
          </w:tcPr>
          <w:p w:rsidR="008A4DE5" w:rsidRPr="0034246D" w:rsidRDefault="008A4DE5" w:rsidP="00C30FD8">
            <w:pPr>
              <w:spacing w:before="60" w:line="200" w:lineRule="exact"/>
              <w:rPr>
                <w:b/>
                <w:bCs/>
                <w:sz w:val="16"/>
                <w:szCs w:val="16"/>
              </w:rPr>
            </w:pPr>
            <w:r w:rsidRPr="0034246D">
              <w:rPr>
                <w:b/>
                <w:bCs/>
                <w:sz w:val="16"/>
                <w:szCs w:val="16"/>
              </w:rPr>
              <w:t>Primärkommuner</w:t>
            </w:r>
          </w:p>
        </w:tc>
        <w:tc>
          <w:tcPr>
            <w:tcW w:w="2500" w:type="pct"/>
            <w:tcBorders>
              <w:top w:val="single" w:sz="4" w:space="0" w:color="auto"/>
              <w:bottom w:val="single" w:sz="4" w:space="0" w:color="auto"/>
            </w:tcBorders>
            <w:noWrap/>
            <w:vAlign w:val="bottom"/>
          </w:tcPr>
          <w:p w:rsidR="008A4DE5" w:rsidRPr="0034246D" w:rsidRDefault="008A4DE5" w:rsidP="00C30FD8">
            <w:pPr>
              <w:spacing w:before="60" w:line="200" w:lineRule="exact"/>
              <w:jc w:val="right"/>
              <w:rPr>
                <w:b/>
                <w:bCs/>
                <w:sz w:val="16"/>
                <w:szCs w:val="16"/>
              </w:rPr>
            </w:pPr>
            <w:r w:rsidRPr="0034246D">
              <w:rPr>
                <w:b/>
                <w:bCs/>
                <w:sz w:val="16"/>
                <w:szCs w:val="16"/>
              </w:rPr>
              <w:t>2006</w:t>
            </w:r>
          </w:p>
        </w:tc>
      </w:tr>
      <w:tr w:rsidR="008A4DE5" w:rsidRPr="0034246D">
        <w:trPr>
          <w:trHeight w:val="143"/>
        </w:trPr>
        <w:tc>
          <w:tcPr>
            <w:tcW w:w="2500" w:type="pct"/>
            <w:tcBorders>
              <w:top w:val="single" w:sz="4" w:space="0" w:color="auto"/>
            </w:tcBorders>
            <w:noWrap/>
            <w:vAlign w:val="bottom"/>
          </w:tcPr>
          <w:p w:rsidR="008A4DE5" w:rsidRPr="0034246D" w:rsidRDefault="008A4DE5" w:rsidP="00C30FD8">
            <w:pPr>
              <w:spacing w:before="60" w:line="200" w:lineRule="exact"/>
              <w:rPr>
                <w:sz w:val="16"/>
                <w:szCs w:val="16"/>
              </w:rPr>
            </w:pPr>
            <w:r w:rsidRPr="0034246D">
              <w:rPr>
                <w:sz w:val="16"/>
                <w:szCs w:val="16"/>
              </w:rPr>
              <w:t xml:space="preserve">   Kommunal avgift, 2</w:t>
            </w:r>
            <w:r w:rsidR="00C46E26" w:rsidRPr="0034246D">
              <w:rPr>
                <w:sz w:val="16"/>
                <w:szCs w:val="16"/>
              </w:rPr>
              <w:t> </w:t>
            </w:r>
            <w:r w:rsidRPr="0034246D">
              <w:rPr>
                <w:sz w:val="16"/>
                <w:szCs w:val="16"/>
              </w:rPr>
              <w:t>800 kr per småhusenhet (egnahem)</w:t>
            </w:r>
          </w:p>
        </w:tc>
        <w:tc>
          <w:tcPr>
            <w:tcW w:w="2500" w:type="pct"/>
            <w:tcBorders>
              <w:top w:val="single" w:sz="4" w:space="0" w:color="auto"/>
            </w:tcBorders>
            <w:noWrap/>
            <w:vAlign w:val="bottom"/>
          </w:tcPr>
          <w:p w:rsidR="008A4DE5" w:rsidRPr="0034246D" w:rsidRDefault="008A4DE5" w:rsidP="00C30FD8">
            <w:pPr>
              <w:spacing w:before="60" w:line="200" w:lineRule="exact"/>
              <w:jc w:val="right"/>
              <w:rPr>
                <w:color w:val="000000"/>
                <w:sz w:val="16"/>
                <w:szCs w:val="16"/>
              </w:rPr>
            </w:pPr>
            <w:r w:rsidRPr="0034246D">
              <w:rPr>
                <w:color w:val="000000"/>
                <w:sz w:val="16"/>
                <w:szCs w:val="16"/>
              </w:rPr>
              <w:t>+6,5</w:t>
            </w:r>
          </w:p>
        </w:tc>
      </w:tr>
      <w:tr w:rsidR="008A4DE5" w:rsidRPr="0034246D">
        <w:trPr>
          <w:trHeight w:val="143"/>
        </w:trPr>
        <w:tc>
          <w:tcPr>
            <w:tcW w:w="2500" w:type="pct"/>
            <w:noWrap/>
            <w:vAlign w:val="bottom"/>
          </w:tcPr>
          <w:p w:rsidR="008A4DE5" w:rsidRPr="0034246D" w:rsidRDefault="008A4DE5" w:rsidP="00C30FD8">
            <w:pPr>
              <w:spacing w:before="60" w:line="200" w:lineRule="exact"/>
              <w:rPr>
                <w:sz w:val="16"/>
                <w:szCs w:val="16"/>
              </w:rPr>
            </w:pPr>
            <w:r w:rsidRPr="0034246D">
              <w:rPr>
                <w:sz w:val="16"/>
                <w:szCs w:val="16"/>
              </w:rPr>
              <w:t xml:space="preserve">   Kommunal avgift, 900 kr per lägenhet</w:t>
            </w:r>
          </w:p>
        </w:tc>
        <w:tc>
          <w:tcPr>
            <w:tcW w:w="2500" w:type="pct"/>
            <w:noWrap/>
            <w:vAlign w:val="bottom"/>
          </w:tcPr>
          <w:p w:rsidR="008A4DE5" w:rsidRPr="0034246D" w:rsidRDefault="008A4DE5" w:rsidP="00C30FD8">
            <w:pPr>
              <w:spacing w:before="60" w:line="200" w:lineRule="exact"/>
              <w:jc w:val="right"/>
              <w:rPr>
                <w:color w:val="000000"/>
                <w:sz w:val="16"/>
                <w:szCs w:val="16"/>
              </w:rPr>
            </w:pPr>
            <w:r w:rsidRPr="0034246D">
              <w:rPr>
                <w:color w:val="000000"/>
                <w:sz w:val="16"/>
                <w:szCs w:val="16"/>
              </w:rPr>
              <w:t>+2,1</w:t>
            </w:r>
          </w:p>
        </w:tc>
      </w:tr>
      <w:tr w:rsidR="008A4DE5" w:rsidRPr="0034246D">
        <w:trPr>
          <w:trHeight w:val="143"/>
        </w:trPr>
        <w:tc>
          <w:tcPr>
            <w:tcW w:w="2500" w:type="pct"/>
            <w:noWrap/>
            <w:vAlign w:val="bottom"/>
          </w:tcPr>
          <w:p w:rsidR="008A4DE5" w:rsidRPr="0034246D" w:rsidRDefault="008A4DE5" w:rsidP="00C30FD8">
            <w:pPr>
              <w:spacing w:before="60" w:line="200" w:lineRule="exact"/>
              <w:rPr>
                <w:sz w:val="16"/>
                <w:szCs w:val="16"/>
              </w:rPr>
            </w:pPr>
            <w:r w:rsidRPr="0034246D">
              <w:rPr>
                <w:sz w:val="16"/>
                <w:szCs w:val="16"/>
              </w:rPr>
              <w:t xml:space="preserve">   Kommunal avgift för ko</w:t>
            </w:r>
            <w:r w:rsidRPr="0034246D">
              <w:rPr>
                <w:sz w:val="16"/>
                <w:szCs w:val="16"/>
              </w:rPr>
              <w:t>m</w:t>
            </w:r>
            <w:r w:rsidRPr="0034246D">
              <w:rPr>
                <w:sz w:val="16"/>
                <w:szCs w:val="16"/>
              </w:rPr>
              <w:t>mersiella lokaler och industrier</w:t>
            </w:r>
          </w:p>
        </w:tc>
        <w:tc>
          <w:tcPr>
            <w:tcW w:w="2500" w:type="pct"/>
            <w:noWrap/>
            <w:vAlign w:val="bottom"/>
          </w:tcPr>
          <w:p w:rsidR="008A4DE5" w:rsidRPr="0034246D" w:rsidRDefault="008A4DE5" w:rsidP="00C30FD8">
            <w:pPr>
              <w:spacing w:before="60" w:line="200" w:lineRule="exact"/>
              <w:jc w:val="right"/>
              <w:rPr>
                <w:color w:val="000000"/>
                <w:sz w:val="16"/>
                <w:szCs w:val="16"/>
              </w:rPr>
            </w:pPr>
            <w:r w:rsidRPr="0034246D">
              <w:rPr>
                <w:color w:val="000000"/>
                <w:sz w:val="16"/>
                <w:szCs w:val="16"/>
              </w:rPr>
              <w:t>+6,7</w:t>
            </w:r>
          </w:p>
        </w:tc>
      </w:tr>
      <w:tr w:rsidR="008A4DE5" w:rsidRPr="0034246D">
        <w:trPr>
          <w:trHeight w:val="143"/>
        </w:trPr>
        <w:tc>
          <w:tcPr>
            <w:tcW w:w="2500" w:type="pct"/>
            <w:noWrap/>
            <w:vAlign w:val="bottom"/>
          </w:tcPr>
          <w:p w:rsidR="008A4DE5" w:rsidRPr="0034246D" w:rsidRDefault="008A4DE5" w:rsidP="00C30FD8">
            <w:pPr>
              <w:spacing w:before="60" w:line="200" w:lineRule="exact"/>
              <w:rPr>
                <w:sz w:val="16"/>
                <w:szCs w:val="16"/>
              </w:rPr>
            </w:pPr>
            <w:r w:rsidRPr="0034246D">
              <w:rPr>
                <w:sz w:val="16"/>
                <w:szCs w:val="16"/>
              </w:rPr>
              <w:t xml:space="preserve">   Minskat statsbidrag</w:t>
            </w:r>
          </w:p>
        </w:tc>
        <w:tc>
          <w:tcPr>
            <w:tcW w:w="2500" w:type="pct"/>
            <w:noWrap/>
            <w:vAlign w:val="bottom"/>
          </w:tcPr>
          <w:p w:rsidR="008A4DE5" w:rsidRPr="0034246D" w:rsidRDefault="00C46E26" w:rsidP="00C30FD8">
            <w:pPr>
              <w:spacing w:before="60" w:line="200" w:lineRule="exact"/>
              <w:jc w:val="right"/>
              <w:rPr>
                <w:sz w:val="16"/>
                <w:szCs w:val="16"/>
              </w:rPr>
            </w:pPr>
            <w:r w:rsidRPr="0034246D">
              <w:rPr>
                <w:sz w:val="16"/>
                <w:szCs w:val="16"/>
              </w:rPr>
              <w:t>–</w:t>
            </w:r>
            <w:r w:rsidR="008A4DE5" w:rsidRPr="0034246D">
              <w:rPr>
                <w:sz w:val="16"/>
                <w:szCs w:val="16"/>
              </w:rPr>
              <w:t>15,3</w:t>
            </w:r>
          </w:p>
        </w:tc>
      </w:tr>
      <w:tr w:rsidR="008A4DE5" w:rsidRPr="0034246D">
        <w:trPr>
          <w:trHeight w:val="143"/>
        </w:trPr>
        <w:tc>
          <w:tcPr>
            <w:tcW w:w="2500" w:type="pct"/>
            <w:tcBorders>
              <w:bottom w:val="single" w:sz="4" w:space="0" w:color="auto"/>
            </w:tcBorders>
            <w:noWrap/>
            <w:vAlign w:val="bottom"/>
          </w:tcPr>
          <w:p w:rsidR="008A4DE5" w:rsidRPr="0034246D" w:rsidRDefault="008A4DE5" w:rsidP="00C30FD8">
            <w:pPr>
              <w:spacing w:before="60" w:line="200" w:lineRule="exact"/>
              <w:rPr>
                <w:b/>
                <w:bCs/>
                <w:sz w:val="16"/>
                <w:szCs w:val="16"/>
              </w:rPr>
            </w:pPr>
            <w:r w:rsidRPr="0034246D">
              <w:rPr>
                <w:b/>
                <w:bCs/>
                <w:sz w:val="16"/>
                <w:szCs w:val="16"/>
              </w:rPr>
              <w:t>Summa</w:t>
            </w:r>
          </w:p>
        </w:tc>
        <w:tc>
          <w:tcPr>
            <w:tcW w:w="2500" w:type="pct"/>
            <w:tcBorders>
              <w:bottom w:val="single" w:sz="4" w:space="0" w:color="auto"/>
            </w:tcBorders>
            <w:noWrap/>
            <w:vAlign w:val="bottom"/>
          </w:tcPr>
          <w:p w:rsidR="008A4DE5" w:rsidRPr="0034246D" w:rsidRDefault="008A4DE5" w:rsidP="00C30FD8">
            <w:pPr>
              <w:spacing w:before="60" w:line="200" w:lineRule="exact"/>
              <w:jc w:val="right"/>
              <w:rPr>
                <w:b/>
                <w:bCs/>
                <w:sz w:val="16"/>
                <w:szCs w:val="16"/>
              </w:rPr>
            </w:pPr>
            <w:r w:rsidRPr="0034246D">
              <w:rPr>
                <w:b/>
                <w:bCs/>
                <w:sz w:val="16"/>
                <w:szCs w:val="16"/>
              </w:rPr>
              <w:t>0,0</w:t>
            </w:r>
          </w:p>
        </w:tc>
      </w:tr>
    </w:tbl>
    <w:p w:rsidR="00A51C86" w:rsidRPr="0034246D" w:rsidRDefault="00A51C86" w:rsidP="00A51C86">
      <w:pPr>
        <w:rPr>
          <w:snapToGrid w:val="0"/>
        </w:rPr>
      </w:pPr>
      <w:r w:rsidRPr="0034246D">
        <w:rPr>
          <w:snapToGrid w:val="0"/>
        </w:rPr>
        <w:t>Av tabell 3 framgår också att den (maximala) totala avgiftsintäkten uppgår till ungefär</w:t>
      </w:r>
      <w:r w:rsidR="00C30FD8" w:rsidRPr="0034246D">
        <w:rPr>
          <w:snapToGrid w:val="0"/>
        </w:rPr>
        <w:t xml:space="preserve"> </w:t>
      </w:r>
      <w:r w:rsidRPr="0034246D">
        <w:rPr>
          <w:snapToGrid w:val="0"/>
        </w:rPr>
        <w:t>samma belopp som kommunernas beräknade nettokostnader väntas uppgå till för de</w:t>
      </w:r>
      <w:r w:rsidR="00C30FD8" w:rsidRPr="0034246D">
        <w:rPr>
          <w:snapToGrid w:val="0"/>
        </w:rPr>
        <w:t xml:space="preserve"> </w:t>
      </w:r>
      <w:r w:rsidRPr="0034246D">
        <w:rPr>
          <w:snapToGrid w:val="0"/>
        </w:rPr>
        <w:t>fastighetsanknutna tjänsterna enligt tabell 2. Statsbidraget till kommunerna föreslås minska med ett belopp som motsvarar de faktiskt b</w:t>
      </w:r>
      <w:r w:rsidRPr="0034246D">
        <w:rPr>
          <w:snapToGrid w:val="0"/>
        </w:rPr>
        <w:t>e</w:t>
      </w:r>
      <w:r w:rsidRPr="0034246D">
        <w:rPr>
          <w:snapToGrid w:val="0"/>
        </w:rPr>
        <w:t>räknade nett</w:t>
      </w:r>
      <w:r w:rsidRPr="0034246D">
        <w:rPr>
          <w:snapToGrid w:val="0"/>
        </w:rPr>
        <w:t>o</w:t>
      </w:r>
      <w:r w:rsidRPr="0034246D">
        <w:rPr>
          <w:snapToGrid w:val="0"/>
        </w:rPr>
        <w:t>kostnaderna.</w:t>
      </w:r>
    </w:p>
    <w:p w:rsidR="00A51C86" w:rsidRPr="0034246D" w:rsidRDefault="00A51C86" w:rsidP="00A51C86">
      <w:pPr>
        <w:pStyle w:val="Rubrik2"/>
        <w:rPr>
          <w:snapToGrid w:val="0"/>
        </w:rPr>
      </w:pPr>
      <w:bookmarkStart w:id="49" w:name="_Toc83901828"/>
      <w:r w:rsidRPr="0034246D">
        <w:rPr>
          <w:snapToGrid w:val="0"/>
        </w:rPr>
        <w:t>Regionala skillnader</w:t>
      </w:r>
      <w:bookmarkEnd w:id="49"/>
    </w:p>
    <w:p w:rsidR="00A51C86" w:rsidRPr="0034246D" w:rsidRDefault="00A51C86" w:rsidP="00A51C86">
      <w:pPr>
        <w:rPr>
          <w:snapToGrid w:val="0"/>
        </w:rPr>
      </w:pPr>
      <w:r w:rsidRPr="0034246D">
        <w:rPr>
          <w:snapToGrid w:val="0"/>
        </w:rPr>
        <w:t>De strukturella kostnadsvariationer för olika kommuner som beror på geogr</w:t>
      </w:r>
      <w:r w:rsidRPr="0034246D">
        <w:rPr>
          <w:snapToGrid w:val="0"/>
        </w:rPr>
        <w:t>a</w:t>
      </w:r>
      <w:r w:rsidRPr="0034246D">
        <w:rPr>
          <w:snapToGrid w:val="0"/>
        </w:rPr>
        <w:t>fiskt läge med mera förutsätts utjämnas via det kommunala utjämningssyst</w:t>
      </w:r>
      <w:r w:rsidRPr="0034246D">
        <w:rPr>
          <w:snapToGrid w:val="0"/>
        </w:rPr>
        <w:t>e</w:t>
      </w:r>
      <w:r w:rsidRPr="0034246D">
        <w:rPr>
          <w:snapToGrid w:val="0"/>
        </w:rPr>
        <w:t>met. Något motiv för</w:t>
      </w:r>
      <w:r w:rsidR="00C30FD8" w:rsidRPr="0034246D">
        <w:rPr>
          <w:snapToGrid w:val="0"/>
        </w:rPr>
        <w:t xml:space="preserve"> </w:t>
      </w:r>
      <w:r w:rsidRPr="0034246D">
        <w:rPr>
          <w:snapToGrid w:val="0"/>
        </w:rPr>
        <w:t>kommunerna att till exempel ha olika höga maxbelopp för den avgift som får tas ut finns därför inte.</w:t>
      </w:r>
    </w:p>
    <w:p w:rsidR="00A51C86" w:rsidRPr="0034246D" w:rsidRDefault="00A51C86" w:rsidP="00A51C86">
      <w:pPr>
        <w:pStyle w:val="Normaltindrag"/>
        <w:rPr>
          <w:snapToGrid w:val="0"/>
        </w:rPr>
      </w:pPr>
      <w:r w:rsidRPr="0034246D">
        <w:rPr>
          <w:snapToGrid w:val="0"/>
        </w:rPr>
        <w:t>Införandet av den kommunala fastighetsavgiften finansieras genom en minskning av statsbidragen, enligt finansieringsprincipen. För att uppnå en neutral växling bör statsbidragen minska med samma belopp som de nya avgiftsinkomsterna ger kommunen.</w:t>
      </w:r>
    </w:p>
    <w:p w:rsidR="00A51C86" w:rsidRPr="0034246D" w:rsidRDefault="00A51C86" w:rsidP="00A51C86">
      <w:pPr>
        <w:pStyle w:val="Normaltindrag"/>
        <w:rPr>
          <w:snapToGrid w:val="0"/>
        </w:rPr>
      </w:pPr>
      <w:r w:rsidRPr="0034246D">
        <w:rPr>
          <w:snapToGrid w:val="0"/>
        </w:rPr>
        <w:t>Med ett system som ovan beskrivits ges kommunerna ett tydligt incitament att främja bostadsbebyggelse och näringslivsutveckling. Detta är det nuvara</w:t>
      </w:r>
      <w:r w:rsidRPr="0034246D">
        <w:rPr>
          <w:snapToGrid w:val="0"/>
        </w:rPr>
        <w:t>n</w:t>
      </w:r>
      <w:r w:rsidRPr="0034246D">
        <w:rPr>
          <w:snapToGrid w:val="0"/>
        </w:rPr>
        <w:t xml:space="preserve">de kommunalskatte- och kostnadsutjämningssystemet i fullständig avsaknad av. Av det skälet, och många andra, har </w:t>
      </w:r>
      <w:r w:rsidR="00C46E26" w:rsidRPr="0034246D">
        <w:rPr>
          <w:snapToGrid w:val="0"/>
        </w:rPr>
        <w:t xml:space="preserve">Kristdemokraterna </w:t>
      </w:r>
      <w:r w:rsidRPr="0034246D">
        <w:rPr>
          <w:snapToGrid w:val="0"/>
        </w:rPr>
        <w:t>länge krävt en genomgripande översyn av nuvarande skatteutjämningssystem. I det sa</w:t>
      </w:r>
      <w:r w:rsidRPr="0034246D">
        <w:rPr>
          <w:snapToGrid w:val="0"/>
        </w:rPr>
        <w:t>m</w:t>
      </w:r>
      <w:r w:rsidRPr="0034246D">
        <w:rPr>
          <w:snapToGrid w:val="0"/>
        </w:rPr>
        <w:t>manhanget får också de långsiktiga konsekvenserna av införandet av en kommunal fastighetsavgift beaktas.</w:t>
      </w:r>
    </w:p>
    <w:p w:rsidR="00A51C86" w:rsidRPr="0034246D" w:rsidRDefault="00A51C86" w:rsidP="00A51C86">
      <w:pPr>
        <w:pStyle w:val="Normaltindrag"/>
        <w:rPr>
          <w:snapToGrid w:val="0"/>
        </w:rPr>
      </w:pPr>
      <w:r w:rsidRPr="0034246D">
        <w:rPr>
          <w:snapToGrid w:val="0"/>
        </w:rPr>
        <w:t>Fastighetstaxeringen är indelad i 355 värdeområden. Enligt villaägarnas förening som beräknat det genomsnittliga taxeringsvärdet i dessa områden så understiger det genomsnittliga taxeringsvärde</w:t>
      </w:r>
      <w:r w:rsidR="00C46E26" w:rsidRPr="0034246D">
        <w:rPr>
          <w:snapToGrid w:val="0"/>
        </w:rPr>
        <w:t>t</w:t>
      </w:r>
      <w:r w:rsidRPr="0034246D">
        <w:rPr>
          <w:snapToGrid w:val="0"/>
        </w:rPr>
        <w:t xml:space="preserve"> </w:t>
      </w:r>
      <w:r w:rsidR="00ED00C9" w:rsidRPr="0034246D">
        <w:rPr>
          <w:snapToGrid w:val="0"/>
        </w:rPr>
        <w:t xml:space="preserve">280 </w:t>
      </w:r>
      <w:r w:rsidRPr="0034246D">
        <w:rPr>
          <w:snapToGrid w:val="0"/>
        </w:rPr>
        <w:t>000 kronor i endast i ett fåtal värdeområden. Det rör sig om platser med få invånare och genomsnitten ligger oftast över 200 000 kronor. Man kan därav dra slutsatsen att en event</w:t>
      </w:r>
      <w:r w:rsidRPr="0034246D">
        <w:rPr>
          <w:snapToGrid w:val="0"/>
        </w:rPr>
        <w:t>u</w:t>
      </w:r>
      <w:r w:rsidRPr="0034246D">
        <w:rPr>
          <w:snapToGrid w:val="0"/>
        </w:rPr>
        <w:t xml:space="preserve">ell skattehöjning med Kristdemokraternas förslag endast skulle ske för ett fåtal fastighetsägare. Skulle dessa kommuner inte välja att ta ut den maximalt tillåtna fastighetsavgiften enligt vår modell så blir de fastighetsägare som förlorar på vårt system än färre. </w:t>
      </w:r>
    </w:p>
    <w:p w:rsidR="00A51C86" w:rsidRPr="0034246D" w:rsidRDefault="00A51C86" w:rsidP="00A51C86">
      <w:pPr>
        <w:pStyle w:val="Rubrik2"/>
        <w:rPr>
          <w:snapToGrid w:val="0"/>
        </w:rPr>
      </w:pPr>
      <w:bookmarkStart w:id="50" w:name="_Toc83901829"/>
      <w:r w:rsidRPr="0034246D">
        <w:rPr>
          <w:snapToGrid w:val="0"/>
        </w:rPr>
        <w:t>Likformig reavinstskatt</w:t>
      </w:r>
      <w:bookmarkEnd w:id="50"/>
    </w:p>
    <w:p w:rsidR="00A51C86" w:rsidRPr="0034246D" w:rsidRDefault="00A51C86" w:rsidP="00A51C86">
      <w:pPr>
        <w:rPr>
          <w:snapToGrid w:val="0"/>
        </w:rPr>
      </w:pPr>
      <w:r w:rsidRPr="0034246D">
        <w:rPr>
          <w:snapToGrid w:val="0"/>
        </w:rPr>
        <w:t>Reavinstskatten vid privatbostadsförsäljning u</w:t>
      </w:r>
      <w:r w:rsidR="00962557" w:rsidRPr="0034246D">
        <w:rPr>
          <w:snapToGrid w:val="0"/>
        </w:rPr>
        <w:t>ppgår med dagens regler till 20 </w:t>
      </w:r>
      <w:r w:rsidRPr="0034246D">
        <w:rPr>
          <w:snapToGrid w:val="0"/>
        </w:rPr>
        <w:t>procent (30 procent på två tredjedelar av vinsten). Ett argument för en höjd reavinstskatt på</w:t>
      </w:r>
      <w:r w:rsidR="00C30FD8" w:rsidRPr="0034246D">
        <w:rPr>
          <w:snapToGrid w:val="0"/>
        </w:rPr>
        <w:t xml:space="preserve"> </w:t>
      </w:r>
      <w:r w:rsidRPr="0034246D">
        <w:rPr>
          <w:snapToGrid w:val="0"/>
        </w:rPr>
        <w:t>privatbostäder till 30 procent är att skatteuttaget genom vår föreslagna reform därmed</w:t>
      </w:r>
      <w:r w:rsidR="00C30FD8" w:rsidRPr="0034246D">
        <w:rPr>
          <w:snapToGrid w:val="0"/>
        </w:rPr>
        <w:t xml:space="preserve"> </w:t>
      </w:r>
      <w:r w:rsidRPr="0034246D">
        <w:rPr>
          <w:snapToGrid w:val="0"/>
        </w:rPr>
        <w:t>förskjuts från beskattning av så kallad icke-monetär inkomst (själva boendet) till ett tillfälle när husägaren verkligen har tillgång till likvida medel. Denna typ av beskattning är också förutsägbar när en försäljning väl närmar sig.</w:t>
      </w:r>
    </w:p>
    <w:p w:rsidR="00A51C86" w:rsidRPr="0034246D" w:rsidRDefault="00A51C86" w:rsidP="00A51C86">
      <w:pPr>
        <w:pStyle w:val="Normaltindrag"/>
        <w:rPr>
          <w:snapToGrid w:val="0"/>
        </w:rPr>
      </w:pPr>
      <w:r w:rsidRPr="0034246D">
        <w:rPr>
          <w:snapToGrid w:val="0"/>
        </w:rPr>
        <w:t>När fastighetsskatten avskaffas kommer detta med största sannolikhet att kapitaliseras ganska snabbt i priset på småhus och bostadsrätter. Genom en högre reavinstskatt vid försäljning av privatbostäder kommer de som på detta sätt drar störst nytta av fastighetsskattens avskaffande att bära en större del av reformens finansiering. Dessutom blir beskattningen likformig med övrig kapitalbeskattning där skattesatsen är 30 procent. Genom att likheten i b</w:t>
      </w:r>
      <w:r w:rsidRPr="0034246D">
        <w:rPr>
          <w:snapToGrid w:val="0"/>
        </w:rPr>
        <w:t>e</w:t>
      </w:r>
      <w:r w:rsidRPr="0034246D">
        <w:rPr>
          <w:snapToGrid w:val="0"/>
        </w:rPr>
        <w:t>skattning på detta sätt ökar mellan privatbostadsfastigheter och till exempel obligationer (ingen löpande beskattning, samma reavinstskatt), kommer pr</w:t>
      </w:r>
      <w:r w:rsidRPr="0034246D">
        <w:rPr>
          <w:snapToGrid w:val="0"/>
        </w:rPr>
        <w:t>i</w:t>
      </w:r>
      <w:r w:rsidRPr="0034246D">
        <w:rPr>
          <w:snapToGrid w:val="0"/>
        </w:rPr>
        <w:t xml:space="preserve">vatbostadsfastigheter inte heller efter reformen att vara skattemässigt gynnat för de fåtal personer som kan tänkas betrakta boendet i första hand som en av många möjligheter till kapitalplacering. </w:t>
      </w:r>
    </w:p>
    <w:p w:rsidR="004746E0" w:rsidRPr="0034246D" w:rsidRDefault="004746E0" w:rsidP="004746E0">
      <w:pPr>
        <w:pStyle w:val="Rubrik2"/>
        <w:rPr>
          <w:snapToGrid w:val="0"/>
        </w:rPr>
      </w:pPr>
      <w:r w:rsidRPr="0034246D">
        <w:rPr>
          <w:snapToGrid w:val="0"/>
        </w:rPr>
        <w:t>Halverad uppskovsmöjlighet</w:t>
      </w:r>
    </w:p>
    <w:p w:rsidR="004746E0" w:rsidRPr="0034246D" w:rsidRDefault="004746E0" w:rsidP="004746E0">
      <w:pPr>
        <w:rPr>
          <w:snapToGrid w:val="0"/>
        </w:rPr>
      </w:pPr>
      <w:r w:rsidRPr="0034246D">
        <w:rPr>
          <w:snapToGrid w:val="0"/>
        </w:rPr>
        <w:t>De stigande fastighetspriserna i Sverige sedan år 2000 innebär risker för de svenska hushållen. Tack vare låga räntor och förhållandevis generösa banker blir budgivningar vid bostadsförsäljningar ofta häftiga tillställningar. På grund av bostadsbristen är hushållen nu beredda att ta på sig stora skulder för att ordna ett boende – skulder som i ett senare skede kan visa sig för tunga att bära. För en del hushåll med låga inkomster innebär prisnivån i framför</w:t>
      </w:r>
      <w:r w:rsidR="00C46E26" w:rsidRPr="0034246D">
        <w:rPr>
          <w:snapToGrid w:val="0"/>
        </w:rPr>
        <w:t xml:space="preserve"> </w:t>
      </w:r>
      <w:r w:rsidRPr="0034246D">
        <w:rPr>
          <w:snapToGrid w:val="0"/>
        </w:rPr>
        <w:t>allt storstäderna att det är svårt att över huvud</w:t>
      </w:r>
      <w:r w:rsidR="00C46E26" w:rsidRPr="0034246D">
        <w:rPr>
          <w:snapToGrid w:val="0"/>
        </w:rPr>
        <w:t xml:space="preserve"> </w:t>
      </w:r>
      <w:r w:rsidRPr="0034246D">
        <w:rPr>
          <w:snapToGrid w:val="0"/>
        </w:rPr>
        <w:t>taget ta sig in på bostadsrättsmar</w:t>
      </w:r>
      <w:r w:rsidRPr="0034246D">
        <w:rPr>
          <w:snapToGrid w:val="0"/>
        </w:rPr>
        <w:t>k</w:t>
      </w:r>
      <w:r w:rsidRPr="0034246D">
        <w:rPr>
          <w:snapToGrid w:val="0"/>
        </w:rPr>
        <w:t>naden.</w:t>
      </w:r>
    </w:p>
    <w:p w:rsidR="00D96AA4" w:rsidRPr="0034246D" w:rsidRDefault="004746E0" w:rsidP="00C30FD8">
      <w:pPr>
        <w:pStyle w:val="Normaltindrag"/>
        <w:rPr>
          <w:snapToGrid w:val="0"/>
        </w:rPr>
      </w:pPr>
      <w:r w:rsidRPr="0034246D">
        <w:rPr>
          <w:snapToGrid w:val="0"/>
        </w:rPr>
        <w:t xml:space="preserve">Om den löpande statliga fastighetsskatten avskaffas finns det starka skäl att tro att </w:t>
      </w:r>
      <w:r w:rsidR="00D96AA4" w:rsidRPr="0034246D">
        <w:rPr>
          <w:snapToGrid w:val="0"/>
        </w:rPr>
        <w:t>priserna på bostäder ånyo ökar. Eftersom Kristdemokraternas fa</w:t>
      </w:r>
      <w:r w:rsidR="00D96AA4" w:rsidRPr="0034246D">
        <w:rPr>
          <w:snapToGrid w:val="0"/>
        </w:rPr>
        <w:t>s</w:t>
      </w:r>
      <w:r w:rsidR="00D96AA4" w:rsidRPr="0034246D">
        <w:rPr>
          <w:snapToGrid w:val="0"/>
        </w:rPr>
        <w:t>tighetsskattereform innebär att den löpande beskattningen av fastigheter minskar med drygt 10 miljarder kan man anta att värdet av fastigheter som har ett högt marknadsvärde och betingar hög fastighetsskatt ökar i värde b</w:t>
      </w:r>
      <w:r w:rsidR="00D96AA4" w:rsidRPr="0034246D">
        <w:rPr>
          <w:snapToGrid w:val="0"/>
        </w:rPr>
        <w:t>e</w:t>
      </w:r>
      <w:r w:rsidR="00D96AA4" w:rsidRPr="0034246D">
        <w:rPr>
          <w:snapToGrid w:val="0"/>
        </w:rPr>
        <w:t xml:space="preserve">tydligt mer än fastigheter i mindre tätbefolkade delar av Sverige med låg fastighetsskatt. </w:t>
      </w:r>
    </w:p>
    <w:p w:rsidR="004746E0" w:rsidRPr="0034246D" w:rsidRDefault="00D96AA4" w:rsidP="00142A8F">
      <w:pPr>
        <w:pStyle w:val="Normaltindrag"/>
        <w:rPr>
          <w:snapToGrid w:val="0"/>
        </w:rPr>
      </w:pPr>
      <w:r w:rsidRPr="0034246D">
        <w:t xml:space="preserve">Det är därför rimligt både ur ett fördelningsmässigt perspektiv och ur ett strukturellt perspektiv att inskränka möjligheten till uppskov av reavinst vid fastighetsförsäljningar. Genom att tillåta uppskov för endast halva reavinsten </w:t>
      </w:r>
      <w:r w:rsidR="00142A8F" w:rsidRPr="0034246D">
        <w:t>dämpas prishetsen något i attraktiva områden samtidigt som den fastighet</w:t>
      </w:r>
      <w:r w:rsidR="00142A8F" w:rsidRPr="0034246D">
        <w:t>s</w:t>
      </w:r>
      <w:r w:rsidR="00142A8F" w:rsidRPr="0034246D">
        <w:t xml:space="preserve">skattereform som </w:t>
      </w:r>
      <w:r w:rsidR="00C46E26" w:rsidRPr="0034246D">
        <w:t xml:space="preserve">Kristdemokraterna </w:t>
      </w:r>
      <w:r w:rsidR="00142A8F" w:rsidRPr="0034246D">
        <w:t xml:space="preserve">föreslår får en rimlig finansiering. De fastighetsägare som får ett kraftig värdeökning tack vare låg fastighetsavgift får betala en högre </w:t>
      </w:r>
      <w:r w:rsidR="008A4DE5" w:rsidRPr="0034246D">
        <w:t xml:space="preserve">andel reavinstskatter vid tidpunkten för försäljningen. </w:t>
      </w:r>
    </w:p>
    <w:p w:rsidR="00A51C86" w:rsidRPr="0034246D" w:rsidRDefault="00A51C86" w:rsidP="00A51C86">
      <w:pPr>
        <w:pStyle w:val="Rubrik2"/>
        <w:rPr>
          <w:snapToGrid w:val="0"/>
        </w:rPr>
      </w:pPr>
      <w:bookmarkStart w:id="51" w:name="_Toc83901830"/>
      <w:r w:rsidRPr="0034246D">
        <w:rPr>
          <w:snapToGrid w:val="0"/>
        </w:rPr>
        <w:t>Lägre administrationskostnader</w:t>
      </w:r>
      <w:bookmarkEnd w:id="51"/>
    </w:p>
    <w:p w:rsidR="00A51C86" w:rsidRPr="0034246D" w:rsidRDefault="00A51C86" w:rsidP="00A51C86">
      <w:r w:rsidRPr="0034246D">
        <w:rPr>
          <w:snapToGrid w:val="0"/>
        </w:rPr>
        <w:t>Dagens administration av fastighets- och förmögenhetsbeskattning uppgår sammanlagt till minst 200 miljoner kronor för Riksskatteverket (RSV), Ska</w:t>
      </w:r>
      <w:r w:rsidRPr="0034246D">
        <w:rPr>
          <w:snapToGrid w:val="0"/>
        </w:rPr>
        <w:t>t</w:t>
      </w:r>
      <w:r w:rsidRPr="0034246D">
        <w:rPr>
          <w:snapToGrid w:val="0"/>
        </w:rPr>
        <w:t>temyndigheterna</w:t>
      </w:r>
      <w:r w:rsidRPr="0034246D">
        <w:rPr>
          <w:rStyle w:val="Fotnotsreferens"/>
          <w:snapToGrid w:val="0"/>
        </w:rPr>
        <w:footnoteReference w:id="4"/>
      </w:r>
      <w:r w:rsidR="00C30FD8" w:rsidRPr="0034246D">
        <w:rPr>
          <w:snapToGrid w:val="0"/>
        </w:rPr>
        <w:t xml:space="preserve"> </w:t>
      </w:r>
      <w:r w:rsidRPr="0034246D">
        <w:rPr>
          <w:snapToGrid w:val="0"/>
        </w:rPr>
        <w:t xml:space="preserve">och Statistiska </w:t>
      </w:r>
      <w:r w:rsidR="00C46E26" w:rsidRPr="0034246D">
        <w:rPr>
          <w:snapToGrid w:val="0"/>
        </w:rPr>
        <w:t>centralbyrån</w:t>
      </w:r>
      <w:r w:rsidRPr="0034246D">
        <w:rPr>
          <w:snapToGrid w:val="0"/>
        </w:rPr>
        <w:t>. Administrationen av samb</w:t>
      </w:r>
      <w:r w:rsidRPr="0034246D">
        <w:rPr>
          <w:snapToGrid w:val="0"/>
        </w:rPr>
        <w:t>e</w:t>
      </w:r>
      <w:r w:rsidRPr="0034246D">
        <w:rPr>
          <w:snapToGrid w:val="0"/>
        </w:rPr>
        <w:t>skattning av förmögenhet, de med jämna mellanrum återkommande fasti</w:t>
      </w:r>
      <w:r w:rsidRPr="0034246D">
        <w:rPr>
          <w:snapToGrid w:val="0"/>
        </w:rPr>
        <w:t>g</w:t>
      </w:r>
      <w:r w:rsidRPr="0034246D">
        <w:rPr>
          <w:snapToGrid w:val="0"/>
        </w:rPr>
        <w:t>hetstaxeringarna och administrationen av</w:t>
      </w:r>
      <w:r w:rsidR="00C30FD8" w:rsidRPr="0034246D">
        <w:rPr>
          <w:snapToGrid w:val="0"/>
        </w:rPr>
        <w:t xml:space="preserve"> </w:t>
      </w:r>
      <w:r w:rsidRPr="0034246D">
        <w:rPr>
          <w:snapToGrid w:val="0"/>
        </w:rPr>
        <w:t>begränsningsregeln för fastighet</w:t>
      </w:r>
      <w:r w:rsidRPr="0034246D">
        <w:rPr>
          <w:snapToGrid w:val="0"/>
        </w:rPr>
        <w:t>s</w:t>
      </w:r>
      <w:r w:rsidRPr="0034246D">
        <w:rPr>
          <w:snapToGrid w:val="0"/>
        </w:rPr>
        <w:t>skatt är mycket resurskrävande. Ett naturligt bidrag till</w:t>
      </w:r>
      <w:r w:rsidR="00C30FD8" w:rsidRPr="0034246D">
        <w:rPr>
          <w:snapToGrid w:val="0"/>
        </w:rPr>
        <w:t xml:space="preserve"> </w:t>
      </w:r>
      <w:r w:rsidRPr="0034246D">
        <w:rPr>
          <w:snapToGrid w:val="0"/>
        </w:rPr>
        <w:t>finansieringen av vår föreslagna reform är därför att anslagen till denna del av</w:t>
      </w:r>
      <w:r w:rsidR="00C30FD8" w:rsidRPr="0034246D">
        <w:rPr>
          <w:snapToGrid w:val="0"/>
        </w:rPr>
        <w:t xml:space="preserve"> </w:t>
      </w:r>
      <w:r w:rsidRPr="0034246D">
        <w:rPr>
          <w:snapToGrid w:val="0"/>
        </w:rPr>
        <w:t>beskattningsver</w:t>
      </w:r>
      <w:r w:rsidRPr="0034246D">
        <w:rPr>
          <w:snapToGrid w:val="0"/>
        </w:rPr>
        <w:t>k</w:t>
      </w:r>
      <w:r w:rsidRPr="0034246D">
        <w:rPr>
          <w:snapToGrid w:val="0"/>
        </w:rPr>
        <w:t xml:space="preserve">samheten minskas försiktigt med </w:t>
      </w:r>
      <w:r w:rsidR="00ED00C9" w:rsidRPr="0034246D">
        <w:rPr>
          <w:snapToGrid w:val="0"/>
        </w:rPr>
        <w:t xml:space="preserve">180 </w:t>
      </w:r>
      <w:r w:rsidRPr="0034246D">
        <w:rPr>
          <w:snapToGrid w:val="0"/>
        </w:rPr>
        <w:t>miljoner kronor. R</w:t>
      </w:r>
      <w:r w:rsidRPr="0034246D">
        <w:rPr>
          <w:snapToGrid w:val="0"/>
        </w:rPr>
        <w:t>e</w:t>
      </w:r>
      <w:r w:rsidRPr="0034246D">
        <w:rPr>
          <w:snapToGrid w:val="0"/>
        </w:rPr>
        <w:t>surser förutsätts därmed finnas kvar för att hantera all den bostads- och fa</w:t>
      </w:r>
      <w:r w:rsidRPr="0034246D">
        <w:rPr>
          <w:snapToGrid w:val="0"/>
        </w:rPr>
        <w:t>s</w:t>
      </w:r>
      <w:r w:rsidRPr="0034246D">
        <w:rPr>
          <w:snapToGrid w:val="0"/>
        </w:rPr>
        <w:t>tighetsstatistik som fortfarande är motiverad ur ett allmänintresse.</w:t>
      </w:r>
    </w:p>
    <w:p w:rsidR="00A51C86" w:rsidRPr="0034246D" w:rsidRDefault="00A51C86" w:rsidP="00A51C86">
      <w:pPr>
        <w:pStyle w:val="Rubrik2"/>
        <w:rPr>
          <w:snapToGrid w:val="0"/>
        </w:rPr>
      </w:pPr>
      <w:bookmarkStart w:id="52" w:name="_Toc83901831"/>
      <w:r w:rsidRPr="0034246D">
        <w:rPr>
          <w:snapToGrid w:val="0"/>
        </w:rPr>
        <w:t>Ekonomiska effekter för hushållen, företagen och offentlig sektor</w:t>
      </w:r>
      <w:bookmarkEnd w:id="52"/>
    </w:p>
    <w:p w:rsidR="00142A8F" w:rsidRPr="0034246D" w:rsidRDefault="00A51C86" w:rsidP="00A51C86">
      <w:pPr>
        <w:rPr>
          <w:snapToGrid w:val="0"/>
        </w:rPr>
      </w:pPr>
      <w:r w:rsidRPr="0034246D">
        <w:rPr>
          <w:snapToGrid w:val="0"/>
        </w:rPr>
        <w:t>De samlade effekterna av vår föreslagna reform redovisas i tabell 4 för hu</w:t>
      </w:r>
      <w:r w:rsidRPr="0034246D">
        <w:rPr>
          <w:snapToGrid w:val="0"/>
        </w:rPr>
        <w:t>s</w:t>
      </w:r>
      <w:r w:rsidRPr="0034246D">
        <w:rPr>
          <w:snapToGrid w:val="0"/>
        </w:rPr>
        <w:t xml:space="preserve">hållen, företagen och offentlig sektor (primärkommunerna och staten). Av tabellen framgår att reformen är tänkt att minska hushållens </w:t>
      </w:r>
      <w:r w:rsidR="00ED00C9" w:rsidRPr="0034246D">
        <w:rPr>
          <w:snapToGrid w:val="0"/>
        </w:rPr>
        <w:t>löpande beskat</w:t>
      </w:r>
      <w:r w:rsidR="00ED00C9" w:rsidRPr="0034246D">
        <w:rPr>
          <w:snapToGrid w:val="0"/>
        </w:rPr>
        <w:t>t</w:t>
      </w:r>
      <w:r w:rsidR="00ED00C9" w:rsidRPr="0034246D">
        <w:rPr>
          <w:snapToGrid w:val="0"/>
        </w:rPr>
        <w:t xml:space="preserve">ning med inte mindre än 10,8 miljarder från 2006. </w:t>
      </w:r>
      <w:r w:rsidRPr="0034246D">
        <w:rPr>
          <w:snapToGrid w:val="0"/>
        </w:rPr>
        <w:t>För företagen och primä</w:t>
      </w:r>
      <w:r w:rsidRPr="0034246D">
        <w:rPr>
          <w:snapToGrid w:val="0"/>
        </w:rPr>
        <w:t>r</w:t>
      </w:r>
      <w:r w:rsidRPr="0034246D">
        <w:rPr>
          <w:snapToGrid w:val="0"/>
        </w:rPr>
        <w:t>kommunerna är syftet att reformen totalt sett ska vara ekonomiskt neutral.</w:t>
      </w:r>
    </w:p>
    <w:p w:rsidR="00A51C86" w:rsidRPr="0034246D" w:rsidRDefault="00C30FD8" w:rsidP="00885088">
      <w:pPr>
        <w:rPr>
          <w:b/>
        </w:rPr>
      </w:pPr>
      <w:r w:rsidRPr="0034246D">
        <w:rPr>
          <w:b/>
        </w:rPr>
        <w:br w:type="page"/>
      </w:r>
      <w:r w:rsidR="00885088" w:rsidRPr="0034246D">
        <w:rPr>
          <w:b/>
        </w:rPr>
        <w:t>Tabell 4. Finansiella effekter för hushållen, företagen och staten vid a</w:t>
      </w:r>
      <w:r w:rsidR="00885088" w:rsidRPr="0034246D">
        <w:rPr>
          <w:b/>
        </w:rPr>
        <w:t>v</w:t>
      </w:r>
      <w:r w:rsidR="00885088" w:rsidRPr="0034246D">
        <w:rPr>
          <w:b/>
        </w:rPr>
        <w:t>vecklad fastighetsskatt, likformig kapitalvinstskatt och kommunal avgift för fasti</w:t>
      </w:r>
      <w:r w:rsidR="00885088" w:rsidRPr="0034246D">
        <w:rPr>
          <w:b/>
        </w:rPr>
        <w:t>g</w:t>
      </w:r>
      <w:r w:rsidR="00DD39DD" w:rsidRPr="0034246D">
        <w:rPr>
          <w:b/>
        </w:rPr>
        <w:t>hetsanknutna tjänster</w:t>
      </w:r>
    </w:p>
    <w:p w:rsidR="00CB0795" w:rsidRPr="0034246D" w:rsidRDefault="00962557" w:rsidP="00885088">
      <w:pPr>
        <w:spacing w:before="0"/>
        <w:rPr>
          <w:i/>
          <w:snapToGrid w:val="0"/>
          <w:sz w:val="16"/>
          <w:szCs w:val="16"/>
        </w:rPr>
      </w:pPr>
      <w:r w:rsidRPr="0034246D">
        <w:rPr>
          <w:i/>
          <w:snapToGrid w:val="0"/>
          <w:sz w:val="16"/>
          <w:szCs w:val="16"/>
        </w:rPr>
        <w:t>Miljarder kronor, fullständigt</w:t>
      </w:r>
      <w:r w:rsidR="00A51C86" w:rsidRPr="0034246D">
        <w:rPr>
          <w:i/>
          <w:snapToGrid w:val="0"/>
          <w:sz w:val="16"/>
          <w:szCs w:val="16"/>
        </w:rPr>
        <w:t xml:space="preserve"> periodiserad redovisning av bruttoe</w:t>
      </w:r>
      <w:r w:rsidR="0093458E" w:rsidRPr="0034246D">
        <w:rPr>
          <w:i/>
          <w:snapToGrid w:val="0"/>
          <w:sz w:val="16"/>
          <w:szCs w:val="16"/>
        </w:rPr>
        <w:t>ffekten på skatter och avgifter</w:t>
      </w:r>
    </w:p>
    <w:tbl>
      <w:tblPr>
        <w:tblW w:w="6091" w:type="dxa"/>
        <w:tblLayout w:type="fixed"/>
        <w:tblCellMar>
          <w:left w:w="70" w:type="dxa"/>
          <w:right w:w="70" w:type="dxa"/>
        </w:tblCellMar>
        <w:tblLook w:val="0000" w:firstRow="0" w:lastRow="0" w:firstColumn="0" w:lastColumn="0" w:noHBand="0" w:noVBand="0"/>
      </w:tblPr>
      <w:tblGrid>
        <w:gridCol w:w="5581"/>
        <w:gridCol w:w="510"/>
      </w:tblGrid>
      <w:tr w:rsidR="00CB0795" w:rsidRPr="0034246D">
        <w:trPr>
          <w:trHeight w:val="111"/>
        </w:trPr>
        <w:tc>
          <w:tcPr>
            <w:tcW w:w="4581" w:type="pct"/>
            <w:tcBorders>
              <w:top w:val="single" w:sz="6" w:space="0" w:color="auto"/>
            </w:tcBorders>
            <w:noWrap/>
            <w:vAlign w:val="bottom"/>
          </w:tcPr>
          <w:p w:rsidR="00CB0795" w:rsidRPr="0034246D" w:rsidRDefault="00CB0795" w:rsidP="00885088">
            <w:pPr>
              <w:spacing w:before="60" w:line="200" w:lineRule="exact"/>
              <w:rPr>
                <w:b/>
                <w:bCs/>
                <w:sz w:val="16"/>
                <w:szCs w:val="16"/>
              </w:rPr>
            </w:pPr>
            <w:r w:rsidRPr="0034246D">
              <w:rPr>
                <w:b/>
                <w:bCs/>
                <w:sz w:val="16"/>
                <w:szCs w:val="16"/>
              </w:rPr>
              <w:t>Hushåll (småhus, bostads- och hyresrätter)</w:t>
            </w:r>
          </w:p>
        </w:tc>
        <w:tc>
          <w:tcPr>
            <w:tcW w:w="419" w:type="pct"/>
            <w:tcBorders>
              <w:top w:val="single" w:sz="6" w:space="0" w:color="auto"/>
            </w:tcBorders>
            <w:noWrap/>
            <w:vAlign w:val="bottom"/>
          </w:tcPr>
          <w:p w:rsidR="00CB0795" w:rsidRPr="0034246D" w:rsidRDefault="00CB0795" w:rsidP="00885088">
            <w:pPr>
              <w:spacing w:before="60" w:line="200" w:lineRule="exact"/>
              <w:jc w:val="right"/>
              <w:rPr>
                <w:b/>
                <w:bCs/>
                <w:sz w:val="16"/>
                <w:szCs w:val="16"/>
              </w:rPr>
            </w:pPr>
            <w:r w:rsidRPr="0034246D">
              <w:rPr>
                <w:b/>
                <w:bCs/>
                <w:sz w:val="16"/>
                <w:szCs w:val="16"/>
              </w:rPr>
              <w:t>2006</w:t>
            </w:r>
          </w:p>
        </w:tc>
      </w:tr>
      <w:tr w:rsidR="00CB0795" w:rsidRPr="0034246D">
        <w:trPr>
          <w:trHeight w:val="111"/>
        </w:trPr>
        <w:tc>
          <w:tcPr>
            <w:tcW w:w="4581" w:type="pct"/>
            <w:noWrap/>
            <w:vAlign w:val="bottom"/>
          </w:tcPr>
          <w:p w:rsidR="00CB0795" w:rsidRPr="0034246D" w:rsidRDefault="00CB0795" w:rsidP="00885088">
            <w:pPr>
              <w:spacing w:before="60" w:line="200" w:lineRule="exact"/>
              <w:rPr>
                <w:sz w:val="16"/>
                <w:szCs w:val="16"/>
              </w:rPr>
            </w:pPr>
            <w:r w:rsidRPr="0034246D">
              <w:rPr>
                <w:sz w:val="16"/>
                <w:szCs w:val="16"/>
              </w:rPr>
              <w:t xml:space="preserve">   Ingen fastighetsskatt</w:t>
            </w:r>
          </w:p>
        </w:tc>
        <w:tc>
          <w:tcPr>
            <w:tcW w:w="419" w:type="pct"/>
            <w:noWrap/>
            <w:vAlign w:val="bottom"/>
          </w:tcPr>
          <w:p w:rsidR="00CB0795" w:rsidRPr="0034246D" w:rsidRDefault="00CB0795" w:rsidP="00DD39DD">
            <w:pPr>
              <w:spacing w:before="60" w:line="200" w:lineRule="exact"/>
              <w:ind w:left="-113"/>
              <w:jc w:val="right"/>
              <w:rPr>
                <w:sz w:val="16"/>
                <w:szCs w:val="16"/>
              </w:rPr>
            </w:pPr>
            <w:r w:rsidRPr="0034246D">
              <w:rPr>
                <w:sz w:val="16"/>
                <w:szCs w:val="16"/>
              </w:rPr>
              <w:t>+19,4</w:t>
            </w:r>
          </w:p>
        </w:tc>
      </w:tr>
      <w:tr w:rsidR="00CB0795" w:rsidRPr="0034246D">
        <w:trPr>
          <w:trHeight w:val="111"/>
        </w:trPr>
        <w:tc>
          <w:tcPr>
            <w:tcW w:w="4581" w:type="pct"/>
            <w:noWrap/>
            <w:vAlign w:val="bottom"/>
          </w:tcPr>
          <w:p w:rsidR="00CB0795" w:rsidRPr="0034246D" w:rsidRDefault="00CB0795" w:rsidP="00885088">
            <w:pPr>
              <w:spacing w:before="60" w:line="200" w:lineRule="exact"/>
              <w:rPr>
                <w:sz w:val="16"/>
                <w:szCs w:val="16"/>
              </w:rPr>
            </w:pPr>
            <w:r w:rsidRPr="0034246D">
              <w:rPr>
                <w:sz w:val="16"/>
                <w:szCs w:val="16"/>
              </w:rPr>
              <w:t xml:space="preserve">   Kommunal avgift, 2</w:t>
            </w:r>
            <w:r w:rsidR="00C46E26" w:rsidRPr="0034246D">
              <w:rPr>
                <w:sz w:val="16"/>
                <w:szCs w:val="16"/>
              </w:rPr>
              <w:t xml:space="preserve"> </w:t>
            </w:r>
            <w:r w:rsidRPr="0034246D">
              <w:rPr>
                <w:sz w:val="16"/>
                <w:szCs w:val="16"/>
              </w:rPr>
              <w:t>800 kr per småhusenhet (egnahem)</w:t>
            </w:r>
          </w:p>
        </w:tc>
        <w:tc>
          <w:tcPr>
            <w:tcW w:w="419" w:type="pct"/>
            <w:noWrap/>
            <w:vAlign w:val="bottom"/>
          </w:tcPr>
          <w:p w:rsidR="00CB0795" w:rsidRPr="0034246D" w:rsidRDefault="00C46E26" w:rsidP="00885088">
            <w:pPr>
              <w:spacing w:before="60" w:line="200" w:lineRule="exact"/>
              <w:jc w:val="right"/>
              <w:rPr>
                <w:sz w:val="16"/>
                <w:szCs w:val="16"/>
              </w:rPr>
            </w:pPr>
            <w:r w:rsidRPr="0034246D">
              <w:rPr>
                <w:sz w:val="16"/>
                <w:szCs w:val="16"/>
              </w:rPr>
              <w:t>–</w:t>
            </w:r>
            <w:r w:rsidR="00CB0795" w:rsidRPr="0034246D">
              <w:rPr>
                <w:sz w:val="16"/>
                <w:szCs w:val="16"/>
              </w:rPr>
              <w:t>6,5</w:t>
            </w:r>
          </w:p>
        </w:tc>
      </w:tr>
      <w:tr w:rsidR="00CB0795" w:rsidRPr="0034246D">
        <w:trPr>
          <w:trHeight w:val="111"/>
        </w:trPr>
        <w:tc>
          <w:tcPr>
            <w:tcW w:w="4581" w:type="pct"/>
            <w:noWrap/>
            <w:vAlign w:val="bottom"/>
          </w:tcPr>
          <w:p w:rsidR="00CB0795" w:rsidRPr="0034246D" w:rsidRDefault="00CB0795" w:rsidP="00885088">
            <w:pPr>
              <w:spacing w:before="60" w:line="200" w:lineRule="exact"/>
              <w:rPr>
                <w:sz w:val="16"/>
                <w:szCs w:val="16"/>
              </w:rPr>
            </w:pPr>
            <w:r w:rsidRPr="0034246D">
              <w:rPr>
                <w:sz w:val="16"/>
                <w:szCs w:val="16"/>
              </w:rPr>
              <w:t xml:space="preserve">   Kommunal avgift 900 kr per lägenhet</w:t>
            </w:r>
          </w:p>
        </w:tc>
        <w:tc>
          <w:tcPr>
            <w:tcW w:w="419" w:type="pct"/>
            <w:noWrap/>
            <w:vAlign w:val="bottom"/>
          </w:tcPr>
          <w:p w:rsidR="00CB0795" w:rsidRPr="0034246D" w:rsidRDefault="00C46E26" w:rsidP="00885088">
            <w:pPr>
              <w:spacing w:before="60" w:line="200" w:lineRule="exact"/>
              <w:jc w:val="right"/>
              <w:rPr>
                <w:sz w:val="16"/>
                <w:szCs w:val="16"/>
              </w:rPr>
            </w:pPr>
            <w:r w:rsidRPr="0034246D">
              <w:rPr>
                <w:sz w:val="16"/>
                <w:szCs w:val="16"/>
              </w:rPr>
              <w:t>–</w:t>
            </w:r>
            <w:r w:rsidR="00CB0795" w:rsidRPr="0034246D">
              <w:rPr>
                <w:sz w:val="16"/>
                <w:szCs w:val="16"/>
              </w:rPr>
              <w:t>2,1</w:t>
            </w:r>
          </w:p>
        </w:tc>
      </w:tr>
      <w:tr w:rsidR="00CB0795" w:rsidRPr="0034246D">
        <w:trPr>
          <w:trHeight w:val="111"/>
        </w:trPr>
        <w:tc>
          <w:tcPr>
            <w:tcW w:w="4581" w:type="pct"/>
            <w:noWrap/>
            <w:vAlign w:val="bottom"/>
          </w:tcPr>
          <w:p w:rsidR="00CB0795" w:rsidRPr="0034246D" w:rsidRDefault="00CB0795" w:rsidP="00885088">
            <w:pPr>
              <w:spacing w:before="60" w:line="200" w:lineRule="exact"/>
              <w:rPr>
                <w:sz w:val="16"/>
                <w:szCs w:val="16"/>
              </w:rPr>
            </w:pPr>
            <w:r w:rsidRPr="0034246D">
              <w:rPr>
                <w:sz w:val="16"/>
                <w:szCs w:val="16"/>
              </w:rPr>
              <w:t xml:space="preserve">   Kapitalvinstskatt på privatb</w:t>
            </w:r>
            <w:r w:rsidRPr="0034246D">
              <w:rPr>
                <w:sz w:val="16"/>
                <w:szCs w:val="16"/>
              </w:rPr>
              <w:t>o</w:t>
            </w:r>
            <w:r w:rsidRPr="0034246D">
              <w:rPr>
                <w:sz w:val="16"/>
                <w:szCs w:val="16"/>
              </w:rPr>
              <w:t>städer 30</w:t>
            </w:r>
            <w:r w:rsidR="00885088" w:rsidRPr="0034246D">
              <w:rPr>
                <w:sz w:val="16"/>
                <w:szCs w:val="16"/>
              </w:rPr>
              <w:t xml:space="preserve"> </w:t>
            </w:r>
            <w:r w:rsidRPr="0034246D">
              <w:rPr>
                <w:sz w:val="16"/>
                <w:szCs w:val="16"/>
              </w:rPr>
              <w:t>%</w:t>
            </w:r>
          </w:p>
        </w:tc>
        <w:tc>
          <w:tcPr>
            <w:tcW w:w="419" w:type="pct"/>
            <w:noWrap/>
            <w:vAlign w:val="bottom"/>
          </w:tcPr>
          <w:p w:rsidR="00CB0795" w:rsidRPr="0034246D" w:rsidRDefault="00C46E26" w:rsidP="00885088">
            <w:pPr>
              <w:spacing w:before="60" w:line="200" w:lineRule="exact"/>
              <w:jc w:val="right"/>
              <w:rPr>
                <w:color w:val="000000"/>
                <w:sz w:val="16"/>
                <w:szCs w:val="16"/>
              </w:rPr>
            </w:pPr>
            <w:r w:rsidRPr="0034246D">
              <w:rPr>
                <w:color w:val="000000"/>
                <w:sz w:val="16"/>
                <w:szCs w:val="16"/>
              </w:rPr>
              <w:t>–</w:t>
            </w:r>
            <w:r w:rsidR="00CB0795" w:rsidRPr="0034246D">
              <w:rPr>
                <w:color w:val="000000"/>
                <w:sz w:val="16"/>
                <w:szCs w:val="16"/>
              </w:rPr>
              <w:t>4,9</w:t>
            </w:r>
          </w:p>
        </w:tc>
      </w:tr>
      <w:tr w:rsidR="00CB0795" w:rsidRPr="0034246D">
        <w:trPr>
          <w:trHeight w:val="111"/>
        </w:trPr>
        <w:tc>
          <w:tcPr>
            <w:tcW w:w="4581" w:type="pct"/>
            <w:noWrap/>
            <w:vAlign w:val="bottom"/>
          </w:tcPr>
          <w:p w:rsidR="00CB0795" w:rsidRPr="0034246D" w:rsidRDefault="00CB0795" w:rsidP="00885088">
            <w:pPr>
              <w:spacing w:before="60" w:line="200" w:lineRule="exact"/>
              <w:rPr>
                <w:sz w:val="16"/>
                <w:szCs w:val="16"/>
              </w:rPr>
            </w:pPr>
            <w:r w:rsidRPr="0034246D">
              <w:rPr>
                <w:sz w:val="16"/>
                <w:szCs w:val="16"/>
              </w:rPr>
              <w:t xml:space="preserve">   Halverad uppskovsrätt</w:t>
            </w:r>
          </w:p>
        </w:tc>
        <w:tc>
          <w:tcPr>
            <w:tcW w:w="419" w:type="pct"/>
            <w:noWrap/>
            <w:vAlign w:val="bottom"/>
          </w:tcPr>
          <w:p w:rsidR="00CB0795" w:rsidRPr="0034246D" w:rsidRDefault="00C46E26" w:rsidP="00885088">
            <w:pPr>
              <w:spacing w:before="60" w:line="200" w:lineRule="exact"/>
              <w:jc w:val="right"/>
              <w:rPr>
                <w:color w:val="000000"/>
                <w:sz w:val="16"/>
                <w:szCs w:val="16"/>
              </w:rPr>
            </w:pPr>
            <w:r w:rsidRPr="0034246D">
              <w:rPr>
                <w:color w:val="000000"/>
                <w:sz w:val="16"/>
                <w:szCs w:val="16"/>
              </w:rPr>
              <w:t>–</w:t>
            </w:r>
            <w:r w:rsidR="00CB0795" w:rsidRPr="0034246D">
              <w:rPr>
                <w:color w:val="000000"/>
                <w:sz w:val="16"/>
                <w:szCs w:val="16"/>
              </w:rPr>
              <w:t>4,3</w:t>
            </w:r>
          </w:p>
        </w:tc>
      </w:tr>
      <w:tr w:rsidR="00CB0795" w:rsidRPr="0034246D">
        <w:trPr>
          <w:trHeight w:val="111"/>
        </w:trPr>
        <w:tc>
          <w:tcPr>
            <w:tcW w:w="4581" w:type="pct"/>
            <w:noWrap/>
            <w:vAlign w:val="bottom"/>
          </w:tcPr>
          <w:p w:rsidR="00CB0795" w:rsidRPr="0034246D" w:rsidRDefault="00CB0795" w:rsidP="00885088">
            <w:pPr>
              <w:spacing w:before="60" w:line="200" w:lineRule="exact"/>
              <w:rPr>
                <w:b/>
                <w:bCs/>
                <w:sz w:val="16"/>
                <w:szCs w:val="16"/>
              </w:rPr>
            </w:pPr>
            <w:r w:rsidRPr="0034246D">
              <w:rPr>
                <w:b/>
                <w:bCs/>
                <w:sz w:val="16"/>
                <w:szCs w:val="16"/>
              </w:rPr>
              <w:t>Summa</w:t>
            </w:r>
          </w:p>
        </w:tc>
        <w:tc>
          <w:tcPr>
            <w:tcW w:w="419" w:type="pct"/>
            <w:noWrap/>
            <w:vAlign w:val="bottom"/>
          </w:tcPr>
          <w:p w:rsidR="00CB0795" w:rsidRPr="0034246D" w:rsidRDefault="00CB0795" w:rsidP="00885088">
            <w:pPr>
              <w:spacing w:before="60" w:line="200" w:lineRule="exact"/>
              <w:jc w:val="right"/>
              <w:rPr>
                <w:b/>
                <w:bCs/>
                <w:sz w:val="16"/>
                <w:szCs w:val="16"/>
              </w:rPr>
            </w:pPr>
            <w:r w:rsidRPr="0034246D">
              <w:rPr>
                <w:b/>
                <w:bCs/>
                <w:sz w:val="16"/>
                <w:szCs w:val="16"/>
              </w:rPr>
              <w:t>+1,6</w:t>
            </w:r>
          </w:p>
        </w:tc>
      </w:tr>
      <w:tr w:rsidR="00CB0795" w:rsidRPr="0034246D">
        <w:trPr>
          <w:trHeight w:val="111"/>
        </w:trPr>
        <w:tc>
          <w:tcPr>
            <w:tcW w:w="4581" w:type="pct"/>
            <w:noWrap/>
            <w:vAlign w:val="bottom"/>
          </w:tcPr>
          <w:p w:rsidR="00CB0795" w:rsidRPr="0034246D" w:rsidRDefault="00CB0795" w:rsidP="00885088">
            <w:pPr>
              <w:spacing w:before="60" w:line="200" w:lineRule="exact"/>
              <w:rPr>
                <w:b/>
                <w:bCs/>
                <w:sz w:val="16"/>
                <w:szCs w:val="16"/>
              </w:rPr>
            </w:pPr>
          </w:p>
        </w:tc>
        <w:tc>
          <w:tcPr>
            <w:tcW w:w="419" w:type="pct"/>
            <w:noWrap/>
            <w:vAlign w:val="bottom"/>
          </w:tcPr>
          <w:p w:rsidR="00CB0795" w:rsidRPr="0034246D" w:rsidRDefault="00CB0795" w:rsidP="00885088">
            <w:pPr>
              <w:spacing w:before="60" w:line="200" w:lineRule="exact"/>
              <w:rPr>
                <w:b/>
                <w:bCs/>
                <w:sz w:val="16"/>
                <w:szCs w:val="16"/>
              </w:rPr>
            </w:pPr>
          </w:p>
        </w:tc>
      </w:tr>
      <w:tr w:rsidR="00CB0795" w:rsidRPr="0034246D">
        <w:trPr>
          <w:trHeight w:val="111"/>
        </w:trPr>
        <w:tc>
          <w:tcPr>
            <w:tcW w:w="4581" w:type="pct"/>
            <w:noWrap/>
            <w:vAlign w:val="bottom"/>
          </w:tcPr>
          <w:p w:rsidR="00CB0795" w:rsidRPr="0034246D" w:rsidRDefault="00CB0795" w:rsidP="00885088">
            <w:pPr>
              <w:spacing w:before="60" w:line="200" w:lineRule="exact"/>
              <w:rPr>
                <w:b/>
                <w:bCs/>
                <w:sz w:val="16"/>
                <w:szCs w:val="16"/>
              </w:rPr>
            </w:pPr>
            <w:r w:rsidRPr="0034246D">
              <w:rPr>
                <w:b/>
                <w:bCs/>
                <w:sz w:val="16"/>
                <w:szCs w:val="16"/>
              </w:rPr>
              <w:t>Företag (kommersiella lok</w:t>
            </w:r>
            <w:r w:rsidRPr="0034246D">
              <w:rPr>
                <w:b/>
                <w:bCs/>
                <w:sz w:val="16"/>
                <w:szCs w:val="16"/>
              </w:rPr>
              <w:t>a</w:t>
            </w:r>
            <w:r w:rsidRPr="0034246D">
              <w:rPr>
                <w:b/>
                <w:bCs/>
                <w:sz w:val="16"/>
                <w:szCs w:val="16"/>
              </w:rPr>
              <w:t>ler och industrier)</w:t>
            </w:r>
          </w:p>
        </w:tc>
        <w:tc>
          <w:tcPr>
            <w:tcW w:w="419" w:type="pct"/>
            <w:noWrap/>
            <w:vAlign w:val="bottom"/>
          </w:tcPr>
          <w:p w:rsidR="00CB0795" w:rsidRPr="0034246D" w:rsidRDefault="00CB0795" w:rsidP="00885088">
            <w:pPr>
              <w:spacing w:before="60" w:line="200" w:lineRule="exact"/>
              <w:rPr>
                <w:sz w:val="16"/>
                <w:szCs w:val="16"/>
              </w:rPr>
            </w:pPr>
            <w:r w:rsidRPr="0034246D">
              <w:rPr>
                <w:sz w:val="16"/>
                <w:szCs w:val="16"/>
              </w:rPr>
              <w:t> </w:t>
            </w:r>
          </w:p>
        </w:tc>
      </w:tr>
      <w:tr w:rsidR="00CB0795" w:rsidRPr="0034246D">
        <w:trPr>
          <w:trHeight w:val="111"/>
        </w:trPr>
        <w:tc>
          <w:tcPr>
            <w:tcW w:w="4581" w:type="pct"/>
            <w:noWrap/>
            <w:vAlign w:val="bottom"/>
          </w:tcPr>
          <w:p w:rsidR="00CB0795" w:rsidRPr="0034246D" w:rsidRDefault="00CB0795" w:rsidP="00885088">
            <w:pPr>
              <w:spacing w:before="60" w:line="200" w:lineRule="exact"/>
              <w:rPr>
                <w:sz w:val="16"/>
                <w:szCs w:val="16"/>
              </w:rPr>
            </w:pPr>
            <w:r w:rsidRPr="0034246D">
              <w:rPr>
                <w:sz w:val="16"/>
                <w:szCs w:val="16"/>
              </w:rPr>
              <w:t xml:space="preserve">   Ingen fastighetsskatt</w:t>
            </w:r>
          </w:p>
        </w:tc>
        <w:tc>
          <w:tcPr>
            <w:tcW w:w="419" w:type="pct"/>
            <w:noWrap/>
            <w:vAlign w:val="bottom"/>
          </w:tcPr>
          <w:p w:rsidR="00CB0795" w:rsidRPr="0034246D" w:rsidRDefault="00CB0795" w:rsidP="00885088">
            <w:pPr>
              <w:spacing w:before="60" w:line="200" w:lineRule="exact"/>
              <w:jc w:val="right"/>
              <w:rPr>
                <w:color w:val="000000"/>
                <w:sz w:val="16"/>
                <w:szCs w:val="16"/>
              </w:rPr>
            </w:pPr>
            <w:r w:rsidRPr="0034246D">
              <w:rPr>
                <w:color w:val="000000"/>
                <w:sz w:val="16"/>
                <w:szCs w:val="16"/>
              </w:rPr>
              <w:t>+7,0</w:t>
            </w:r>
          </w:p>
        </w:tc>
      </w:tr>
      <w:tr w:rsidR="00CB0795" w:rsidRPr="0034246D">
        <w:trPr>
          <w:trHeight w:val="111"/>
        </w:trPr>
        <w:tc>
          <w:tcPr>
            <w:tcW w:w="4581" w:type="pct"/>
            <w:noWrap/>
            <w:vAlign w:val="bottom"/>
          </w:tcPr>
          <w:p w:rsidR="00CB0795" w:rsidRPr="0034246D" w:rsidRDefault="00CB0795" w:rsidP="00885088">
            <w:pPr>
              <w:spacing w:before="60" w:line="200" w:lineRule="exact"/>
              <w:rPr>
                <w:sz w:val="16"/>
                <w:szCs w:val="16"/>
              </w:rPr>
            </w:pPr>
            <w:r w:rsidRPr="0034246D">
              <w:rPr>
                <w:sz w:val="16"/>
                <w:szCs w:val="16"/>
              </w:rPr>
              <w:t xml:space="preserve">   Kommunal avgift (ca 63 resp</w:t>
            </w:r>
            <w:r w:rsidR="00C46E26" w:rsidRPr="0034246D">
              <w:rPr>
                <w:sz w:val="16"/>
                <w:szCs w:val="16"/>
              </w:rPr>
              <w:t>.</w:t>
            </w:r>
            <w:r w:rsidRPr="0034246D">
              <w:rPr>
                <w:sz w:val="16"/>
                <w:szCs w:val="16"/>
              </w:rPr>
              <w:t xml:space="preserve"> 17 kr per kvm)</w:t>
            </w:r>
          </w:p>
        </w:tc>
        <w:tc>
          <w:tcPr>
            <w:tcW w:w="419" w:type="pct"/>
            <w:noWrap/>
            <w:vAlign w:val="bottom"/>
          </w:tcPr>
          <w:p w:rsidR="00CB0795" w:rsidRPr="0034246D" w:rsidRDefault="00C46E26" w:rsidP="00885088">
            <w:pPr>
              <w:spacing w:before="60" w:line="200" w:lineRule="exact"/>
              <w:jc w:val="right"/>
              <w:rPr>
                <w:color w:val="000000"/>
                <w:sz w:val="16"/>
                <w:szCs w:val="16"/>
              </w:rPr>
            </w:pPr>
            <w:r w:rsidRPr="0034246D">
              <w:rPr>
                <w:color w:val="000000"/>
                <w:sz w:val="16"/>
                <w:szCs w:val="16"/>
              </w:rPr>
              <w:t>–</w:t>
            </w:r>
            <w:r w:rsidR="00CB0795" w:rsidRPr="0034246D">
              <w:rPr>
                <w:color w:val="000000"/>
                <w:sz w:val="16"/>
                <w:szCs w:val="16"/>
              </w:rPr>
              <w:t>7,3</w:t>
            </w:r>
          </w:p>
        </w:tc>
      </w:tr>
      <w:tr w:rsidR="00CB0795" w:rsidRPr="0034246D">
        <w:trPr>
          <w:trHeight w:val="111"/>
        </w:trPr>
        <w:tc>
          <w:tcPr>
            <w:tcW w:w="4581" w:type="pct"/>
            <w:noWrap/>
            <w:vAlign w:val="bottom"/>
          </w:tcPr>
          <w:p w:rsidR="00CB0795" w:rsidRPr="0034246D" w:rsidRDefault="00CB0795" w:rsidP="00885088">
            <w:pPr>
              <w:spacing w:before="60" w:line="200" w:lineRule="exact"/>
              <w:rPr>
                <w:b/>
                <w:bCs/>
                <w:sz w:val="16"/>
                <w:szCs w:val="16"/>
              </w:rPr>
            </w:pPr>
            <w:r w:rsidRPr="0034246D">
              <w:rPr>
                <w:b/>
                <w:bCs/>
                <w:sz w:val="16"/>
                <w:szCs w:val="16"/>
              </w:rPr>
              <w:t>Summa</w:t>
            </w:r>
          </w:p>
        </w:tc>
        <w:tc>
          <w:tcPr>
            <w:tcW w:w="419" w:type="pct"/>
            <w:noWrap/>
            <w:vAlign w:val="bottom"/>
          </w:tcPr>
          <w:p w:rsidR="00CB0795" w:rsidRPr="0034246D" w:rsidRDefault="00C46E26" w:rsidP="00885088">
            <w:pPr>
              <w:spacing w:before="60" w:line="200" w:lineRule="exact"/>
              <w:jc w:val="right"/>
              <w:rPr>
                <w:b/>
                <w:bCs/>
                <w:sz w:val="16"/>
                <w:szCs w:val="16"/>
              </w:rPr>
            </w:pPr>
            <w:r w:rsidRPr="0034246D">
              <w:rPr>
                <w:b/>
                <w:bCs/>
                <w:sz w:val="16"/>
                <w:szCs w:val="16"/>
              </w:rPr>
              <w:t>–</w:t>
            </w:r>
            <w:r w:rsidR="00CB0795" w:rsidRPr="0034246D">
              <w:rPr>
                <w:b/>
                <w:bCs/>
                <w:sz w:val="16"/>
                <w:szCs w:val="16"/>
              </w:rPr>
              <w:t>0,3</w:t>
            </w:r>
          </w:p>
        </w:tc>
      </w:tr>
      <w:tr w:rsidR="00CB0795" w:rsidRPr="0034246D">
        <w:trPr>
          <w:trHeight w:val="111"/>
        </w:trPr>
        <w:tc>
          <w:tcPr>
            <w:tcW w:w="4581" w:type="pct"/>
            <w:noWrap/>
            <w:vAlign w:val="bottom"/>
          </w:tcPr>
          <w:p w:rsidR="00CB0795" w:rsidRPr="0034246D" w:rsidRDefault="00CB0795" w:rsidP="00885088">
            <w:pPr>
              <w:spacing w:before="60" w:line="200" w:lineRule="exact"/>
              <w:rPr>
                <w:sz w:val="16"/>
                <w:szCs w:val="16"/>
              </w:rPr>
            </w:pPr>
          </w:p>
        </w:tc>
        <w:tc>
          <w:tcPr>
            <w:tcW w:w="419" w:type="pct"/>
            <w:noWrap/>
            <w:vAlign w:val="bottom"/>
          </w:tcPr>
          <w:p w:rsidR="00CB0795" w:rsidRPr="0034246D" w:rsidRDefault="00CB0795" w:rsidP="00885088">
            <w:pPr>
              <w:spacing w:before="60" w:line="200" w:lineRule="exact"/>
              <w:rPr>
                <w:sz w:val="16"/>
                <w:szCs w:val="16"/>
              </w:rPr>
            </w:pPr>
          </w:p>
        </w:tc>
      </w:tr>
      <w:tr w:rsidR="00CB0795" w:rsidRPr="0034246D">
        <w:trPr>
          <w:trHeight w:val="111"/>
        </w:trPr>
        <w:tc>
          <w:tcPr>
            <w:tcW w:w="4581" w:type="pct"/>
            <w:noWrap/>
            <w:vAlign w:val="bottom"/>
          </w:tcPr>
          <w:p w:rsidR="00CB0795" w:rsidRPr="0034246D" w:rsidRDefault="00CB0795" w:rsidP="00885088">
            <w:pPr>
              <w:spacing w:before="60" w:line="200" w:lineRule="exact"/>
              <w:rPr>
                <w:b/>
                <w:bCs/>
                <w:sz w:val="16"/>
                <w:szCs w:val="16"/>
              </w:rPr>
            </w:pPr>
            <w:r w:rsidRPr="0034246D">
              <w:rPr>
                <w:b/>
                <w:bCs/>
                <w:sz w:val="16"/>
                <w:szCs w:val="16"/>
              </w:rPr>
              <w:t>Primärkommuner</w:t>
            </w:r>
          </w:p>
        </w:tc>
        <w:tc>
          <w:tcPr>
            <w:tcW w:w="419" w:type="pct"/>
            <w:noWrap/>
            <w:vAlign w:val="bottom"/>
          </w:tcPr>
          <w:p w:rsidR="00CB0795" w:rsidRPr="0034246D" w:rsidRDefault="00CB0795" w:rsidP="00885088">
            <w:pPr>
              <w:spacing w:before="60" w:line="200" w:lineRule="exact"/>
              <w:jc w:val="right"/>
              <w:rPr>
                <w:b/>
                <w:bCs/>
                <w:sz w:val="16"/>
                <w:szCs w:val="16"/>
              </w:rPr>
            </w:pPr>
            <w:r w:rsidRPr="0034246D">
              <w:rPr>
                <w:b/>
                <w:bCs/>
                <w:sz w:val="16"/>
                <w:szCs w:val="16"/>
              </w:rPr>
              <w:t>2006</w:t>
            </w:r>
          </w:p>
        </w:tc>
      </w:tr>
      <w:tr w:rsidR="00CB0795" w:rsidRPr="0034246D">
        <w:trPr>
          <w:trHeight w:val="111"/>
        </w:trPr>
        <w:tc>
          <w:tcPr>
            <w:tcW w:w="4581" w:type="pct"/>
            <w:noWrap/>
            <w:vAlign w:val="bottom"/>
          </w:tcPr>
          <w:p w:rsidR="00CB0795" w:rsidRPr="0034246D" w:rsidRDefault="00CB0795" w:rsidP="00885088">
            <w:pPr>
              <w:spacing w:before="60" w:line="200" w:lineRule="exact"/>
              <w:rPr>
                <w:sz w:val="16"/>
                <w:szCs w:val="16"/>
              </w:rPr>
            </w:pPr>
            <w:r w:rsidRPr="0034246D">
              <w:rPr>
                <w:sz w:val="16"/>
                <w:szCs w:val="16"/>
              </w:rPr>
              <w:t xml:space="preserve">   Kommunal avgift, 2</w:t>
            </w:r>
            <w:r w:rsidR="00C46E26" w:rsidRPr="0034246D">
              <w:rPr>
                <w:sz w:val="16"/>
                <w:szCs w:val="16"/>
              </w:rPr>
              <w:t xml:space="preserve"> </w:t>
            </w:r>
            <w:r w:rsidRPr="0034246D">
              <w:rPr>
                <w:sz w:val="16"/>
                <w:szCs w:val="16"/>
              </w:rPr>
              <w:t>800 kr per småhusenhet (egnahem)</w:t>
            </w:r>
          </w:p>
        </w:tc>
        <w:tc>
          <w:tcPr>
            <w:tcW w:w="419" w:type="pct"/>
            <w:noWrap/>
            <w:vAlign w:val="bottom"/>
          </w:tcPr>
          <w:p w:rsidR="00CB0795" w:rsidRPr="0034246D" w:rsidRDefault="00CB0795" w:rsidP="00885088">
            <w:pPr>
              <w:spacing w:before="60" w:line="200" w:lineRule="exact"/>
              <w:jc w:val="right"/>
              <w:rPr>
                <w:color w:val="000000"/>
                <w:sz w:val="16"/>
                <w:szCs w:val="16"/>
              </w:rPr>
            </w:pPr>
            <w:r w:rsidRPr="0034246D">
              <w:rPr>
                <w:color w:val="000000"/>
                <w:sz w:val="16"/>
                <w:szCs w:val="16"/>
              </w:rPr>
              <w:t>+6,5</w:t>
            </w:r>
          </w:p>
        </w:tc>
      </w:tr>
      <w:tr w:rsidR="00CB0795" w:rsidRPr="0034246D">
        <w:trPr>
          <w:trHeight w:val="111"/>
        </w:trPr>
        <w:tc>
          <w:tcPr>
            <w:tcW w:w="4581" w:type="pct"/>
            <w:noWrap/>
            <w:vAlign w:val="bottom"/>
          </w:tcPr>
          <w:p w:rsidR="00CB0795" w:rsidRPr="0034246D" w:rsidRDefault="00CB0795" w:rsidP="00885088">
            <w:pPr>
              <w:spacing w:before="60" w:line="200" w:lineRule="exact"/>
              <w:rPr>
                <w:sz w:val="16"/>
                <w:szCs w:val="16"/>
              </w:rPr>
            </w:pPr>
            <w:r w:rsidRPr="0034246D">
              <w:rPr>
                <w:sz w:val="16"/>
                <w:szCs w:val="16"/>
              </w:rPr>
              <w:t xml:space="preserve">   Kommunal avgift, 900 kr per lägenhet</w:t>
            </w:r>
          </w:p>
        </w:tc>
        <w:tc>
          <w:tcPr>
            <w:tcW w:w="419" w:type="pct"/>
            <w:noWrap/>
            <w:vAlign w:val="bottom"/>
          </w:tcPr>
          <w:p w:rsidR="00CB0795" w:rsidRPr="0034246D" w:rsidRDefault="00CB0795" w:rsidP="00885088">
            <w:pPr>
              <w:spacing w:before="60" w:line="200" w:lineRule="exact"/>
              <w:jc w:val="right"/>
              <w:rPr>
                <w:color w:val="000000"/>
                <w:sz w:val="16"/>
                <w:szCs w:val="16"/>
              </w:rPr>
            </w:pPr>
            <w:r w:rsidRPr="0034246D">
              <w:rPr>
                <w:color w:val="000000"/>
                <w:sz w:val="16"/>
                <w:szCs w:val="16"/>
              </w:rPr>
              <w:t>+2,1</w:t>
            </w:r>
          </w:p>
        </w:tc>
      </w:tr>
      <w:tr w:rsidR="00CB0795" w:rsidRPr="0034246D">
        <w:trPr>
          <w:trHeight w:val="111"/>
        </w:trPr>
        <w:tc>
          <w:tcPr>
            <w:tcW w:w="4581" w:type="pct"/>
            <w:noWrap/>
            <w:vAlign w:val="bottom"/>
          </w:tcPr>
          <w:p w:rsidR="00CB0795" w:rsidRPr="0034246D" w:rsidRDefault="00CB0795" w:rsidP="00885088">
            <w:pPr>
              <w:spacing w:before="60" w:line="200" w:lineRule="exact"/>
              <w:rPr>
                <w:sz w:val="16"/>
                <w:szCs w:val="16"/>
              </w:rPr>
            </w:pPr>
            <w:r w:rsidRPr="0034246D">
              <w:rPr>
                <w:sz w:val="16"/>
                <w:szCs w:val="16"/>
              </w:rPr>
              <w:t xml:space="preserve">   Kommunal avgift för ko</w:t>
            </w:r>
            <w:r w:rsidRPr="0034246D">
              <w:rPr>
                <w:sz w:val="16"/>
                <w:szCs w:val="16"/>
              </w:rPr>
              <w:t>m</w:t>
            </w:r>
            <w:r w:rsidRPr="0034246D">
              <w:rPr>
                <w:sz w:val="16"/>
                <w:szCs w:val="16"/>
              </w:rPr>
              <w:t>mersiella lokaler och industrier</w:t>
            </w:r>
          </w:p>
        </w:tc>
        <w:tc>
          <w:tcPr>
            <w:tcW w:w="419" w:type="pct"/>
            <w:noWrap/>
            <w:vAlign w:val="bottom"/>
          </w:tcPr>
          <w:p w:rsidR="00CB0795" w:rsidRPr="0034246D" w:rsidRDefault="00CB0795" w:rsidP="00885088">
            <w:pPr>
              <w:spacing w:before="60" w:line="200" w:lineRule="exact"/>
              <w:jc w:val="right"/>
              <w:rPr>
                <w:color w:val="000000"/>
                <w:sz w:val="16"/>
                <w:szCs w:val="16"/>
              </w:rPr>
            </w:pPr>
            <w:r w:rsidRPr="0034246D">
              <w:rPr>
                <w:color w:val="000000"/>
                <w:sz w:val="16"/>
                <w:szCs w:val="16"/>
              </w:rPr>
              <w:t>+6,7</w:t>
            </w:r>
          </w:p>
        </w:tc>
      </w:tr>
      <w:tr w:rsidR="00CB0795" w:rsidRPr="0034246D">
        <w:trPr>
          <w:trHeight w:val="111"/>
        </w:trPr>
        <w:tc>
          <w:tcPr>
            <w:tcW w:w="4581" w:type="pct"/>
            <w:noWrap/>
            <w:vAlign w:val="bottom"/>
          </w:tcPr>
          <w:p w:rsidR="00CB0795" w:rsidRPr="0034246D" w:rsidRDefault="00CB0795" w:rsidP="00885088">
            <w:pPr>
              <w:spacing w:before="60" w:line="200" w:lineRule="exact"/>
              <w:rPr>
                <w:sz w:val="16"/>
                <w:szCs w:val="16"/>
              </w:rPr>
            </w:pPr>
            <w:r w:rsidRPr="0034246D">
              <w:rPr>
                <w:sz w:val="16"/>
                <w:szCs w:val="16"/>
              </w:rPr>
              <w:t xml:space="preserve">   Minskat statsbidrag</w:t>
            </w:r>
          </w:p>
        </w:tc>
        <w:tc>
          <w:tcPr>
            <w:tcW w:w="419" w:type="pct"/>
            <w:noWrap/>
            <w:vAlign w:val="bottom"/>
          </w:tcPr>
          <w:p w:rsidR="00CB0795" w:rsidRPr="0034246D" w:rsidRDefault="00C46E26" w:rsidP="00885088">
            <w:pPr>
              <w:spacing w:before="60" w:line="200" w:lineRule="exact"/>
              <w:jc w:val="right"/>
              <w:rPr>
                <w:sz w:val="16"/>
                <w:szCs w:val="16"/>
              </w:rPr>
            </w:pPr>
            <w:r w:rsidRPr="0034246D">
              <w:rPr>
                <w:sz w:val="16"/>
                <w:szCs w:val="16"/>
              </w:rPr>
              <w:t>–</w:t>
            </w:r>
            <w:r w:rsidR="00CB0795" w:rsidRPr="0034246D">
              <w:rPr>
                <w:sz w:val="16"/>
                <w:szCs w:val="16"/>
              </w:rPr>
              <w:t>15,3</w:t>
            </w:r>
          </w:p>
        </w:tc>
      </w:tr>
      <w:tr w:rsidR="00CB0795" w:rsidRPr="0034246D">
        <w:trPr>
          <w:trHeight w:val="111"/>
        </w:trPr>
        <w:tc>
          <w:tcPr>
            <w:tcW w:w="4581" w:type="pct"/>
            <w:noWrap/>
            <w:vAlign w:val="bottom"/>
          </w:tcPr>
          <w:p w:rsidR="00CB0795" w:rsidRPr="0034246D" w:rsidRDefault="00CB0795" w:rsidP="00885088">
            <w:pPr>
              <w:spacing w:before="60" w:line="200" w:lineRule="exact"/>
              <w:rPr>
                <w:b/>
                <w:bCs/>
                <w:sz w:val="16"/>
                <w:szCs w:val="16"/>
              </w:rPr>
            </w:pPr>
            <w:r w:rsidRPr="0034246D">
              <w:rPr>
                <w:b/>
                <w:bCs/>
                <w:sz w:val="16"/>
                <w:szCs w:val="16"/>
              </w:rPr>
              <w:t>Summa</w:t>
            </w:r>
          </w:p>
        </w:tc>
        <w:tc>
          <w:tcPr>
            <w:tcW w:w="419" w:type="pct"/>
            <w:noWrap/>
            <w:vAlign w:val="bottom"/>
          </w:tcPr>
          <w:p w:rsidR="00CB0795" w:rsidRPr="0034246D" w:rsidRDefault="00CB0795" w:rsidP="00885088">
            <w:pPr>
              <w:spacing w:before="60" w:line="200" w:lineRule="exact"/>
              <w:jc w:val="right"/>
              <w:rPr>
                <w:b/>
                <w:bCs/>
                <w:sz w:val="16"/>
                <w:szCs w:val="16"/>
              </w:rPr>
            </w:pPr>
            <w:r w:rsidRPr="0034246D">
              <w:rPr>
                <w:b/>
                <w:bCs/>
                <w:sz w:val="16"/>
                <w:szCs w:val="16"/>
              </w:rPr>
              <w:t>0,0</w:t>
            </w:r>
          </w:p>
        </w:tc>
      </w:tr>
      <w:tr w:rsidR="00CB0795" w:rsidRPr="0034246D">
        <w:trPr>
          <w:trHeight w:val="111"/>
        </w:trPr>
        <w:tc>
          <w:tcPr>
            <w:tcW w:w="4581" w:type="pct"/>
            <w:noWrap/>
            <w:vAlign w:val="bottom"/>
          </w:tcPr>
          <w:p w:rsidR="00CB0795" w:rsidRPr="0034246D" w:rsidRDefault="00CB0795" w:rsidP="00885088">
            <w:pPr>
              <w:spacing w:before="60" w:line="200" w:lineRule="exact"/>
              <w:rPr>
                <w:sz w:val="16"/>
                <w:szCs w:val="16"/>
              </w:rPr>
            </w:pPr>
          </w:p>
        </w:tc>
        <w:tc>
          <w:tcPr>
            <w:tcW w:w="419" w:type="pct"/>
            <w:noWrap/>
            <w:vAlign w:val="bottom"/>
          </w:tcPr>
          <w:p w:rsidR="00CB0795" w:rsidRPr="0034246D" w:rsidRDefault="00CB0795" w:rsidP="00885088">
            <w:pPr>
              <w:spacing w:before="60" w:line="200" w:lineRule="exact"/>
              <w:rPr>
                <w:sz w:val="16"/>
                <w:szCs w:val="16"/>
              </w:rPr>
            </w:pPr>
          </w:p>
        </w:tc>
      </w:tr>
      <w:tr w:rsidR="00CB0795" w:rsidRPr="0034246D">
        <w:trPr>
          <w:trHeight w:val="111"/>
        </w:trPr>
        <w:tc>
          <w:tcPr>
            <w:tcW w:w="4581" w:type="pct"/>
            <w:noWrap/>
            <w:vAlign w:val="bottom"/>
          </w:tcPr>
          <w:p w:rsidR="00CB0795" w:rsidRPr="0034246D" w:rsidRDefault="00CB0795" w:rsidP="00885088">
            <w:pPr>
              <w:spacing w:before="60" w:line="200" w:lineRule="exact"/>
              <w:rPr>
                <w:b/>
                <w:bCs/>
                <w:sz w:val="16"/>
                <w:szCs w:val="16"/>
              </w:rPr>
            </w:pPr>
            <w:r w:rsidRPr="0034246D">
              <w:rPr>
                <w:b/>
                <w:bCs/>
                <w:sz w:val="16"/>
                <w:szCs w:val="16"/>
              </w:rPr>
              <w:t>Stat</w:t>
            </w:r>
          </w:p>
        </w:tc>
        <w:tc>
          <w:tcPr>
            <w:tcW w:w="419" w:type="pct"/>
            <w:noWrap/>
            <w:vAlign w:val="bottom"/>
          </w:tcPr>
          <w:p w:rsidR="00CB0795" w:rsidRPr="0034246D" w:rsidRDefault="00CB0795" w:rsidP="00885088">
            <w:pPr>
              <w:spacing w:before="60" w:line="200" w:lineRule="exact"/>
              <w:rPr>
                <w:sz w:val="16"/>
                <w:szCs w:val="16"/>
              </w:rPr>
            </w:pPr>
            <w:r w:rsidRPr="0034246D">
              <w:rPr>
                <w:sz w:val="16"/>
                <w:szCs w:val="16"/>
              </w:rPr>
              <w:t> </w:t>
            </w:r>
          </w:p>
        </w:tc>
      </w:tr>
      <w:tr w:rsidR="00CB0795" w:rsidRPr="0034246D">
        <w:trPr>
          <w:trHeight w:val="111"/>
        </w:trPr>
        <w:tc>
          <w:tcPr>
            <w:tcW w:w="4581" w:type="pct"/>
            <w:noWrap/>
            <w:vAlign w:val="bottom"/>
          </w:tcPr>
          <w:p w:rsidR="00CB0795" w:rsidRPr="0034246D" w:rsidRDefault="00CB0795" w:rsidP="00885088">
            <w:pPr>
              <w:spacing w:before="60" w:line="200" w:lineRule="exact"/>
              <w:rPr>
                <w:sz w:val="16"/>
                <w:szCs w:val="16"/>
              </w:rPr>
            </w:pPr>
            <w:r w:rsidRPr="0034246D">
              <w:rPr>
                <w:sz w:val="16"/>
                <w:szCs w:val="16"/>
              </w:rPr>
              <w:t xml:space="preserve">   Utebliven fastighetsskatt</w:t>
            </w:r>
          </w:p>
        </w:tc>
        <w:tc>
          <w:tcPr>
            <w:tcW w:w="419" w:type="pct"/>
            <w:noWrap/>
            <w:vAlign w:val="bottom"/>
          </w:tcPr>
          <w:p w:rsidR="00CB0795" w:rsidRPr="0034246D" w:rsidRDefault="00962557" w:rsidP="00885088">
            <w:pPr>
              <w:spacing w:before="60" w:line="200" w:lineRule="exact"/>
              <w:jc w:val="right"/>
              <w:rPr>
                <w:color w:val="000000"/>
                <w:sz w:val="16"/>
                <w:szCs w:val="16"/>
              </w:rPr>
            </w:pPr>
            <w:r w:rsidRPr="0034246D">
              <w:rPr>
                <w:color w:val="000000"/>
                <w:sz w:val="16"/>
                <w:szCs w:val="16"/>
              </w:rPr>
              <w:t>–</w:t>
            </w:r>
            <w:r w:rsidR="00CB0795" w:rsidRPr="0034246D">
              <w:rPr>
                <w:color w:val="000000"/>
                <w:sz w:val="16"/>
                <w:szCs w:val="16"/>
              </w:rPr>
              <w:t>26,4</w:t>
            </w:r>
          </w:p>
        </w:tc>
      </w:tr>
      <w:tr w:rsidR="00CB0795" w:rsidRPr="0034246D">
        <w:trPr>
          <w:trHeight w:val="111"/>
        </w:trPr>
        <w:tc>
          <w:tcPr>
            <w:tcW w:w="4581" w:type="pct"/>
            <w:noWrap/>
            <w:vAlign w:val="bottom"/>
          </w:tcPr>
          <w:p w:rsidR="00CB0795" w:rsidRPr="0034246D" w:rsidRDefault="00CB0795" w:rsidP="00885088">
            <w:pPr>
              <w:spacing w:before="60" w:line="200" w:lineRule="exact"/>
              <w:rPr>
                <w:sz w:val="16"/>
                <w:szCs w:val="16"/>
              </w:rPr>
            </w:pPr>
            <w:r w:rsidRPr="0034246D">
              <w:rPr>
                <w:sz w:val="16"/>
                <w:szCs w:val="16"/>
              </w:rPr>
              <w:t xml:space="preserve">   Minskat statsbidrag till pr</w:t>
            </w:r>
            <w:r w:rsidRPr="0034246D">
              <w:rPr>
                <w:sz w:val="16"/>
                <w:szCs w:val="16"/>
              </w:rPr>
              <w:t>i</w:t>
            </w:r>
            <w:r w:rsidRPr="0034246D">
              <w:rPr>
                <w:sz w:val="16"/>
                <w:szCs w:val="16"/>
              </w:rPr>
              <w:t>märkommuner</w:t>
            </w:r>
          </w:p>
        </w:tc>
        <w:tc>
          <w:tcPr>
            <w:tcW w:w="419" w:type="pct"/>
            <w:noWrap/>
            <w:vAlign w:val="bottom"/>
          </w:tcPr>
          <w:p w:rsidR="00CB0795" w:rsidRPr="0034246D" w:rsidRDefault="00CB0795" w:rsidP="00DD39DD">
            <w:pPr>
              <w:spacing w:before="60" w:line="200" w:lineRule="exact"/>
              <w:ind w:left="-57"/>
              <w:jc w:val="right"/>
              <w:rPr>
                <w:color w:val="000000"/>
                <w:sz w:val="16"/>
                <w:szCs w:val="16"/>
              </w:rPr>
            </w:pPr>
            <w:r w:rsidRPr="0034246D">
              <w:rPr>
                <w:color w:val="000000"/>
                <w:sz w:val="16"/>
                <w:szCs w:val="16"/>
              </w:rPr>
              <w:t>+15,3</w:t>
            </w:r>
          </w:p>
        </w:tc>
      </w:tr>
      <w:tr w:rsidR="00CB0795" w:rsidRPr="0034246D">
        <w:trPr>
          <w:trHeight w:val="111"/>
        </w:trPr>
        <w:tc>
          <w:tcPr>
            <w:tcW w:w="4581" w:type="pct"/>
            <w:noWrap/>
            <w:vAlign w:val="bottom"/>
          </w:tcPr>
          <w:p w:rsidR="00CB0795" w:rsidRPr="0034246D" w:rsidRDefault="00CB0795" w:rsidP="00885088">
            <w:pPr>
              <w:spacing w:before="60" w:line="200" w:lineRule="exact"/>
              <w:rPr>
                <w:sz w:val="16"/>
                <w:szCs w:val="16"/>
              </w:rPr>
            </w:pPr>
            <w:r w:rsidRPr="0034246D">
              <w:rPr>
                <w:sz w:val="16"/>
                <w:szCs w:val="16"/>
              </w:rPr>
              <w:t xml:space="preserve">   Kapitalvinstskatt på privatb</w:t>
            </w:r>
            <w:r w:rsidRPr="0034246D">
              <w:rPr>
                <w:sz w:val="16"/>
                <w:szCs w:val="16"/>
              </w:rPr>
              <w:t>o</w:t>
            </w:r>
            <w:r w:rsidRPr="0034246D">
              <w:rPr>
                <w:sz w:val="16"/>
                <w:szCs w:val="16"/>
              </w:rPr>
              <w:t>städer + halverat uppskov</w:t>
            </w:r>
          </w:p>
        </w:tc>
        <w:tc>
          <w:tcPr>
            <w:tcW w:w="419" w:type="pct"/>
            <w:noWrap/>
            <w:vAlign w:val="bottom"/>
          </w:tcPr>
          <w:p w:rsidR="00CB0795" w:rsidRPr="0034246D" w:rsidRDefault="00CB0795" w:rsidP="00885088">
            <w:pPr>
              <w:spacing w:before="60" w:line="200" w:lineRule="exact"/>
              <w:jc w:val="right"/>
              <w:rPr>
                <w:color w:val="000000"/>
                <w:sz w:val="16"/>
                <w:szCs w:val="16"/>
              </w:rPr>
            </w:pPr>
            <w:r w:rsidRPr="0034246D">
              <w:rPr>
                <w:color w:val="000000"/>
                <w:sz w:val="16"/>
                <w:szCs w:val="16"/>
              </w:rPr>
              <w:t>+9,2</w:t>
            </w:r>
          </w:p>
        </w:tc>
      </w:tr>
      <w:tr w:rsidR="00CB0795" w:rsidRPr="0034246D">
        <w:trPr>
          <w:trHeight w:val="111"/>
        </w:trPr>
        <w:tc>
          <w:tcPr>
            <w:tcW w:w="4581" w:type="pct"/>
            <w:noWrap/>
            <w:vAlign w:val="bottom"/>
          </w:tcPr>
          <w:p w:rsidR="00CB0795" w:rsidRPr="0034246D" w:rsidRDefault="00CB0795" w:rsidP="00DD39DD">
            <w:pPr>
              <w:spacing w:before="60" w:line="200" w:lineRule="exact"/>
              <w:ind w:left="113" w:hanging="113"/>
              <w:rPr>
                <w:sz w:val="16"/>
                <w:szCs w:val="16"/>
              </w:rPr>
            </w:pPr>
            <w:r w:rsidRPr="0034246D">
              <w:rPr>
                <w:sz w:val="16"/>
                <w:szCs w:val="16"/>
              </w:rPr>
              <w:t xml:space="preserve">   Minskad administration </w:t>
            </w:r>
            <w:r w:rsidR="00C46E26" w:rsidRPr="0034246D">
              <w:rPr>
                <w:sz w:val="16"/>
                <w:szCs w:val="16"/>
              </w:rPr>
              <w:t>till följd av</w:t>
            </w:r>
            <w:r w:rsidRPr="0034246D">
              <w:rPr>
                <w:sz w:val="16"/>
                <w:szCs w:val="16"/>
              </w:rPr>
              <w:t xml:space="preserve"> avvecklad fastighets- </w:t>
            </w:r>
            <w:r w:rsidR="00C46E26" w:rsidRPr="0034246D">
              <w:rPr>
                <w:sz w:val="16"/>
                <w:szCs w:val="16"/>
              </w:rPr>
              <w:t>och</w:t>
            </w:r>
            <w:r w:rsidRPr="0034246D">
              <w:rPr>
                <w:sz w:val="16"/>
                <w:szCs w:val="16"/>
              </w:rPr>
              <w:t xml:space="preserve"> förm</w:t>
            </w:r>
            <w:r w:rsidRPr="0034246D">
              <w:rPr>
                <w:sz w:val="16"/>
                <w:szCs w:val="16"/>
              </w:rPr>
              <w:t>ö</w:t>
            </w:r>
            <w:r w:rsidRPr="0034246D">
              <w:rPr>
                <w:sz w:val="16"/>
                <w:szCs w:val="16"/>
              </w:rPr>
              <w:t>genhetsskatt, egnahem</w:t>
            </w:r>
          </w:p>
        </w:tc>
        <w:tc>
          <w:tcPr>
            <w:tcW w:w="419" w:type="pct"/>
            <w:noWrap/>
            <w:vAlign w:val="bottom"/>
          </w:tcPr>
          <w:p w:rsidR="00CB0795" w:rsidRPr="0034246D" w:rsidRDefault="00CB0795" w:rsidP="00885088">
            <w:pPr>
              <w:spacing w:before="60" w:line="200" w:lineRule="exact"/>
              <w:jc w:val="right"/>
              <w:rPr>
                <w:color w:val="000000"/>
                <w:sz w:val="16"/>
                <w:szCs w:val="16"/>
              </w:rPr>
            </w:pPr>
            <w:r w:rsidRPr="0034246D">
              <w:rPr>
                <w:color w:val="000000"/>
                <w:sz w:val="16"/>
                <w:szCs w:val="16"/>
              </w:rPr>
              <w:t>+0,2</w:t>
            </w:r>
          </w:p>
        </w:tc>
      </w:tr>
      <w:tr w:rsidR="00CB0795" w:rsidRPr="0034246D">
        <w:trPr>
          <w:trHeight w:val="111"/>
        </w:trPr>
        <w:tc>
          <w:tcPr>
            <w:tcW w:w="4581" w:type="pct"/>
            <w:noWrap/>
            <w:vAlign w:val="bottom"/>
          </w:tcPr>
          <w:p w:rsidR="00CB0795" w:rsidRPr="0034246D" w:rsidRDefault="00CB0795" w:rsidP="00885088">
            <w:pPr>
              <w:spacing w:before="60" w:line="200" w:lineRule="exact"/>
              <w:rPr>
                <w:sz w:val="16"/>
                <w:szCs w:val="16"/>
              </w:rPr>
            </w:pPr>
            <w:r w:rsidRPr="0034246D">
              <w:rPr>
                <w:sz w:val="16"/>
                <w:szCs w:val="16"/>
              </w:rPr>
              <w:t xml:space="preserve">   Övrig finansiering inom bu</w:t>
            </w:r>
            <w:r w:rsidRPr="0034246D">
              <w:rPr>
                <w:sz w:val="16"/>
                <w:szCs w:val="16"/>
              </w:rPr>
              <w:t>d</w:t>
            </w:r>
            <w:r w:rsidRPr="0034246D">
              <w:rPr>
                <w:sz w:val="16"/>
                <w:szCs w:val="16"/>
              </w:rPr>
              <w:t xml:space="preserve">get </w:t>
            </w:r>
          </w:p>
        </w:tc>
        <w:tc>
          <w:tcPr>
            <w:tcW w:w="419" w:type="pct"/>
            <w:noWrap/>
            <w:vAlign w:val="bottom"/>
          </w:tcPr>
          <w:p w:rsidR="00CB0795" w:rsidRPr="0034246D" w:rsidRDefault="00CB0795" w:rsidP="00885088">
            <w:pPr>
              <w:spacing w:before="60" w:line="200" w:lineRule="exact"/>
              <w:jc w:val="right"/>
              <w:rPr>
                <w:color w:val="000000"/>
                <w:sz w:val="16"/>
                <w:szCs w:val="16"/>
              </w:rPr>
            </w:pPr>
            <w:r w:rsidRPr="0034246D">
              <w:rPr>
                <w:color w:val="000000"/>
                <w:sz w:val="16"/>
                <w:szCs w:val="16"/>
              </w:rPr>
              <w:t>+1,8</w:t>
            </w:r>
          </w:p>
        </w:tc>
      </w:tr>
      <w:tr w:rsidR="00CB0795" w:rsidRPr="0034246D">
        <w:trPr>
          <w:trHeight w:val="111"/>
        </w:trPr>
        <w:tc>
          <w:tcPr>
            <w:tcW w:w="4581" w:type="pct"/>
            <w:tcBorders>
              <w:bottom w:val="single" w:sz="6" w:space="0" w:color="auto"/>
            </w:tcBorders>
            <w:noWrap/>
            <w:vAlign w:val="bottom"/>
          </w:tcPr>
          <w:p w:rsidR="00CB0795" w:rsidRPr="0034246D" w:rsidRDefault="00CB0795" w:rsidP="00885088">
            <w:pPr>
              <w:spacing w:before="60" w:line="200" w:lineRule="exact"/>
              <w:rPr>
                <w:b/>
                <w:bCs/>
                <w:sz w:val="16"/>
                <w:szCs w:val="16"/>
              </w:rPr>
            </w:pPr>
            <w:r w:rsidRPr="0034246D">
              <w:rPr>
                <w:b/>
                <w:bCs/>
                <w:sz w:val="16"/>
                <w:szCs w:val="16"/>
              </w:rPr>
              <w:t>Summa</w:t>
            </w:r>
          </w:p>
        </w:tc>
        <w:tc>
          <w:tcPr>
            <w:tcW w:w="419" w:type="pct"/>
            <w:tcBorders>
              <w:bottom w:val="single" w:sz="6" w:space="0" w:color="auto"/>
            </w:tcBorders>
            <w:noWrap/>
            <w:vAlign w:val="bottom"/>
          </w:tcPr>
          <w:p w:rsidR="00CB0795" w:rsidRPr="0034246D" w:rsidRDefault="00CB0795" w:rsidP="00885088">
            <w:pPr>
              <w:spacing w:before="60" w:line="200" w:lineRule="exact"/>
              <w:jc w:val="right"/>
              <w:rPr>
                <w:b/>
                <w:bCs/>
                <w:sz w:val="16"/>
                <w:szCs w:val="16"/>
              </w:rPr>
            </w:pPr>
            <w:r w:rsidRPr="0034246D">
              <w:rPr>
                <w:b/>
                <w:bCs/>
                <w:sz w:val="16"/>
                <w:szCs w:val="16"/>
              </w:rPr>
              <w:t>0,0</w:t>
            </w:r>
          </w:p>
        </w:tc>
      </w:tr>
    </w:tbl>
    <w:p w:rsidR="00CB0795" w:rsidRPr="0034246D" w:rsidRDefault="00CB0795" w:rsidP="00C30FD8">
      <w:pPr>
        <w:pStyle w:val="TabellUnderrubrik"/>
        <w:spacing w:before="0" w:after="0"/>
      </w:pPr>
      <w:r w:rsidRPr="0034246D">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5088" w:rsidRPr="0034246D">
        <w:tblPrEx>
          <w:tblCellMar>
            <w:top w:w="0" w:type="dxa"/>
            <w:bottom w:w="0" w:type="dxa"/>
          </w:tblCellMar>
        </w:tblPrEx>
        <w:trPr>
          <w:cantSplit/>
        </w:trPr>
        <w:tc>
          <w:tcPr>
            <w:tcW w:w="3046" w:type="dxa"/>
          </w:tcPr>
          <w:p w:rsidR="00885088" w:rsidRPr="0034246D" w:rsidRDefault="00885088" w:rsidP="00885088">
            <w:pPr>
              <w:pStyle w:val="UnderskriftDatum"/>
              <w:spacing w:before="240"/>
            </w:pPr>
            <w:r w:rsidRPr="0034246D">
              <w:t>Stockholm den 5 oktober 2005</w:t>
            </w:r>
          </w:p>
        </w:tc>
        <w:tc>
          <w:tcPr>
            <w:tcW w:w="3047" w:type="dxa"/>
          </w:tcPr>
          <w:p w:rsidR="00885088" w:rsidRPr="0034246D" w:rsidRDefault="00885088" w:rsidP="00885088">
            <w:pPr>
              <w:pStyle w:val="Underskrifter"/>
              <w:spacing w:before="240"/>
            </w:pPr>
          </w:p>
        </w:tc>
      </w:tr>
      <w:tr w:rsidR="00885088" w:rsidRPr="0034246D">
        <w:tblPrEx>
          <w:tblCellMar>
            <w:top w:w="0" w:type="dxa"/>
            <w:bottom w:w="0" w:type="dxa"/>
          </w:tblCellMar>
        </w:tblPrEx>
        <w:trPr>
          <w:cantSplit/>
        </w:trPr>
        <w:tc>
          <w:tcPr>
            <w:tcW w:w="3046" w:type="dxa"/>
          </w:tcPr>
          <w:p w:rsidR="00885088" w:rsidRPr="0034246D" w:rsidRDefault="00885088" w:rsidP="00885088">
            <w:pPr>
              <w:pStyle w:val="Underskrifter"/>
            </w:pPr>
            <w:r w:rsidRPr="0034246D">
              <w:t>Per Landgren (kd)</w:t>
            </w:r>
          </w:p>
        </w:tc>
        <w:tc>
          <w:tcPr>
            <w:tcW w:w="3047" w:type="dxa"/>
          </w:tcPr>
          <w:p w:rsidR="00885088" w:rsidRPr="0034246D" w:rsidRDefault="00885088" w:rsidP="00885088">
            <w:pPr>
              <w:pStyle w:val="Underskrifter"/>
            </w:pPr>
          </w:p>
        </w:tc>
      </w:tr>
      <w:tr w:rsidR="00885088" w:rsidRPr="0034246D">
        <w:tblPrEx>
          <w:tblCellMar>
            <w:top w:w="0" w:type="dxa"/>
            <w:bottom w:w="0" w:type="dxa"/>
          </w:tblCellMar>
        </w:tblPrEx>
        <w:trPr>
          <w:cantSplit/>
        </w:trPr>
        <w:tc>
          <w:tcPr>
            <w:tcW w:w="3046" w:type="dxa"/>
          </w:tcPr>
          <w:p w:rsidR="00885088" w:rsidRPr="0034246D" w:rsidRDefault="00885088" w:rsidP="00885088">
            <w:pPr>
              <w:pStyle w:val="Underskrifter"/>
            </w:pPr>
            <w:r w:rsidRPr="0034246D">
              <w:t>Mats Odell (kd)</w:t>
            </w:r>
          </w:p>
        </w:tc>
        <w:tc>
          <w:tcPr>
            <w:tcW w:w="3047" w:type="dxa"/>
          </w:tcPr>
          <w:p w:rsidR="00885088" w:rsidRPr="0034246D" w:rsidRDefault="00885088" w:rsidP="00885088">
            <w:pPr>
              <w:pStyle w:val="Underskrifter"/>
            </w:pPr>
            <w:r w:rsidRPr="0034246D">
              <w:t>Lars Lindén (kd)</w:t>
            </w:r>
          </w:p>
        </w:tc>
      </w:tr>
      <w:tr w:rsidR="00885088" w:rsidRPr="0034246D">
        <w:tblPrEx>
          <w:tblCellMar>
            <w:top w:w="0" w:type="dxa"/>
            <w:bottom w:w="0" w:type="dxa"/>
          </w:tblCellMar>
        </w:tblPrEx>
        <w:trPr>
          <w:cantSplit/>
        </w:trPr>
        <w:tc>
          <w:tcPr>
            <w:tcW w:w="3046" w:type="dxa"/>
          </w:tcPr>
          <w:p w:rsidR="00885088" w:rsidRPr="0034246D" w:rsidRDefault="00885088" w:rsidP="00885088">
            <w:pPr>
              <w:pStyle w:val="Underskrifter"/>
            </w:pPr>
            <w:r w:rsidRPr="0034246D">
              <w:t>Stefan Attefall (kd)</w:t>
            </w:r>
          </w:p>
        </w:tc>
        <w:tc>
          <w:tcPr>
            <w:tcW w:w="3047" w:type="dxa"/>
          </w:tcPr>
          <w:p w:rsidR="00885088" w:rsidRPr="0034246D" w:rsidRDefault="00885088" w:rsidP="00885088">
            <w:pPr>
              <w:pStyle w:val="Underskrifter"/>
            </w:pPr>
            <w:r w:rsidRPr="0034246D">
              <w:t>Maria Larsson (kd)</w:t>
            </w:r>
          </w:p>
        </w:tc>
      </w:tr>
      <w:tr w:rsidR="00885088" w:rsidRPr="0034246D">
        <w:tblPrEx>
          <w:tblCellMar>
            <w:top w:w="0" w:type="dxa"/>
            <w:bottom w:w="0" w:type="dxa"/>
          </w:tblCellMar>
        </w:tblPrEx>
        <w:trPr>
          <w:cantSplit/>
        </w:trPr>
        <w:tc>
          <w:tcPr>
            <w:tcW w:w="3046" w:type="dxa"/>
          </w:tcPr>
          <w:p w:rsidR="00885088" w:rsidRPr="0034246D" w:rsidRDefault="00885088" w:rsidP="00885088">
            <w:pPr>
              <w:pStyle w:val="Underskrifter"/>
            </w:pPr>
            <w:r w:rsidRPr="0034246D">
              <w:t>Mikael Oscarsson (kd)</w:t>
            </w:r>
          </w:p>
        </w:tc>
        <w:tc>
          <w:tcPr>
            <w:tcW w:w="3047" w:type="dxa"/>
          </w:tcPr>
          <w:p w:rsidR="00885088" w:rsidRPr="0034246D" w:rsidRDefault="00885088" w:rsidP="00885088">
            <w:pPr>
              <w:pStyle w:val="Underskrifter"/>
            </w:pPr>
            <w:r w:rsidRPr="0034246D">
              <w:t>Annelie Enochson (kd)</w:t>
            </w:r>
          </w:p>
        </w:tc>
      </w:tr>
      <w:tr w:rsidR="00885088" w:rsidRPr="0034246D">
        <w:tblPrEx>
          <w:tblCellMar>
            <w:top w:w="0" w:type="dxa"/>
            <w:bottom w:w="0" w:type="dxa"/>
          </w:tblCellMar>
        </w:tblPrEx>
        <w:trPr>
          <w:cantSplit/>
        </w:trPr>
        <w:tc>
          <w:tcPr>
            <w:tcW w:w="3046" w:type="dxa"/>
          </w:tcPr>
          <w:p w:rsidR="00885088" w:rsidRPr="0034246D" w:rsidRDefault="00885088" w:rsidP="00885088">
            <w:pPr>
              <w:pStyle w:val="Underskrifter"/>
            </w:pPr>
            <w:r w:rsidRPr="0034246D">
              <w:t>Lars Gustafsson (kd)</w:t>
            </w:r>
          </w:p>
        </w:tc>
        <w:tc>
          <w:tcPr>
            <w:tcW w:w="3047" w:type="dxa"/>
          </w:tcPr>
          <w:p w:rsidR="00885088" w:rsidRPr="0034246D" w:rsidRDefault="00885088" w:rsidP="00885088">
            <w:pPr>
              <w:pStyle w:val="Underskrifter"/>
            </w:pPr>
            <w:r w:rsidRPr="0034246D">
              <w:t>Else-Marie Lindgren (kd)</w:t>
            </w:r>
          </w:p>
        </w:tc>
      </w:tr>
    </w:tbl>
    <w:p w:rsidR="008A4DE5" w:rsidRPr="0034246D" w:rsidRDefault="008A4DE5" w:rsidP="00885088">
      <w:pPr>
        <w:pStyle w:val="Normaltindrag"/>
      </w:pPr>
    </w:p>
    <w:sectPr w:rsidR="008A4DE5" w:rsidRPr="0034246D" w:rsidSect="00885088">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3B7" w:rsidRPr="0034246D" w:rsidRDefault="001423B7">
      <w:r w:rsidRPr="0034246D">
        <w:separator/>
      </w:r>
    </w:p>
  </w:endnote>
  <w:endnote w:type="continuationSeparator" w:id="0">
    <w:p w:rsidR="001423B7" w:rsidRPr="0034246D" w:rsidRDefault="001423B7">
      <w:r w:rsidRPr="003424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14F" w:rsidRPr="0034246D" w:rsidRDefault="0034246D" w:rsidP="00885088">
    <w:pPr>
      <w:pStyle w:val="Sidfot"/>
    </w:pPr>
    <w:r w:rsidRPr="003424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1310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14F" w:rsidRDefault="00BF314F">
                          <w:pPr>
                            <w:pStyle w:val="NormalS5sidnrV"/>
                          </w:pPr>
                          <w:r>
                            <w:fldChar w:fldCharType="begin"/>
                          </w:r>
                          <w:r>
                            <w:instrText xml:space="preserve"> PAGE *\charformat</w:instrText>
                          </w:r>
                          <w:r>
                            <w:fldChar w:fldCharType="separate"/>
                          </w:r>
                          <w:r w:rsidR="0093458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314F" w:rsidRDefault="00BF314F">
                    <w:pPr>
                      <w:pStyle w:val="NormalS5sidnrV"/>
                    </w:pPr>
                    <w:r>
                      <w:fldChar w:fldCharType="begin"/>
                    </w:r>
                    <w:r>
                      <w:instrText xml:space="preserve"> PAGE *\charformat</w:instrText>
                    </w:r>
                    <w:r>
                      <w:fldChar w:fldCharType="separate"/>
                    </w:r>
                    <w:r w:rsidR="0093458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14F" w:rsidRPr="0034246D" w:rsidRDefault="0034246D" w:rsidP="00885088">
    <w:pPr>
      <w:pStyle w:val="Sidfot"/>
    </w:pPr>
    <w:r w:rsidRPr="003424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490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14F" w:rsidRDefault="00BF314F">
                          <w:pPr>
                            <w:pStyle w:val="NormalS5sidnrH"/>
                            <w:ind w:right="0"/>
                          </w:pPr>
                          <w:r>
                            <w:fldChar w:fldCharType="begin"/>
                          </w:r>
                          <w:r>
                            <w:instrText xml:space="preserve"> PAGE *\charformat</w:instrText>
                          </w:r>
                          <w:r>
                            <w:fldChar w:fldCharType="separate"/>
                          </w:r>
                          <w:r w:rsidR="0093458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314F" w:rsidRDefault="00BF314F">
                    <w:pPr>
                      <w:pStyle w:val="NormalS5sidnrH"/>
                      <w:ind w:right="0"/>
                    </w:pPr>
                    <w:r>
                      <w:fldChar w:fldCharType="begin"/>
                    </w:r>
                    <w:r>
                      <w:instrText xml:space="preserve"> PAGE *\charformat</w:instrText>
                    </w:r>
                    <w:r>
                      <w:fldChar w:fldCharType="separate"/>
                    </w:r>
                    <w:r w:rsidR="0093458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14F" w:rsidRPr="0034246D" w:rsidRDefault="0034246D" w:rsidP="00885088">
    <w:pPr>
      <w:pStyle w:val="Sidfot"/>
    </w:pPr>
    <w:r w:rsidRPr="003424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885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14F" w:rsidRDefault="00BF314F">
                          <w:pPr>
                            <w:pStyle w:val="NormalS5sidnrH"/>
                            <w:ind w:right="0"/>
                          </w:pPr>
                          <w:r>
                            <w:fldChar w:fldCharType="begin"/>
                          </w:r>
                          <w:r>
                            <w:instrText xml:space="preserve"> PAGE *\charformat</w:instrText>
                          </w:r>
                          <w:r>
                            <w:fldChar w:fldCharType="separate"/>
                          </w:r>
                          <w:r w:rsidR="0093458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314F" w:rsidRDefault="00BF314F">
                    <w:pPr>
                      <w:pStyle w:val="NormalS5sidnrH"/>
                      <w:ind w:right="0"/>
                    </w:pPr>
                    <w:r>
                      <w:fldChar w:fldCharType="begin"/>
                    </w:r>
                    <w:r>
                      <w:instrText xml:space="preserve"> PAGE *\charformat</w:instrText>
                    </w:r>
                    <w:r>
                      <w:fldChar w:fldCharType="separate"/>
                    </w:r>
                    <w:r w:rsidR="0093458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3B7" w:rsidRPr="0034246D" w:rsidRDefault="001423B7" w:rsidP="00C46E26">
      <w:pPr>
        <w:pStyle w:val="Sidfot"/>
      </w:pPr>
    </w:p>
  </w:footnote>
  <w:footnote w:type="continuationSeparator" w:id="0">
    <w:p w:rsidR="001423B7" w:rsidRPr="0034246D" w:rsidRDefault="001423B7">
      <w:r w:rsidRPr="0034246D">
        <w:continuationSeparator/>
      </w:r>
    </w:p>
  </w:footnote>
  <w:footnote w:id="1">
    <w:p w:rsidR="00BF314F" w:rsidRPr="0034246D" w:rsidRDefault="00BF314F" w:rsidP="00A51C86">
      <w:pPr>
        <w:pStyle w:val="Fotnotstext"/>
      </w:pPr>
      <w:r w:rsidRPr="0034246D">
        <w:rPr>
          <w:rStyle w:val="Fotnotsreferens"/>
        </w:rPr>
        <w:footnoteRef/>
      </w:r>
      <w:r w:rsidRPr="0034246D">
        <w:t xml:space="preserve"> </w:t>
      </w:r>
      <w:r w:rsidRPr="0034246D">
        <w:rPr>
          <w:snapToGrid w:val="0"/>
        </w:rPr>
        <w:t>2001 års ekonomiska vårproposition, bilaga 3.</w:t>
      </w:r>
    </w:p>
  </w:footnote>
  <w:footnote w:id="2">
    <w:p w:rsidR="00BF314F" w:rsidRPr="0034246D" w:rsidRDefault="00BF314F" w:rsidP="00A51C86">
      <w:pPr>
        <w:pStyle w:val="Fotnotstext"/>
      </w:pPr>
      <w:r w:rsidRPr="0034246D">
        <w:rPr>
          <w:rStyle w:val="Fotnotsreferens"/>
        </w:rPr>
        <w:footnoteRef/>
      </w:r>
      <w:r w:rsidRPr="0034246D">
        <w:t xml:space="preserve"> </w:t>
      </w:r>
      <w:r w:rsidRPr="0034246D">
        <w:rPr>
          <w:snapToGrid w:val="0"/>
        </w:rPr>
        <w:t>Professor Sven-Olof Lodin, skrivelse till riksdagens skatteutskott 2001-02-25.</w:t>
      </w:r>
    </w:p>
  </w:footnote>
  <w:footnote w:id="3">
    <w:p w:rsidR="00BF314F" w:rsidRPr="0034246D" w:rsidRDefault="00BF314F" w:rsidP="00A51C86">
      <w:pPr>
        <w:pStyle w:val="Fotnotstext"/>
      </w:pPr>
      <w:r w:rsidRPr="0034246D">
        <w:rPr>
          <w:rStyle w:val="Fotnotsreferens"/>
        </w:rPr>
        <w:footnoteRef/>
      </w:r>
      <w:r w:rsidRPr="0034246D">
        <w:t>Eurostat.</w:t>
      </w:r>
    </w:p>
  </w:footnote>
  <w:footnote w:id="4">
    <w:p w:rsidR="00BF314F" w:rsidRPr="0034246D" w:rsidRDefault="00BF314F" w:rsidP="00885088">
      <w:pPr>
        <w:pStyle w:val="Fotnotstext"/>
      </w:pPr>
      <w:r w:rsidRPr="0034246D">
        <w:rPr>
          <w:rStyle w:val="Fotnotsreferens"/>
        </w:rPr>
        <w:footnoteRef/>
      </w:r>
      <w:r w:rsidRPr="0034246D">
        <w:t xml:space="preserve"> </w:t>
      </w:r>
      <w:r w:rsidRPr="0034246D">
        <w:rPr>
          <w:snapToGrid w:val="0"/>
        </w:rPr>
        <w:t>Enligt RSV:s årsredovisning kostade enbart fastighetstaxeringsverksa</w:t>
      </w:r>
      <w:r w:rsidRPr="0034246D">
        <w:rPr>
          <w:snapToGrid w:val="0"/>
        </w:rPr>
        <w:t>m</w:t>
      </w:r>
      <w:r w:rsidRPr="0034246D">
        <w:rPr>
          <w:snapToGrid w:val="0"/>
        </w:rPr>
        <w:t>heten 169 miljoner kronor år 2000. Tidigare år har kostnaden överstigit 200 miljoner kronor och 1996 uppgick den till 344 miljoner kr</w:t>
      </w:r>
      <w:r w:rsidRPr="0034246D">
        <w:rPr>
          <w:snapToGrid w:val="0"/>
        </w:rPr>
        <w:t>o</w:t>
      </w:r>
      <w:r w:rsidRPr="0034246D">
        <w:rPr>
          <w:snapToGrid w:val="0"/>
        </w:rPr>
        <w:t>nor.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14F" w:rsidRPr="0034246D" w:rsidRDefault="0034246D" w:rsidP="00885088">
    <w:pPr>
      <w:pStyle w:val="Sidhuvud"/>
    </w:pPr>
    <w:r w:rsidRPr="003424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37093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14F" w:rsidRDefault="00BF314F">
                          <w:pPr>
                            <w:pStyle w:val="KantRubrikS5V"/>
                          </w:pPr>
                          <w:r>
                            <w:fldChar w:fldCharType="begin"/>
                          </w:r>
                          <w:r>
                            <w:instrText xml:space="preserve"> DOCPROPERTY "YearUser" *\charformat </w:instrText>
                          </w:r>
                          <w:r>
                            <w:fldChar w:fldCharType="separate"/>
                          </w:r>
                          <w:r w:rsidR="0093458E">
                            <w:t>2005/06</w:t>
                          </w:r>
                          <w:r>
                            <w:fldChar w:fldCharType="end"/>
                          </w:r>
                          <w:r>
                            <w:t>:</w:t>
                          </w:r>
                          <w:r>
                            <w:fldChar w:fldCharType="begin"/>
                          </w:r>
                          <w:r>
                            <w:instrText xml:space="preserve"> DOCPROPERTY "Motionsnummer" *\charformat </w:instrText>
                          </w:r>
                          <w:r>
                            <w:fldChar w:fldCharType="separate"/>
                          </w:r>
                          <w:r w:rsidR="0093458E">
                            <w:t>Fi307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314F" w:rsidRDefault="00BF314F">
                    <w:pPr>
                      <w:pStyle w:val="KantRubrikS5V"/>
                    </w:pPr>
                    <w:r>
                      <w:fldChar w:fldCharType="begin"/>
                    </w:r>
                    <w:r>
                      <w:instrText xml:space="preserve"> DOCPROPERTY "YearUser" *\charformat </w:instrText>
                    </w:r>
                    <w:r>
                      <w:fldChar w:fldCharType="separate"/>
                    </w:r>
                    <w:r w:rsidR="0093458E">
                      <w:t>2005/06</w:t>
                    </w:r>
                    <w:r>
                      <w:fldChar w:fldCharType="end"/>
                    </w:r>
                    <w:r>
                      <w:t>:</w:t>
                    </w:r>
                    <w:r>
                      <w:fldChar w:fldCharType="begin"/>
                    </w:r>
                    <w:r>
                      <w:instrText xml:space="preserve"> DOCPROPERTY "Motionsnummer" *\charformat </w:instrText>
                    </w:r>
                    <w:r>
                      <w:fldChar w:fldCharType="separate"/>
                    </w:r>
                    <w:r w:rsidR="0093458E">
                      <w:t>Fi307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14F" w:rsidRPr="0034246D" w:rsidRDefault="0034246D" w:rsidP="00885088">
    <w:pPr>
      <w:pStyle w:val="Sidhuvud"/>
    </w:pPr>
    <w:r w:rsidRPr="003424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2221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14F" w:rsidRDefault="00BF314F">
                          <w:pPr>
                            <w:pStyle w:val="KantRubrikS5H"/>
                            <w:ind w:right="0"/>
                          </w:pPr>
                          <w:r>
                            <w:fldChar w:fldCharType="begin"/>
                          </w:r>
                          <w:r>
                            <w:instrText xml:space="preserve"> DOCPROPERTY "YearUser" *\charformat </w:instrText>
                          </w:r>
                          <w:r>
                            <w:fldChar w:fldCharType="separate"/>
                          </w:r>
                          <w:r w:rsidR="0093458E">
                            <w:t>2005/06</w:t>
                          </w:r>
                          <w:r>
                            <w:fldChar w:fldCharType="end"/>
                          </w:r>
                          <w:r>
                            <w:t>:</w:t>
                          </w:r>
                          <w:r>
                            <w:fldChar w:fldCharType="begin"/>
                          </w:r>
                          <w:r>
                            <w:instrText xml:space="preserve"> DOCPROPERTY "Motionsnummer" *\charformat </w:instrText>
                          </w:r>
                          <w:r>
                            <w:fldChar w:fldCharType="separate"/>
                          </w:r>
                          <w:r w:rsidR="0093458E">
                            <w:t>Fi307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314F" w:rsidRDefault="00BF314F">
                    <w:pPr>
                      <w:pStyle w:val="KantRubrikS5H"/>
                      <w:ind w:right="0"/>
                    </w:pPr>
                    <w:r>
                      <w:fldChar w:fldCharType="begin"/>
                    </w:r>
                    <w:r>
                      <w:instrText xml:space="preserve"> DOCPROPERTY "YearUser" *\charformat </w:instrText>
                    </w:r>
                    <w:r>
                      <w:fldChar w:fldCharType="separate"/>
                    </w:r>
                    <w:r w:rsidR="0093458E">
                      <w:t>2005/06</w:t>
                    </w:r>
                    <w:r>
                      <w:fldChar w:fldCharType="end"/>
                    </w:r>
                    <w:r>
                      <w:t>:</w:t>
                    </w:r>
                    <w:r>
                      <w:fldChar w:fldCharType="begin"/>
                    </w:r>
                    <w:r>
                      <w:instrText xml:space="preserve"> DOCPROPERTY "Motionsnummer" *\charformat </w:instrText>
                    </w:r>
                    <w:r>
                      <w:fldChar w:fldCharType="separate"/>
                    </w:r>
                    <w:r w:rsidR="0093458E">
                      <w:t>Fi307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14F" w:rsidRPr="0034246D" w:rsidRDefault="00BF314F">
    <w:pPr>
      <w:pStyle w:val="FSHNormal"/>
      <w:tabs>
        <w:tab w:val="right" w:pos="5840"/>
      </w:tabs>
    </w:pPr>
    <w:r w:rsidRPr="0034246D">
      <w:br/>
    </w:r>
    <w:r w:rsidRPr="0034246D">
      <w:fldChar w:fldCharType="begin" w:fldLock="1"/>
    </w:r>
    <w:r w:rsidRPr="0034246D">
      <w:instrText xml:space="preserve"> DOCPROPERTY</w:instrText>
    </w:r>
    <w:r w:rsidRPr="0034246D">
      <w:rPr>
        <w:sz w:val="18"/>
      </w:rPr>
      <w:instrText xml:space="preserve"> "YearUser" *\charformat </w:instrText>
    </w:r>
    <w:r w:rsidRPr="0034246D">
      <w:fldChar w:fldCharType="separate"/>
    </w:r>
    <w:r w:rsidR="0093458E" w:rsidRPr="0034246D">
      <w:t>2005/06</w:t>
    </w:r>
    <w:r w:rsidRPr="0034246D">
      <w:fldChar w:fldCharType="end"/>
    </w:r>
    <w:r w:rsidRPr="0034246D">
      <w:t xml:space="preserve"> </w:t>
    </w:r>
    <w:r w:rsidRPr="0034246D">
      <w:tab/>
      <w:t xml:space="preserve">mnr: </w:t>
    </w:r>
    <w:r w:rsidRPr="0034246D">
      <w:fldChar w:fldCharType="begin" w:fldLock="1"/>
    </w:r>
    <w:r w:rsidRPr="0034246D">
      <w:instrText xml:space="preserve"> DOCPROPERTY</w:instrText>
    </w:r>
    <w:r w:rsidRPr="0034246D">
      <w:rPr>
        <w:sz w:val="18"/>
      </w:rPr>
      <w:instrText xml:space="preserve"> "Motionsnummer" *\charformat </w:instrText>
    </w:r>
    <w:r w:rsidRPr="0034246D">
      <w:fldChar w:fldCharType="separate"/>
    </w:r>
    <w:r w:rsidR="0093458E" w:rsidRPr="0034246D">
      <w:t>Fi307</w:t>
    </w:r>
    <w:r w:rsidRPr="0034246D">
      <w:fldChar w:fldCharType="end"/>
    </w:r>
    <w:r w:rsidRPr="0034246D">
      <w:br/>
    </w:r>
    <w:r w:rsidRPr="0034246D">
      <w:fldChar w:fldCharType="begin" w:fldLock="1"/>
    </w:r>
    <w:r w:rsidRPr="0034246D">
      <w:instrText xml:space="preserve"> DOCPROPERTY</w:instrText>
    </w:r>
    <w:r w:rsidRPr="0034246D">
      <w:rPr>
        <w:sz w:val="18"/>
      </w:rPr>
      <w:instrText xml:space="preserve"> "Samling" *\charformat </w:instrText>
    </w:r>
    <w:r w:rsidRPr="0034246D">
      <w:fldChar w:fldCharType="end"/>
    </w:r>
    <w:r w:rsidRPr="0034246D">
      <w:tab/>
      <w:t xml:space="preserve">pnr: </w:t>
    </w:r>
    <w:r w:rsidRPr="0034246D">
      <w:fldChar w:fldCharType="begin" w:fldLock="1"/>
    </w:r>
    <w:r w:rsidRPr="0034246D">
      <w:instrText xml:space="preserve"> DOCPROPERTY</w:instrText>
    </w:r>
    <w:r w:rsidRPr="0034246D">
      <w:rPr>
        <w:sz w:val="18"/>
      </w:rPr>
      <w:instrText xml:space="preserve"> "Partinummer" *\charformat </w:instrText>
    </w:r>
    <w:r w:rsidRPr="0034246D">
      <w:fldChar w:fldCharType="separate"/>
    </w:r>
    <w:r w:rsidR="0093458E" w:rsidRPr="0034246D">
      <w:t>kd330</w:t>
    </w:r>
    <w:r w:rsidRPr="0034246D">
      <w:fldChar w:fldCharType="end"/>
    </w:r>
  </w:p>
  <w:p w:rsidR="00BF314F" w:rsidRPr="0034246D" w:rsidRDefault="00BF314F">
    <w:pPr>
      <w:pStyle w:val="FSHRub1"/>
    </w:pPr>
    <w:r w:rsidRPr="0034246D">
      <w:t>Motion till riksdagen</w:t>
    </w:r>
    <w:r w:rsidRPr="0034246D">
      <w:br/>
    </w:r>
    <w:r w:rsidRPr="0034246D">
      <w:fldChar w:fldCharType="begin" w:fldLock="1"/>
    </w:r>
    <w:r w:rsidRPr="0034246D">
      <w:instrText xml:space="preserve"> DOCPROPERTY "YearUser" *\charformat </w:instrText>
    </w:r>
    <w:r w:rsidRPr="0034246D">
      <w:fldChar w:fldCharType="separate"/>
    </w:r>
    <w:r w:rsidR="0093458E" w:rsidRPr="0034246D">
      <w:t>2005/06</w:t>
    </w:r>
    <w:r w:rsidRPr="0034246D">
      <w:fldChar w:fldCharType="end"/>
    </w:r>
    <w:r w:rsidRPr="0034246D">
      <w:t>:</w:t>
    </w:r>
    <w:r w:rsidRPr="0034246D">
      <w:fldChar w:fldCharType="begin" w:fldLock="1"/>
    </w:r>
    <w:r w:rsidRPr="0034246D">
      <w:instrText xml:space="preserve"> DOCPROPERTY "Motionsnummer" *\charformat </w:instrText>
    </w:r>
    <w:r w:rsidRPr="0034246D">
      <w:fldChar w:fldCharType="separate"/>
    </w:r>
    <w:r w:rsidR="0093458E" w:rsidRPr="0034246D">
      <w:t>Fi307</w:t>
    </w:r>
    <w:r w:rsidRPr="0034246D">
      <w:fldChar w:fldCharType="end"/>
    </w:r>
  </w:p>
  <w:p w:rsidR="00BF314F" w:rsidRPr="0034246D" w:rsidRDefault="00BF314F">
    <w:pPr>
      <w:pStyle w:val="FSHNormalS5"/>
    </w:pPr>
    <w:r w:rsidRPr="0034246D">
      <w:fldChar w:fldCharType="begin" w:fldLock="1"/>
    </w:r>
    <w:r w:rsidRPr="0034246D">
      <w:instrText xml:space="preserve"> DOCPROPERTY "MotionarText" *\charformat </w:instrText>
    </w:r>
    <w:r w:rsidRPr="0034246D">
      <w:fldChar w:fldCharType="separate"/>
    </w:r>
    <w:r w:rsidR="0093458E" w:rsidRPr="0034246D">
      <w:t>av Per Landgren m.fl. (kd)</w:t>
    </w:r>
    <w:r w:rsidRPr="0034246D">
      <w:fldChar w:fldCharType="end"/>
    </w:r>
    <w:r w:rsidRPr="0034246D">
      <w:br/>
    </w:r>
    <w:r w:rsidRPr="0034246D">
      <w:fldChar w:fldCharType="begin" w:fldLock="1"/>
    </w:r>
    <w:r w:rsidRPr="0034246D">
      <w:instrText xml:space="preserve"> DOCPROPERTY "SvarFrasKort" *\charformat </w:instrText>
    </w:r>
    <w:r w:rsidRPr="0034246D">
      <w:fldChar w:fldCharType="end"/>
    </w:r>
  </w:p>
  <w:p w:rsidR="00BF314F" w:rsidRPr="0034246D" w:rsidRDefault="00BF314F">
    <w:pPr>
      <w:pStyle w:val="FSHTitel"/>
    </w:pPr>
    <w:r w:rsidRPr="0034246D">
      <w:fldChar w:fldCharType="begin" w:fldLock="1"/>
    </w:r>
    <w:r w:rsidRPr="0034246D">
      <w:instrText xml:space="preserve"> DOCPROPERTY</w:instrText>
    </w:r>
    <w:r w:rsidRPr="0034246D">
      <w:rPr>
        <w:sz w:val="18"/>
      </w:rPr>
      <w:instrText xml:space="preserve"> "RubrikSvar" *\charformat </w:instrText>
    </w:r>
    <w:r w:rsidRPr="0034246D">
      <w:fldChar w:fldCharType="separate"/>
    </w:r>
    <w:r w:rsidR="0093458E" w:rsidRPr="0034246D">
      <w:t>Fastighetsskatt</w:t>
    </w:r>
    <w:r w:rsidRPr="0034246D">
      <w:fldChar w:fldCharType="end"/>
    </w:r>
  </w:p>
  <w:p w:rsidR="00BF314F" w:rsidRPr="0034246D" w:rsidRDefault="00BF314F" w:rsidP="0088508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E8AEBFA"/>
    <w:lvl w:ilvl="0" w:tplc="3AF8A240">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D2C7B85"/>
    <w:multiLevelType w:val="multilevel"/>
    <w:tmpl w:val="CC92A0C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776563425">
    <w:abstractNumId w:val="13"/>
  </w:num>
  <w:num w:numId="2" w16cid:durableId="88308836">
    <w:abstractNumId w:val="10"/>
  </w:num>
  <w:num w:numId="3" w16cid:durableId="1698655660">
    <w:abstractNumId w:val="11"/>
  </w:num>
  <w:num w:numId="4" w16cid:durableId="591860501">
    <w:abstractNumId w:val="12"/>
  </w:num>
  <w:num w:numId="5" w16cid:durableId="853497788">
    <w:abstractNumId w:val="8"/>
  </w:num>
  <w:num w:numId="6" w16cid:durableId="452598563">
    <w:abstractNumId w:val="3"/>
  </w:num>
  <w:num w:numId="7" w16cid:durableId="1447771660">
    <w:abstractNumId w:val="2"/>
  </w:num>
  <w:num w:numId="8" w16cid:durableId="636685565">
    <w:abstractNumId w:val="1"/>
  </w:num>
  <w:num w:numId="9" w16cid:durableId="1891917840">
    <w:abstractNumId w:val="0"/>
  </w:num>
  <w:num w:numId="10" w16cid:durableId="404256511">
    <w:abstractNumId w:val="9"/>
  </w:num>
  <w:num w:numId="11" w16cid:durableId="1771702428">
    <w:abstractNumId w:val="7"/>
  </w:num>
  <w:num w:numId="12" w16cid:durableId="2084525180">
    <w:abstractNumId w:val="6"/>
  </w:num>
  <w:num w:numId="13" w16cid:durableId="1656059129">
    <w:abstractNumId w:val="5"/>
  </w:num>
  <w:num w:numId="14" w16cid:durableId="1122114953">
    <w:abstractNumId w:val="4"/>
  </w:num>
  <w:num w:numId="15" w16cid:durableId="13245483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605E49"/>
    <w:rsid w:val="00064BC3"/>
    <w:rsid w:val="00066775"/>
    <w:rsid w:val="00072FB9"/>
    <w:rsid w:val="00100531"/>
    <w:rsid w:val="00141D64"/>
    <w:rsid w:val="001423B7"/>
    <w:rsid w:val="00142A8F"/>
    <w:rsid w:val="00175FD4"/>
    <w:rsid w:val="001A5DCD"/>
    <w:rsid w:val="001B104F"/>
    <w:rsid w:val="00201DFB"/>
    <w:rsid w:val="00204A63"/>
    <w:rsid w:val="00212FF1"/>
    <w:rsid w:val="00230193"/>
    <w:rsid w:val="0025068A"/>
    <w:rsid w:val="002818D3"/>
    <w:rsid w:val="002C7CBA"/>
    <w:rsid w:val="002D11A8"/>
    <w:rsid w:val="0034246D"/>
    <w:rsid w:val="00384A15"/>
    <w:rsid w:val="003E1469"/>
    <w:rsid w:val="003F626F"/>
    <w:rsid w:val="00445271"/>
    <w:rsid w:val="004746E0"/>
    <w:rsid w:val="004A0504"/>
    <w:rsid w:val="004E38D9"/>
    <w:rsid w:val="00603C46"/>
    <w:rsid w:val="00605E49"/>
    <w:rsid w:val="00676722"/>
    <w:rsid w:val="006F14E7"/>
    <w:rsid w:val="00740D6D"/>
    <w:rsid w:val="00745BE2"/>
    <w:rsid w:val="00794149"/>
    <w:rsid w:val="007B67A7"/>
    <w:rsid w:val="007C6092"/>
    <w:rsid w:val="00885088"/>
    <w:rsid w:val="008A4DE5"/>
    <w:rsid w:val="008F7D74"/>
    <w:rsid w:val="009319B7"/>
    <w:rsid w:val="0093458E"/>
    <w:rsid w:val="00962557"/>
    <w:rsid w:val="00A053C6"/>
    <w:rsid w:val="00A51C86"/>
    <w:rsid w:val="00B13BF0"/>
    <w:rsid w:val="00B2233B"/>
    <w:rsid w:val="00BF314F"/>
    <w:rsid w:val="00C02B37"/>
    <w:rsid w:val="00C049E5"/>
    <w:rsid w:val="00C1285C"/>
    <w:rsid w:val="00C27B7D"/>
    <w:rsid w:val="00C30FD8"/>
    <w:rsid w:val="00C46E26"/>
    <w:rsid w:val="00CB0795"/>
    <w:rsid w:val="00CE6C68"/>
    <w:rsid w:val="00D1174F"/>
    <w:rsid w:val="00D52A4C"/>
    <w:rsid w:val="00D85237"/>
    <w:rsid w:val="00D96AA4"/>
    <w:rsid w:val="00DC6C70"/>
    <w:rsid w:val="00DD39DD"/>
    <w:rsid w:val="00E22893"/>
    <w:rsid w:val="00E360DE"/>
    <w:rsid w:val="00E65CEC"/>
    <w:rsid w:val="00E75D28"/>
    <w:rsid w:val="00E84F25"/>
    <w:rsid w:val="00E86E38"/>
    <w:rsid w:val="00ED00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30C585-7D78-4698-8C0F-49B3A8FF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3458E"/>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3458E"/>
    <w:pPr>
      <w:numPr>
        <w:ilvl w:val="1"/>
      </w:numPr>
      <w:spacing w:before="500" w:line="250" w:lineRule="exact"/>
      <w:outlineLvl w:val="1"/>
    </w:pPr>
    <w:rPr>
      <w:sz w:val="27"/>
    </w:rPr>
  </w:style>
  <w:style w:type="paragraph" w:styleId="Rubrik3">
    <w:name w:val="heading 3"/>
    <w:aliases w:val="Mellanrubrik"/>
    <w:basedOn w:val="Rubrik2"/>
    <w:next w:val="Normal"/>
    <w:qFormat/>
    <w:rsid w:val="0093458E"/>
    <w:pPr>
      <w:numPr>
        <w:ilvl w:val="2"/>
      </w:numPr>
      <w:spacing w:before="250" w:after="0"/>
      <w:outlineLvl w:val="2"/>
    </w:pPr>
    <w:rPr>
      <w:b/>
      <w:sz w:val="21"/>
    </w:rPr>
  </w:style>
  <w:style w:type="paragraph" w:styleId="Rubrik4">
    <w:name w:val="heading 4"/>
    <w:aliases w:val="KursivRubrik"/>
    <w:basedOn w:val="Rubrik3"/>
    <w:next w:val="Normal"/>
    <w:qFormat/>
    <w:rsid w:val="0093458E"/>
    <w:pPr>
      <w:numPr>
        <w:ilvl w:val="3"/>
      </w:numPr>
      <w:outlineLvl w:val="3"/>
    </w:pPr>
    <w:rPr>
      <w:b w:val="0"/>
      <w:i/>
    </w:rPr>
  </w:style>
  <w:style w:type="paragraph" w:styleId="Rubrik5">
    <w:name w:val="heading 5"/>
    <w:aliases w:val="PackadFetRubrik,PackadKursivRubrik"/>
    <w:basedOn w:val="Rubrik4"/>
    <w:next w:val="Normal"/>
    <w:qFormat/>
    <w:rsid w:val="0093458E"/>
    <w:pPr>
      <w:numPr>
        <w:ilvl w:val="4"/>
      </w:numPr>
      <w:tabs>
        <w:tab w:val="clear" w:pos="1021"/>
      </w:tabs>
      <w:spacing w:before="125"/>
      <w:outlineLvl w:val="4"/>
    </w:pPr>
    <w:rPr>
      <w:i w:val="0"/>
      <w:sz w:val="19"/>
    </w:rPr>
  </w:style>
  <w:style w:type="paragraph" w:styleId="Rubrik6">
    <w:name w:val="heading 6"/>
    <w:basedOn w:val="Rubrik5"/>
    <w:next w:val="Normal"/>
    <w:qFormat/>
    <w:rsid w:val="0093458E"/>
    <w:pPr>
      <w:numPr>
        <w:ilvl w:val="5"/>
      </w:numPr>
      <w:spacing w:before="50" w:line="200" w:lineRule="exact"/>
      <w:outlineLvl w:val="5"/>
    </w:pPr>
    <w:rPr>
      <w:caps/>
      <w:sz w:val="14"/>
    </w:rPr>
  </w:style>
  <w:style w:type="paragraph" w:styleId="Rubrik7">
    <w:name w:val="heading 7"/>
    <w:basedOn w:val="Rubrik6"/>
    <w:next w:val="Normal"/>
    <w:qFormat/>
    <w:rsid w:val="0093458E"/>
    <w:pPr>
      <w:numPr>
        <w:ilvl w:val="6"/>
      </w:numPr>
      <w:spacing w:before="0"/>
      <w:outlineLvl w:val="6"/>
    </w:pPr>
  </w:style>
  <w:style w:type="paragraph" w:styleId="Rubrik8">
    <w:name w:val="heading 8"/>
    <w:basedOn w:val="Rubrik7"/>
    <w:next w:val="Normal"/>
    <w:qFormat/>
    <w:rsid w:val="0093458E"/>
    <w:pPr>
      <w:numPr>
        <w:ilvl w:val="7"/>
      </w:numPr>
      <w:outlineLvl w:val="7"/>
    </w:pPr>
  </w:style>
  <w:style w:type="paragraph" w:styleId="Rubrik9">
    <w:name w:val="heading 9"/>
    <w:basedOn w:val="Rubrik8"/>
    <w:next w:val="Normal"/>
    <w:qFormat/>
    <w:rsid w:val="0093458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46E26"/>
    <w:pPr>
      <w:spacing w:after="250"/>
    </w:pPr>
  </w:style>
  <w:style w:type="paragraph" w:customStyle="1" w:styleId="Hemstlatt">
    <w:name w:val="Hemstl_att"/>
    <w:aliases w:val="HemstPunkt,HemstPunktFlera,HemställansPunkt,Förslagstext"/>
    <w:basedOn w:val="Normal"/>
    <w:next w:val="Normal"/>
    <w:rsid w:val="0088508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link w:val="BrdtextChar"/>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tnotsreferens">
    <w:name w:val="footnote reference"/>
    <w:basedOn w:val="Standardstycketeckensnitt"/>
    <w:semiHidden/>
    <w:rsid w:val="00A51C86"/>
    <w:rPr>
      <w:vertAlign w:val="superscript"/>
    </w:rPr>
  </w:style>
  <w:style w:type="character" w:customStyle="1" w:styleId="FormatmallAGaramond">
    <w:name w:val="Formatmall AGaramond"/>
    <w:basedOn w:val="Standardstycketeckensnitt"/>
    <w:rsid w:val="00A51C86"/>
    <w:rPr>
      <w:rFonts w:ascii="Garamond" w:hAnsi="Garamond"/>
      <w:sz w:val="22"/>
    </w:rPr>
  </w:style>
  <w:style w:type="paragraph" w:customStyle="1" w:styleId="TabellUnderrubrik">
    <w:name w:val="Tabell Underrubrik"/>
    <w:basedOn w:val="Normal"/>
    <w:next w:val="Brdtext"/>
    <w:rsid w:val="00A51C86"/>
    <w:pPr>
      <w:overflowPunct w:val="0"/>
      <w:autoSpaceDE w:val="0"/>
      <w:autoSpaceDN w:val="0"/>
      <w:adjustRightInd w:val="0"/>
      <w:spacing w:after="120" w:line="200" w:lineRule="exact"/>
      <w:textAlignment w:val="baseline"/>
    </w:pPr>
    <w:rPr>
      <w:rFonts w:ascii="Arial" w:hAnsi="Arial"/>
      <w:i/>
      <w:sz w:val="14"/>
    </w:rPr>
  </w:style>
  <w:style w:type="paragraph" w:styleId="Fotnotstext">
    <w:name w:val="footnote text"/>
    <w:basedOn w:val="Normal"/>
    <w:rsid w:val="00885088"/>
    <w:pPr>
      <w:spacing w:before="0" w:line="200" w:lineRule="exact"/>
    </w:pPr>
    <w:rPr>
      <w:sz w:val="16"/>
      <w:szCs w:val="16"/>
    </w:rPr>
  </w:style>
  <w:style w:type="paragraph" w:styleId="Ballongtext">
    <w:name w:val="Balloon Text"/>
    <w:basedOn w:val="Normal"/>
    <w:semiHidden/>
    <w:rsid w:val="00605E49"/>
    <w:rPr>
      <w:rFonts w:ascii="Tahoma" w:hAnsi="Tahoma" w:cs="Tahoma"/>
      <w:sz w:val="16"/>
      <w:szCs w:val="16"/>
    </w:rPr>
  </w:style>
  <w:style w:type="character" w:customStyle="1" w:styleId="BrdtextChar">
    <w:name w:val="Brödtext Char"/>
    <w:basedOn w:val="Standardstycketeckensnitt"/>
    <w:link w:val="Brdtext"/>
    <w:rsid w:val="008A4DE5"/>
    <w:rPr>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8516">
      <w:bodyDiv w:val="1"/>
      <w:marLeft w:val="0"/>
      <w:marRight w:val="0"/>
      <w:marTop w:val="0"/>
      <w:marBottom w:val="0"/>
      <w:divBdr>
        <w:top w:val="none" w:sz="0" w:space="0" w:color="auto"/>
        <w:left w:val="none" w:sz="0" w:space="0" w:color="auto"/>
        <w:bottom w:val="none" w:sz="0" w:space="0" w:color="auto"/>
        <w:right w:val="none" w:sz="0" w:space="0" w:color="auto"/>
      </w:divBdr>
    </w:div>
    <w:div w:id="578565423">
      <w:bodyDiv w:val="1"/>
      <w:marLeft w:val="0"/>
      <w:marRight w:val="0"/>
      <w:marTop w:val="0"/>
      <w:marBottom w:val="0"/>
      <w:divBdr>
        <w:top w:val="none" w:sz="0" w:space="0" w:color="auto"/>
        <w:left w:val="none" w:sz="0" w:space="0" w:color="auto"/>
        <w:bottom w:val="none" w:sz="0" w:space="0" w:color="auto"/>
        <w:right w:val="none" w:sz="0" w:space="0" w:color="auto"/>
      </w:divBdr>
    </w:div>
    <w:div w:id="674115413">
      <w:bodyDiv w:val="1"/>
      <w:marLeft w:val="0"/>
      <w:marRight w:val="0"/>
      <w:marTop w:val="0"/>
      <w:marBottom w:val="0"/>
      <w:divBdr>
        <w:top w:val="none" w:sz="0" w:space="0" w:color="auto"/>
        <w:left w:val="none" w:sz="0" w:space="0" w:color="auto"/>
        <w:bottom w:val="none" w:sz="0" w:space="0" w:color="auto"/>
        <w:right w:val="none" w:sz="0" w:space="0" w:color="auto"/>
      </w:divBdr>
    </w:div>
    <w:div w:id="902064604">
      <w:bodyDiv w:val="1"/>
      <w:marLeft w:val="0"/>
      <w:marRight w:val="0"/>
      <w:marTop w:val="0"/>
      <w:marBottom w:val="0"/>
      <w:divBdr>
        <w:top w:val="none" w:sz="0" w:space="0" w:color="auto"/>
        <w:left w:val="none" w:sz="0" w:space="0" w:color="auto"/>
        <w:bottom w:val="none" w:sz="0" w:space="0" w:color="auto"/>
        <w:right w:val="none" w:sz="0" w:space="0" w:color="auto"/>
      </w:divBdr>
    </w:div>
    <w:div w:id="1245215919">
      <w:bodyDiv w:val="1"/>
      <w:marLeft w:val="0"/>
      <w:marRight w:val="0"/>
      <w:marTop w:val="0"/>
      <w:marBottom w:val="0"/>
      <w:divBdr>
        <w:top w:val="none" w:sz="0" w:space="0" w:color="auto"/>
        <w:left w:val="none" w:sz="0" w:space="0" w:color="auto"/>
        <w:bottom w:val="none" w:sz="0" w:space="0" w:color="auto"/>
        <w:right w:val="none" w:sz="0" w:space="0" w:color="auto"/>
      </w:divBdr>
    </w:div>
    <w:div w:id="12489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5902</Words>
  <Characters>36711</Characters>
  <Application>Microsoft Office Word</Application>
  <DocSecurity>4</DocSecurity>
  <Lines>781</Lines>
  <Paragraphs>311</Paragraphs>
  <ScaleCrop>false</ScaleCrop>
  <HeadingPairs>
    <vt:vector size="2" baseType="variant">
      <vt:variant>
        <vt:lpstr>Rubrik</vt:lpstr>
      </vt:variant>
      <vt:variant>
        <vt:i4>1</vt:i4>
      </vt:variant>
    </vt:vector>
  </HeadingPairs>
  <TitlesOfParts>
    <vt:vector size="1" baseType="lpstr">
      <vt:lpstr>Fi307</vt:lpstr>
    </vt:vector>
  </TitlesOfParts>
  <Company>Riksdagen</Company>
  <LinksUpToDate>false</LinksUpToDate>
  <CharactersWithSpaces>42302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Fi307</dc:title>
  <dc:subject>Fi307</dc:subject>
  <dc:creator>Riksdagen</dc:creator>
  <cp:keywords>Riksdagen</cp:keywords>
  <dc:description/>
  <cp:lastModifiedBy>Lars Brink</cp:lastModifiedBy>
  <cp:revision>2</cp:revision>
  <cp:lastPrinted>2005-11-27T08:48:00Z</cp:lastPrinted>
  <dcterms:created xsi:type="dcterms:W3CDTF">2025-12-16T19:12:00Z</dcterms:created>
  <dcterms:modified xsi:type="dcterms:W3CDTF">2025-12-16T19:12:00Z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Fastighetsskatt</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Fastighetsskatt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Per Landgren m.fl. (kd)</vt:lpwstr>
  </property>
  <property fmtid="{D5CDD505-2E9C-101B-9397-08002B2CF9AE}" pid="26" name="MotionarLista">
    <vt:lpwstr>Landgren, Per (kd)\Odell, Mats (kd)\Lindén, Lars (kd)\Attefall, Stefan (kd)\Larsson, Maria (kd)\Oscarsson, Mikael (kd)\Enochson, Annelie (kd)\Gustafsson, Lars (kd)\Lindgren,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Landgren (kd), Mats Odell (kd), Lars Lindén (kd), Stefan Attefall (kd), Maria Larsson (kd), Mikael Oscarsson (kd), Annelie Enochson (kd), Lars Gustafsson (kd), 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Fi307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daniel.liljeberg@riksdagen.se</vt:lpwstr>
  </property>
  <property fmtid="{D5CDD505-2E9C-101B-9397-08002B2CF9AE}" pid="45" name="ReservUID">
    <vt:lpwstr>peter jansson</vt:lpwstr>
  </property>
  <property fmtid="{D5CDD505-2E9C-101B-9397-08002B2CF9AE}" pid="46" name="MotionID">
    <vt:lpwstr>20052006000001070100000003300075</vt:lpwstr>
  </property>
  <property fmtid="{D5CDD505-2E9C-101B-9397-08002B2CF9AE}" pid="47" name="datum">
    <vt:lpwstr>051005</vt:lpwstr>
  </property>
  <property fmtid="{D5CDD505-2E9C-101B-9397-08002B2CF9AE}" pid="48" name="avsändar-e-post">
    <vt:lpwstr>daniel.liljeberg@riksdagen.se</vt:lpwstr>
  </property>
  <property fmtid="{D5CDD505-2E9C-101B-9397-08002B2CF9AE}" pid="49" name="id">
    <vt:lpwstr>20052006000001070100000003300075</vt:lpwstr>
  </property>
  <property fmtid="{D5CDD505-2E9C-101B-9397-08002B2CF9AE}" pid="50" name="nummer">
    <vt:lpwstr>307</vt:lpwstr>
  </property>
  <property fmtid="{D5CDD505-2E9C-101B-9397-08002B2CF9AE}" pid="51" name="utskottsbeteckning">
    <vt:lpwstr>Fi</vt:lpwstr>
  </property>
</Properties>
</file>