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9F9" w:rsidRPr="00D239F9" w:rsidRDefault="00D239F9">
      <w:pPr>
        <w:pStyle w:val="Frslagsrubrik"/>
        <w:shd w:val="clear" w:color="000000" w:fill="auto"/>
      </w:pPr>
      <w:r w:rsidRPr="00D239F9">
        <w:t>Förslag till riksdagsbeslut</w:t>
      </w:r>
    </w:p>
    <w:p w:rsidR="00D239F9" w:rsidRPr="00D239F9" w:rsidRDefault="00D239F9">
      <w:pPr>
        <w:pStyle w:val="Hemstlatt"/>
        <w:numPr>
          <w:ilvl w:val="0"/>
          <w:numId w:val="1"/>
        </w:numPr>
        <w:shd w:val="clear" w:color="000000" w:fill="auto"/>
      </w:pPr>
      <w:r w:rsidRPr="00D239F9">
        <w:t>Riksdagen tillkännager för regeringen som sin mening vad som anförs i motionen om begreppen social samma</w:t>
      </w:r>
      <w:r w:rsidRPr="00D239F9">
        <w:t>n</w:t>
      </w:r>
      <w:r w:rsidRPr="00D239F9">
        <w:t>hållning och integration i samband med värdeöverföring.</w:t>
      </w:r>
    </w:p>
    <w:p w:rsidR="00D239F9" w:rsidRPr="00D239F9" w:rsidRDefault="00D239F9">
      <w:pPr>
        <w:pStyle w:val="Hemstlatt"/>
        <w:numPr>
          <w:ilvl w:val="0"/>
          <w:numId w:val="1"/>
        </w:numPr>
        <w:shd w:val="clear" w:color="000000" w:fill="auto"/>
      </w:pPr>
      <w:r w:rsidRPr="00D239F9">
        <w:t>Riksdagen tillkännager för regeringen som sin mening vad som anförs i motionen om svaga och vikande marknader.</w:t>
      </w:r>
    </w:p>
    <w:p w:rsidR="00D239F9" w:rsidRPr="00D239F9" w:rsidRDefault="00D239F9">
      <w:pPr>
        <w:pStyle w:val="Hemstlatt"/>
        <w:numPr>
          <w:ilvl w:val="0"/>
          <w:numId w:val="1"/>
        </w:numPr>
        <w:shd w:val="clear" w:color="000000" w:fill="auto"/>
      </w:pPr>
      <w:r w:rsidRPr="00D239F9">
        <w:t>Riksdagen tillkännager för regeringen som sin mening vad som anförs i motionen om att det s.k. påtaglighetsrekvisitet bör tas bort.</w:t>
      </w:r>
    </w:p>
    <w:p w:rsidR="00D239F9" w:rsidRPr="00D239F9" w:rsidRDefault="00D239F9">
      <w:pPr>
        <w:pStyle w:val="Hemstlatt"/>
        <w:numPr>
          <w:ilvl w:val="0"/>
          <w:numId w:val="1"/>
        </w:numPr>
        <w:shd w:val="clear" w:color="000000" w:fill="auto"/>
      </w:pPr>
      <w:r w:rsidRPr="00D239F9">
        <w:t>Riksdagen tillkännager för regeringen som sin mening vad som anförs i motionen om att skyddsregeln vid renovering och o</w:t>
      </w:r>
      <w:r w:rsidRPr="00D239F9">
        <w:t>m</w:t>
      </w:r>
      <w:r w:rsidRPr="00D239F9">
        <w:t>byggnad även ska gälla då hyresnämnden givit sitt godkännande till renovering eller ombyggnad av bostaden.</w:t>
      </w:r>
    </w:p>
    <w:p w:rsidR="00D239F9" w:rsidRPr="00D239F9" w:rsidRDefault="00D239F9">
      <w:pPr>
        <w:pStyle w:val="Hemstlatt"/>
        <w:numPr>
          <w:ilvl w:val="0"/>
          <w:numId w:val="1"/>
        </w:numPr>
        <w:shd w:val="clear" w:color="000000" w:fill="auto"/>
      </w:pPr>
      <w:r w:rsidRPr="00D239F9">
        <w:t>Riksdagen tillkännager för regeringen som sin mening vad som anförs i motionen om behov av utvärdering och utveckling av statistik.</w:t>
      </w:r>
    </w:p>
    <w:p w:rsidR="00D239F9" w:rsidRPr="00D239F9" w:rsidRDefault="00D239F9">
      <w:pPr>
        <w:pStyle w:val="Rubrik1"/>
        <w:shd w:val="clear" w:color="000000" w:fill="auto"/>
      </w:pPr>
      <w:r w:rsidRPr="00D239F9">
        <w:t>Motivering</w:t>
      </w:r>
    </w:p>
    <w:p w:rsidR="00D239F9" w:rsidRPr="00D239F9" w:rsidRDefault="00D239F9">
      <w:pPr>
        <w:shd w:val="clear" w:color="000000" w:fill="auto"/>
      </w:pPr>
      <w:r w:rsidRPr="00D239F9">
        <w:t>I regeringens proposition föreslås bl.a. en ny lag om allmännyttiga kommun</w:t>
      </w:r>
      <w:r w:rsidRPr="00D239F9">
        <w:t>a</w:t>
      </w:r>
      <w:r w:rsidRPr="00D239F9">
        <w:t>la bostadsaktiebolag. Ett kommunalt bostadsaktiebolag ska i allmännyttigt syfte förvalta fastigheter i vilka bostadslägenheter upplåts med hyresrätt, främja bostadsförsörjningen i den eller de kommuner som är ägare till bolaget och erbjuda hyresgästerna möjlighet till boendeinflytande och inflytande i bolaget. De allmännyttiga kommunala bostadsaktiebolagen ska bedriva ver</w:t>
      </w:r>
      <w:r w:rsidRPr="00D239F9">
        <w:t>k</w:t>
      </w:r>
      <w:r w:rsidRPr="00D239F9">
        <w:t>samheten enligt affärsmässiga principer och åläggas marknadsmässiga a</w:t>
      </w:r>
      <w:r w:rsidRPr="00D239F9">
        <w:t>v</w:t>
      </w:r>
      <w:r w:rsidRPr="00D239F9">
        <w:t xml:space="preserve">kastningskrav. </w:t>
      </w:r>
    </w:p>
    <w:p w:rsidR="00D239F9" w:rsidRPr="00D239F9" w:rsidRDefault="00D239F9">
      <w:pPr>
        <w:pStyle w:val="Normaltindrag"/>
        <w:shd w:val="clear" w:color="000000" w:fill="auto"/>
      </w:pPr>
      <w:r w:rsidRPr="00D239F9">
        <w:lastRenderedPageBreak/>
        <w:t>Regeringen föreslår en begränsning av värdeöverför</w:t>
      </w:r>
      <w:r w:rsidRPr="00D239F9">
        <w:t>ingar från allmännytt</w:t>
      </w:r>
      <w:r w:rsidRPr="00D239F9">
        <w:t>i</w:t>
      </w:r>
      <w:r w:rsidRPr="00D239F9">
        <w:t>ga kommunala bostadsaktiebolag som ger kommunen rätt till viss ersättning på tillskjutet kapital. Värdeöverföringar får emellertid inte överstiga hälften av det föregående verksamhetsårets vinst. Begränsningen av värdeöverförin</w:t>
      </w:r>
      <w:r w:rsidRPr="00D239F9">
        <w:t>g</w:t>
      </w:r>
      <w:r w:rsidRPr="00D239F9">
        <w:t>ar gäller inte för åtgärder inom ramen för kommunens bostadsförsörjningsa</w:t>
      </w:r>
      <w:r w:rsidRPr="00D239F9">
        <w:t>n</w:t>
      </w:r>
      <w:r w:rsidRPr="00D239F9">
        <w:t>svar som främjar integration och social sammanhållning eller tillgodoser bostadsbehovet för personer för vilka kommunen har ett särskilt ansvar. B</w:t>
      </w:r>
      <w:r w:rsidRPr="00D239F9">
        <w:t>e</w:t>
      </w:r>
      <w:r w:rsidRPr="00D239F9">
        <w:t>gränsningen gäller inte heller för översk</w:t>
      </w:r>
      <w:r w:rsidRPr="00D239F9">
        <w:t>ott från fastighetsförsäljningar som uppkommit under föregående räkenskapsår. Högst hälften av sådant överskott får delas ut utan andra begränsningar än att överföringen ska ha föregåtts av ett beslut av kommunfullmäktige. Begränsningen gäller inte heller för värd</w:t>
      </w:r>
      <w:r w:rsidRPr="00D239F9">
        <w:t>e</w:t>
      </w:r>
      <w:r w:rsidRPr="00D239F9">
        <w:t>överföringar mellan allmännyttiga kommunala bostadsaktiebolag inom sa</w:t>
      </w:r>
      <w:r w:rsidRPr="00D239F9">
        <w:t>m</w:t>
      </w:r>
      <w:r w:rsidRPr="00D239F9">
        <w:t xml:space="preserve">ma koncern. </w:t>
      </w:r>
    </w:p>
    <w:p w:rsidR="00D239F9" w:rsidRPr="00D239F9" w:rsidRDefault="00D239F9">
      <w:pPr>
        <w:pStyle w:val="Normaltindrag"/>
        <w:shd w:val="clear" w:color="000000" w:fill="auto"/>
        <w:rPr>
          <w:rFonts w:ascii="TimesNewRoman" w:hAnsi="TimesNewRoman" w:cs="TimesNewRoman"/>
          <w:sz w:val="20"/>
        </w:rPr>
      </w:pPr>
      <w:r w:rsidRPr="00D239F9">
        <w:rPr>
          <w:spacing w:val="-6"/>
        </w:rPr>
        <w:t>De allmännyttiga kommunala bostadsföretagens hyresnormerande roll föreslås ersättas med en normerande roll för kollektivt förhandlade hyror.</w:t>
      </w:r>
      <w:r w:rsidRPr="00D239F9">
        <w:t xml:space="preserve"> Det införs en skyddsregel mot att kraftiga hyreshöjningar får ett för snabbt genomslag. I hyresförhandlingslagen klargörs att den s.k. likhetsprincipen inte hindrar att skyddsregeln tillämpas när hyran bestäms i en förhandlingsöverenskommelse. Den nya lagen och lagändringarna föreslås träda i kraft den 1 januari 2011</w:t>
      </w:r>
      <w:r w:rsidRPr="00D239F9">
        <w:rPr>
          <w:sz w:val="20"/>
        </w:rPr>
        <w:t>.</w:t>
      </w:r>
    </w:p>
    <w:p w:rsidR="00D239F9" w:rsidRPr="00D239F9" w:rsidRDefault="00D239F9">
      <w:pPr>
        <w:pStyle w:val="Normaltindrag"/>
        <w:shd w:val="clear" w:color="000000" w:fill="auto"/>
      </w:pPr>
      <w:r w:rsidRPr="00D239F9">
        <w:t>Den socialdemokratiska regeringen tillsatte år 2005 en utredning för att se över allmännyttans villkor och förutsättningar.</w:t>
      </w:r>
      <w:r w:rsidRPr="00D239F9">
        <w:rPr>
          <w:rStyle w:val="Fotnotsreferens"/>
        </w:rPr>
        <w:footnoteReference w:id="1"/>
      </w:r>
      <w:r w:rsidRPr="00D239F9">
        <w:t xml:space="preserve"> Bakgrunden till uppdraget var flera. Bland annat hade de allmännyttiga och kommunala bostadsföretagens verksamhet kommit att ifrågasättas från olika håll. Grunderna för kritiken varierade. Hyresgästföreningen Riksförbundet hade fört fram kritik mot kommuner som bedriver verksamheten utan att fullt ut tillämpa de kommun</w:t>
      </w:r>
      <w:r w:rsidRPr="00D239F9">
        <w:t>a</w:t>
      </w:r>
      <w:r w:rsidRPr="00D239F9">
        <w:t>la självkostnads- respektive likställighetsprinciperna. Kritik med motsatta förtecken knöt an till EG-rättsliga principer och frågan om hur dessa ska tillämpas på bostadssektorn. Bland annat</w:t>
      </w:r>
      <w:r w:rsidRPr="00D239F9">
        <w:t xml:space="preserve"> hade Fastighetsägarna år 2002, genom sin europeiska fastighetsägarorganisation, anmält den svenska staten för öve</w:t>
      </w:r>
      <w:r w:rsidRPr="00D239F9">
        <w:t>r</w:t>
      </w:r>
      <w:r w:rsidRPr="00D239F9">
        <w:t>trädelse av EG:s statsstödsregler. Ytterligare en anmälan gjordes av organis</w:t>
      </w:r>
      <w:r w:rsidRPr="00D239F9">
        <w:t>a</w:t>
      </w:r>
      <w:r w:rsidRPr="00D239F9">
        <w:t xml:space="preserve">tionen 2005. </w:t>
      </w:r>
    </w:p>
    <w:p w:rsidR="00D239F9" w:rsidRPr="00D239F9" w:rsidRDefault="00D239F9">
      <w:pPr>
        <w:pStyle w:val="Normaltindrag"/>
        <w:shd w:val="clear" w:color="000000" w:fill="auto"/>
        <w:rPr>
          <w:color w:val="000000"/>
        </w:rPr>
      </w:pPr>
      <w:r w:rsidRPr="00D239F9">
        <w:rPr>
          <w:color w:val="000000"/>
        </w:rPr>
        <w:t xml:space="preserve">Den socialdemokratiska regeringen gav utredaren i uppdrag att undersöka vilka förändringar som var nödvändiga </w:t>
      </w:r>
      <w:r w:rsidRPr="00D239F9">
        <w:t>i de lagar och förordningar som direkt styr villkoren för hyresmarknaden i allmänhet och för de allmännyttiga och kommunala bostadsföretagen i synnerhet. En central utgångspunkt för den dåvarande regeringen var att hyressättningssystemet även fortsättningsvis skulle innehåll en spärr mot oskäliga hyror och garantier för ett reellt besit</w:t>
      </w:r>
      <w:r w:rsidRPr="00D239F9">
        <w:t>t</w:t>
      </w:r>
      <w:r w:rsidRPr="00D239F9">
        <w:t>ningsskydd. Eventuella förslag från utredaren skulle även utformas med hä</w:t>
      </w:r>
      <w:r w:rsidRPr="00D239F9">
        <w:t>n</w:t>
      </w:r>
      <w:r w:rsidRPr="00D239F9">
        <w:t>syn till intresset av att slå vakt om kärnan i den svenska bostadspolitiken, inklusive grunderna fö</w:t>
      </w:r>
      <w:r w:rsidRPr="00D239F9">
        <w:t>r allmännyttans och de kommunala bostadsföretagens roll.</w:t>
      </w:r>
    </w:p>
    <w:p w:rsidR="00D239F9" w:rsidRPr="00D239F9" w:rsidRDefault="00D239F9">
      <w:pPr>
        <w:pStyle w:val="Normaltindrag"/>
        <w:shd w:val="clear" w:color="000000" w:fill="auto"/>
      </w:pPr>
      <w:r w:rsidRPr="00D239F9">
        <w:t>Den borgerliga regeringen beslutade dock 2007 om tilläggsdirektiv till u</w:t>
      </w:r>
      <w:r w:rsidRPr="00D239F9">
        <w:t>t</w:t>
      </w:r>
      <w:r w:rsidRPr="00D239F9">
        <w:t>redningen som därmed fick en helt annan inriktning. Den borgerliga regerin</w:t>
      </w:r>
      <w:r w:rsidRPr="00D239F9">
        <w:t>g</w:t>
      </w:r>
      <w:r w:rsidRPr="00D239F9">
        <w:t>en ansåg att ”utredaren behöver ett bredare mandat för att kunna föreslå såd</w:t>
      </w:r>
      <w:r w:rsidRPr="00D239F9">
        <w:t>a</w:t>
      </w:r>
      <w:r w:rsidRPr="00D239F9">
        <w:t>na ändringar som bedöms nödvändiga med hänsyn till EG-rätten”. Vidare framfördes att det krävdes en större reformering av villkoren för de komm</w:t>
      </w:r>
      <w:r w:rsidRPr="00D239F9">
        <w:t>u</w:t>
      </w:r>
      <w:r w:rsidRPr="00D239F9">
        <w:t>nala bostadsföretagen, men också förutsättningarna för hyresmarknaden i dess helhet.</w:t>
      </w:r>
      <w:r w:rsidRPr="00D239F9">
        <w:rPr>
          <w:rStyle w:val="Fotnotsreferens"/>
        </w:rPr>
        <w:footnoteReference w:id="2"/>
      </w:r>
    </w:p>
    <w:p w:rsidR="00D239F9" w:rsidRPr="00D239F9" w:rsidRDefault="00D239F9">
      <w:pPr>
        <w:pStyle w:val="Normaltindrag"/>
        <w:shd w:val="clear" w:color="000000" w:fill="auto"/>
      </w:pPr>
      <w:r w:rsidRPr="00D239F9">
        <w:t>Utredningen EU, allmännyttan och hyrorna (SOU 2008:38) presenterade sina förslag i mars 2008. Utredningens förslag möttes av en massiv kritik, inte minst från bostadsmarknadens parter. Regeringen har därefter varit oförm</w:t>
      </w:r>
      <w:r w:rsidRPr="00D239F9">
        <w:t>ö</w:t>
      </w:r>
      <w:r w:rsidRPr="00D239F9">
        <w:t>gen att ge besked. Beredningen har dragits i långbänk, vilket orsakat onödig oro och osäkerhet på hyresmarknaden, både för hyresgästerna och för b</w:t>
      </w:r>
      <w:r w:rsidRPr="00D239F9">
        <w:t>o</w:t>
      </w:r>
      <w:r w:rsidRPr="00D239F9">
        <w:t>stadsföretagen.</w:t>
      </w:r>
    </w:p>
    <w:p w:rsidR="00D239F9" w:rsidRPr="00D239F9" w:rsidRDefault="00D239F9">
      <w:pPr>
        <w:pStyle w:val="Normaltindrag"/>
        <w:shd w:val="clear" w:color="000000" w:fill="auto"/>
      </w:pPr>
      <w:r w:rsidRPr="00D239F9">
        <w:t>Vi vill därför lyfta fram den avgörande betydelse som bostadsmarknadens parter, Hyresgästföreningen och Sveriges allmännyttiga bostadsföretag Sabo och sedermera även Fastighetsägarna, har haft för att få fram förslag till or</w:t>
      </w:r>
      <w:r w:rsidRPr="00D239F9">
        <w:t>d</w:t>
      </w:r>
      <w:r w:rsidRPr="00D239F9">
        <w:t xml:space="preserve">ning med förutsättningar att nå en bred politisk enighet. </w:t>
      </w:r>
    </w:p>
    <w:p w:rsidR="00D239F9" w:rsidRPr="00D239F9" w:rsidRDefault="00D239F9">
      <w:pPr>
        <w:pStyle w:val="Normaltindrag"/>
        <w:shd w:val="clear" w:color="000000" w:fill="auto"/>
      </w:pPr>
      <w:r w:rsidRPr="00D239F9">
        <w:t>Det är en självklar utgångspunkt för Socialdemokraterna att slå vakt om hyresgästernas rättigheter och trygghet i boendet. Det kräver att ett bruksvä</w:t>
      </w:r>
      <w:r w:rsidRPr="00D239F9">
        <w:t>r</w:t>
      </w:r>
      <w:r w:rsidRPr="00D239F9">
        <w:t>dessystem för hyressättningen garanteras. Likvärdiga lägenheter ska ges lika hyror. Hyresgästerna behöver skyddas mot oskäliga och kraftiga hyreshö</w:t>
      </w:r>
      <w:r w:rsidRPr="00D239F9">
        <w:t>j</w:t>
      </w:r>
      <w:r w:rsidRPr="00D239F9">
        <w:t>ningar.</w:t>
      </w:r>
    </w:p>
    <w:p w:rsidR="00D239F9" w:rsidRPr="00D239F9" w:rsidRDefault="00D239F9">
      <w:pPr>
        <w:pStyle w:val="Normaltindrag"/>
        <w:shd w:val="clear" w:color="000000" w:fill="auto"/>
      </w:pPr>
      <w:r w:rsidRPr="00D239F9">
        <w:t>Vi kan konstatera att förslaget från bostadsmarknadens parter, som rege</w:t>
      </w:r>
      <w:r w:rsidRPr="00D239F9">
        <w:t>r</w:t>
      </w:r>
      <w:r w:rsidRPr="00D239F9">
        <w:t>ingens proposition i huvudsak vilar på, innebär att kärnan i den svenska b</w:t>
      </w:r>
      <w:r w:rsidRPr="00D239F9">
        <w:t>o</w:t>
      </w:r>
      <w:r w:rsidRPr="00D239F9">
        <w:t>stadspolitiken står intakt och att hyressättningen på bostadsmarknaden även fortsättningsvis ska styras av bruksvärde som garanteras genom kollektivt förhandlade hyror. Hyressättningen förblir en förhandlingsfråga för parterna. Förslaget innebär även att de planer som funnits om att möjliggöra för mar</w:t>
      </w:r>
      <w:r w:rsidRPr="00D239F9">
        <w:t>k</w:t>
      </w:r>
      <w:r w:rsidRPr="00D239F9">
        <w:t>nadshyror på svensk hyresmarknad därmed kan anses vara stoppade. Vi fi</w:t>
      </w:r>
      <w:r w:rsidRPr="00D239F9">
        <w:t>n</w:t>
      </w:r>
      <w:r w:rsidRPr="00D239F9">
        <w:t>ner med detta ingen anledning att motsätta oss huvudinriktning</w:t>
      </w:r>
      <w:r w:rsidRPr="00D239F9">
        <w:t>en i propos</w:t>
      </w:r>
      <w:r w:rsidRPr="00D239F9">
        <w:t>i</w:t>
      </w:r>
      <w:r w:rsidRPr="00D239F9">
        <w:t>tionen utan ställer oss bakom de huvudsakliga principerna. Behovet av lån</w:t>
      </w:r>
      <w:r w:rsidRPr="00D239F9">
        <w:t>g</w:t>
      </w:r>
      <w:r w:rsidRPr="00D239F9">
        <w:t xml:space="preserve">siktiga och stabila villkor för svensk hyresmarknad är av avgörande betydelse för en framgångsrik hållbar och social bostadspolitik. </w:t>
      </w:r>
    </w:p>
    <w:p w:rsidR="00D239F9" w:rsidRPr="00D239F9" w:rsidRDefault="00D239F9">
      <w:pPr>
        <w:pStyle w:val="Normaltindrag"/>
        <w:shd w:val="clear" w:color="000000" w:fill="auto"/>
      </w:pPr>
      <w:r w:rsidRPr="00D239F9">
        <w:t>Vi finner dock att vissa delar av regeringens förslag är bristfälliga och dä</w:t>
      </w:r>
      <w:r w:rsidRPr="00D239F9">
        <w:t>r</w:t>
      </w:r>
      <w:r w:rsidRPr="00D239F9">
        <w:t>för bör kompletteras. Vi har valt att i denna motion ta upp några sådana pun</w:t>
      </w:r>
      <w:r w:rsidRPr="00D239F9">
        <w:t>k</w:t>
      </w:r>
      <w:r w:rsidRPr="00D239F9">
        <w:t xml:space="preserve">ter. </w:t>
      </w:r>
    </w:p>
    <w:p w:rsidR="00D239F9" w:rsidRPr="00D239F9" w:rsidRDefault="00D239F9">
      <w:pPr>
        <w:pStyle w:val="Rubrik2"/>
        <w:shd w:val="clear" w:color="000000" w:fill="auto"/>
      </w:pPr>
      <w:r w:rsidRPr="00D239F9">
        <w:t>Allmännyttans betydelse för bostadsförsörjningen</w:t>
      </w:r>
    </w:p>
    <w:p w:rsidR="00D239F9" w:rsidRPr="00D239F9" w:rsidRDefault="00D239F9">
      <w:pPr>
        <w:shd w:val="clear" w:color="000000" w:fill="auto"/>
      </w:pPr>
      <w:r w:rsidRPr="00D239F9">
        <w:t>Vi vill värna och utveckla allmännyttan för att bättre möta samhällets och de enskilda boendes och bostadssökandes krav. De allmännyttiga bostadsbolagen är ett av de viktigaste verktygen för att klara bostadsförsörjningen. Det är därför av avgörande vikt att de allmännyttiga bostadsbolagen ges förutsät</w:t>
      </w:r>
      <w:r w:rsidRPr="00D239F9">
        <w:t>t</w:t>
      </w:r>
      <w:r w:rsidRPr="00D239F9">
        <w:t>ningar att vara livskraftiga och ekonomiskt starka föregångare och leda u</w:t>
      </w:r>
      <w:r w:rsidRPr="00D239F9">
        <w:t>t</w:t>
      </w:r>
      <w:r w:rsidRPr="00D239F9">
        <w:t>vecklingen mot framtidens boende. I egenskap av demokratiskt ägda företag ska de verka för allmännyttiga mål och syfte.</w:t>
      </w:r>
    </w:p>
    <w:p w:rsidR="00D239F9" w:rsidRPr="00D239F9" w:rsidRDefault="00D239F9">
      <w:pPr>
        <w:pStyle w:val="Normaltindrag"/>
        <w:shd w:val="clear" w:color="000000" w:fill="auto"/>
      </w:pPr>
      <w:r w:rsidRPr="00D239F9">
        <w:t>I detta sammanhang ser vi även positivt på regeringens förslag om att mö</w:t>
      </w:r>
      <w:r w:rsidRPr="00D239F9">
        <w:t>j</w:t>
      </w:r>
      <w:r w:rsidRPr="00D239F9">
        <w:t>liggöra för flera kommuner att tillsammans äga ett gemensamt allmännyttigt bostadsbolag. Ökade möjligheter till en regional allmännytta kan underlätta för rörligheten på bostadsmarknaden, vilket är av stor vikt för en fungerande arbetsmarknad. En regional allmännytta kan även skapa förutsättningar för mer ekonomiskt uthålliga bostadsbolag.</w:t>
      </w:r>
    </w:p>
    <w:p w:rsidR="00D239F9" w:rsidRPr="00D239F9" w:rsidRDefault="00D239F9">
      <w:pPr>
        <w:pStyle w:val="Normaltindrag"/>
        <w:shd w:val="clear" w:color="000000" w:fill="auto"/>
      </w:pPr>
      <w:r w:rsidRPr="00D239F9">
        <w:t>Det förtjänar att i sammanhanget påpekas att regeringen under mandatp</w:t>
      </w:r>
      <w:r w:rsidRPr="00D239F9">
        <w:t>e</w:t>
      </w:r>
      <w:r w:rsidRPr="00D239F9">
        <w:t>rioden försämrat villkoren för hyresrätten och kraftigt försämrat förutsät</w:t>
      </w:r>
      <w:r w:rsidRPr="00D239F9">
        <w:t>t</w:t>
      </w:r>
      <w:r w:rsidRPr="00D239F9">
        <w:t xml:space="preserve">ningarna för bostadsbyggande. Bostadsbyggandet är nere på mycket låga nivåer, andelen hyresrätter i det svenska bostadsbeståndet har minskat och bostadsbristen är stor. Sverige behöver en ny hållbar bostadspolitik som kan vända utvecklingen. Några sådana ambitioner eller förslag presenteras inte i regeringens förslag till proposition. </w:t>
      </w:r>
    </w:p>
    <w:p w:rsidR="00D239F9" w:rsidRPr="00D239F9" w:rsidRDefault="00D239F9">
      <w:pPr>
        <w:pStyle w:val="Rubrik2"/>
        <w:shd w:val="clear" w:color="000000" w:fill="auto"/>
      </w:pPr>
      <w:r w:rsidRPr="00D239F9">
        <w:t xml:space="preserve">Värdeöverföring </w:t>
      </w:r>
    </w:p>
    <w:p w:rsidR="00D239F9" w:rsidRPr="00D239F9" w:rsidRDefault="00D239F9">
      <w:pPr>
        <w:shd w:val="clear" w:color="000000" w:fill="auto"/>
      </w:pPr>
      <w:r w:rsidRPr="00D239F9">
        <w:t>Regeringen föreslår att en begränsning i värdeöverföringar inte ska gälla för överflyttning av hälften av nettoöverskottet som uppkommit vid avyttring av fastigheter under föregående räkenskapsår. Detta under förutsättning att fr</w:t>
      </w:r>
      <w:r w:rsidRPr="00D239F9">
        <w:t>å</w:t>
      </w:r>
      <w:r w:rsidRPr="00D239F9">
        <w:t>gan beslutats av kommunfullmäktige. Vi vill i samband med detta understr</w:t>
      </w:r>
      <w:r w:rsidRPr="00D239F9">
        <w:t>y</w:t>
      </w:r>
      <w:r w:rsidRPr="00D239F9">
        <w:t>ka den betydelse en lokal debatt har såväl inför beslut om omfattande utfö</w:t>
      </w:r>
      <w:r w:rsidRPr="00D239F9">
        <w:t>r</w:t>
      </w:r>
      <w:r w:rsidRPr="00D239F9">
        <w:t>säljningar av allmännyttiga hyreslägenheter som vid efterkommande värd</w:t>
      </w:r>
      <w:r w:rsidRPr="00D239F9">
        <w:t>e</w:t>
      </w:r>
      <w:r w:rsidRPr="00D239F9">
        <w:t>överföringar. Inte minst i Stockholm har de omfattande ombildningarna av hyresrätter till bostadsrätter minskat mångfalden i boendet, vilket understr</w:t>
      </w:r>
      <w:r w:rsidRPr="00D239F9">
        <w:t>y</w:t>
      </w:r>
      <w:r w:rsidRPr="00D239F9">
        <w:t xml:space="preserve">ker att dessa frågor behöver ges utrymme i debatten i samband med att den lokala politiken läggs fast. </w:t>
      </w:r>
    </w:p>
    <w:p w:rsidR="00D239F9" w:rsidRPr="00D239F9" w:rsidRDefault="00D239F9">
      <w:pPr>
        <w:pStyle w:val="Normaltindrag"/>
        <w:shd w:val="clear" w:color="000000" w:fill="auto"/>
      </w:pPr>
      <w:r w:rsidRPr="00D239F9">
        <w:t>Vidare gör regeringen i sin propositio</w:t>
      </w:r>
      <w:r w:rsidRPr="00D239F9">
        <w:t>n det möjligt att utan begränsning föra över överskott från de kommunala bostadsföretagen som uppkommit under föregående räkenskapsår förutsatt att överskottet används för åtgärder inom ramen för kommunernas bostadsförsörjningsansvar som främjar integr</w:t>
      </w:r>
      <w:r w:rsidRPr="00D239F9">
        <w:t>a</w:t>
      </w:r>
      <w:r w:rsidRPr="00D239F9">
        <w:t xml:space="preserve">tion och social sammanhållning. </w:t>
      </w:r>
    </w:p>
    <w:p w:rsidR="00D239F9" w:rsidRPr="00D239F9" w:rsidRDefault="00D239F9">
      <w:pPr>
        <w:pStyle w:val="Normaltindrag"/>
        <w:shd w:val="clear" w:color="000000" w:fill="auto"/>
      </w:pPr>
      <w:r w:rsidRPr="00D239F9">
        <w:t>Vi saknar en mer djuplodande beskrivning av vad som avses med åtgärder som främjar integration och social sammanhållning. Det faktum att dessa begrepp kan tolkas såväl snävt som brett innebär att olika praxis kan komma att väx</w:t>
      </w:r>
      <w:r w:rsidRPr="00D239F9">
        <w:t>a fram i olika kommuner. Risken finns därmed att de intentioner rege</w:t>
      </w:r>
      <w:r w:rsidRPr="00D239F9">
        <w:t>r</w:t>
      </w:r>
      <w:r w:rsidRPr="00D239F9">
        <w:t>ing och riksdag har med den föreslagna lagstiftningen i praktiken inte ko</w:t>
      </w:r>
      <w:r w:rsidRPr="00D239F9">
        <w:t>m</w:t>
      </w:r>
      <w:r w:rsidRPr="00D239F9">
        <w:t xml:space="preserve">mer att realiseras. </w:t>
      </w:r>
    </w:p>
    <w:p w:rsidR="00D239F9" w:rsidRPr="00D239F9" w:rsidRDefault="00D239F9">
      <w:pPr>
        <w:pStyle w:val="Rubrik2"/>
        <w:shd w:val="clear" w:color="000000" w:fill="auto"/>
      </w:pPr>
      <w:r w:rsidRPr="00D239F9">
        <w:t>Vikande bostadsmarknader</w:t>
      </w:r>
    </w:p>
    <w:p w:rsidR="00D239F9" w:rsidRPr="00D239F9" w:rsidRDefault="00D239F9">
      <w:pPr>
        <w:shd w:val="clear" w:color="000000" w:fill="auto"/>
      </w:pPr>
      <w:r w:rsidRPr="00D239F9">
        <w:t>Vi kan konstatera att regeringen inte lyckats presentera ett heltäckande förslag vad gäller förutsättningar för de allmännyttiga kommunala bolagen. Den demografiska utvecklingen innebär att bostadsbristen ökar, inte minst i våra större städer och högskolekommuner. Samtidigt innebär utvecklingen att bostadsöverskottet växer i många andra kommuner.</w:t>
      </w:r>
    </w:p>
    <w:p w:rsidR="00D239F9" w:rsidRPr="00D239F9" w:rsidRDefault="00D239F9">
      <w:pPr>
        <w:pStyle w:val="Normaltindrag"/>
        <w:shd w:val="clear" w:color="000000" w:fill="auto"/>
      </w:pPr>
      <w:r w:rsidRPr="00D239F9">
        <w:t>På flera orter i landet är frågan om svaga och vikande bostadsmarknader ett faktum. Befolkningsunderlaget minskar samtidigt som bostadsbeståndet på dessa orter kan vara i behov av såväl modernisering, upprustning och tillgän</w:t>
      </w:r>
      <w:r w:rsidRPr="00D239F9">
        <w:t>g</w:t>
      </w:r>
      <w:r w:rsidRPr="00D239F9">
        <w:t xml:space="preserve">lighetsanpassning. Bostäder kan stå outhyrda under längre tid och därmed orsaka en stor ekonomisk belastning för bostadsbolaget samtidigt som trivseln i bostadsområdet påverkas negativt. Det lokala bostadsbehovet kan dessutom förändras över tid, vilket ställer nya krav på de befintliga bostäderna, och behov av nybyggnation kan finnas trots att bostadsmarknaden som helhet anses svag. Även på vikande bostadsmarknader finns det således behov av en livskraftig och ekonomiskt stark allmännytta. </w:t>
      </w:r>
    </w:p>
    <w:p w:rsidR="00D239F9" w:rsidRPr="00D239F9" w:rsidRDefault="00D239F9">
      <w:pPr>
        <w:pStyle w:val="Normaltindrag"/>
        <w:shd w:val="clear" w:color="000000" w:fill="auto"/>
      </w:pPr>
      <w:r w:rsidRPr="00D239F9">
        <w:t>Regeringen komm</w:t>
      </w:r>
      <w:r w:rsidRPr="00D239F9">
        <w:t>er inte med några förslag på hur de allmännyttiga b</w:t>
      </w:r>
      <w:r w:rsidRPr="00D239F9">
        <w:t>o</w:t>
      </w:r>
      <w:r w:rsidRPr="00D239F9">
        <w:t xml:space="preserve">stadsaktiebolagen på svaga och vikande bostadsmarknader ska ges långsiktiga förutsättningar att erbjuda bra boende. I stället nöjer sig regeringen med att konstatera att allmännyttan på dessa marknader kan behöva rekonstrueras för strukturella överskott på bostäder och att den kan behöva effektivisera sin verksamhet och minska sina drift- och underhållskostnader samt att det i särskilda fall även fortsättningsvis kan bli aktuellt med statliga insatser för </w:t>
      </w:r>
      <w:r w:rsidRPr="00D239F9">
        <w:t>att en sådan omstrukturering ska kunna genomföras. Slutligen hänvisar regerin</w:t>
      </w:r>
      <w:r w:rsidRPr="00D239F9">
        <w:t>g</w:t>
      </w:r>
      <w:r w:rsidRPr="00D239F9">
        <w:t>en till att man avser att se över frågan om hur en stödordning för bostadsför</w:t>
      </w:r>
      <w:r w:rsidRPr="00D239F9">
        <w:t>e</w:t>
      </w:r>
      <w:r w:rsidRPr="00D239F9">
        <w:t xml:space="preserve">tag i kris på svaga bostadsmarknader som uppfyller EU-rättens krav kan genomföras. </w:t>
      </w:r>
    </w:p>
    <w:p w:rsidR="00D239F9" w:rsidRPr="00D239F9" w:rsidRDefault="00D239F9">
      <w:pPr>
        <w:pStyle w:val="Normaltindrag"/>
        <w:shd w:val="clear" w:color="000000" w:fill="auto"/>
      </w:pPr>
      <w:r w:rsidRPr="00D239F9">
        <w:t>Vi menar att det är en stor brist att regeringen inte lyckats presentera fö</w:t>
      </w:r>
      <w:r w:rsidRPr="00D239F9">
        <w:t>r</w:t>
      </w:r>
      <w:r w:rsidRPr="00D239F9">
        <w:t>slag i denna del. En reformerad politik för de allmännyttiga bostadsaktiebol</w:t>
      </w:r>
      <w:r w:rsidRPr="00D239F9">
        <w:t>a</w:t>
      </w:r>
      <w:r w:rsidRPr="00D239F9">
        <w:t>gen kan inte anses fullgod förrän förslag finns för att säkra en fullgod b</w:t>
      </w:r>
      <w:r w:rsidRPr="00D239F9">
        <w:t>o</w:t>
      </w:r>
      <w:r w:rsidRPr="00D239F9">
        <w:t xml:space="preserve">stadsförsörjning även på svaga och vikande bostadsmarknader. </w:t>
      </w:r>
    </w:p>
    <w:p w:rsidR="00D239F9" w:rsidRPr="00D239F9" w:rsidRDefault="00D239F9">
      <w:pPr>
        <w:pStyle w:val="Rubrik2"/>
        <w:shd w:val="clear" w:color="000000" w:fill="auto"/>
      </w:pPr>
      <w:r w:rsidRPr="00D239F9">
        <w:t xml:space="preserve">Påtaglighetsrekvisitet </w:t>
      </w:r>
    </w:p>
    <w:p w:rsidR="00D239F9" w:rsidRPr="00D239F9" w:rsidRDefault="00D239F9">
      <w:pPr>
        <w:shd w:val="clear" w:color="000000" w:fill="auto"/>
      </w:pPr>
      <w:r w:rsidRPr="00D239F9">
        <w:t xml:space="preserve">Trots att allmännyttans hyresnormerande roll ersätts med en normerande roll för kollektivt förhandlade hyror finns det s.k. påtaglighetsrekvisitet kvar i jordabalkens 12 kap. 55 §. Trots löften från ansvarigt statsråd om att detta rekvisit skulle tas bort finns det kvar i regeringens förslag till ny lagstiftning. Detta är mycket allvarligt och riskerar att driva upp hyresnivåerna. Vi menar att detta rekvisit är en rest från tidigare ordning och därför bör tas bort. </w:t>
      </w:r>
    </w:p>
    <w:p w:rsidR="00D239F9" w:rsidRPr="00D239F9" w:rsidRDefault="00D239F9">
      <w:pPr>
        <w:pStyle w:val="Rubrik2"/>
        <w:shd w:val="clear" w:color="000000" w:fill="auto"/>
      </w:pPr>
      <w:r w:rsidRPr="00D239F9">
        <w:t>Förstärkt skydd vid ombyggnad och renovering</w:t>
      </w:r>
    </w:p>
    <w:p w:rsidR="00D239F9" w:rsidRPr="00D239F9" w:rsidRDefault="00D239F9">
      <w:pPr>
        <w:shd w:val="clear" w:color="000000" w:fill="auto"/>
      </w:pPr>
      <w:r w:rsidRPr="00D239F9">
        <w:t xml:space="preserve">Hyresgästernas skydd mot kraftiga och snabba hyreshöjningar är väsentligt för ett reellt besittningsskydd. Vi välkomnar därför att en s.k. skyddsregel införs vars innebörd gör det möjligt för hyresnämnden att fastställa att en hyra ska betalas med lägre belopp under en skälig tid. </w:t>
      </w:r>
    </w:p>
    <w:p w:rsidR="00D239F9" w:rsidRPr="00D239F9" w:rsidRDefault="00D239F9">
      <w:pPr>
        <w:pStyle w:val="Normaltindrag"/>
        <w:shd w:val="clear" w:color="000000" w:fill="auto"/>
      </w:pPr>
      <w:r w:rsidRPr="00D239F9">
        <w:t>Vi anser dock att det finns en avgörande brist i regeringens förslag vad gäller hyreshöjningar till följd av ombyggnad och upprustning. Regeringens förslag innebär att undantag från skyddsregeln vid ombyggnad ges i de fall hyresgästen gett sitt tillstånd eller hyresnämnden lämnat sitt godkännande. Detta innebär i praktiken att hyresgästen står utan skydd för en snabb och kraftig hyreshöjning i de fall fastighetsvärden vill bygga om, renovera eller genomföra standardhöjande åtgärder i en lägenhet utan hyres</w:t>
      </w:r>
      <w:r w:rsidRPr="00D239F9">
        <w:t>gästens godkä</w:t>
      </w:r>
      <w:r w:rsidRPr="00D239F9">
        <w:t>n</w:t>
      </w:r>
      <w:r w:rsidRPr="00D239F9">
        <w:t>nande. Regeringens förslag riskerar därmed det reella besittningsskyddet.</w:t>
      </w:r>
    </w:p>
    <w:p w:rsidR="00D239F9" w:rsidRPr="00D239F9" w:rsidRDefault="00D239F9">
      <w:pPr>
        <w:pStyle w:val="Normaltindrag"/>
        <w:shd w:val="clear" w:color="000000" w:fill="auto"/>
        <w:rPr>
          <w:color w:val="000000"/>
        </w:rPr>
      </w:pPr>
      <w:r w:rsidRPr="00D239F9">
        <w:t>Vi anser att det bör införas ett mer robust regelverk som vid ombyggnad ger hyresgästerna ett avgörande inflytande. En viktig del i detta är att unda</w:t>
      </w:r>
      <w:r w:rsidRPr="00D239F9">
        <w:t>n</w:t>
      </w:r>
      <w:r w:rsidRPr="00D239F9">
        <w:t>taget från skyddsregeln vid ombyggnad då hyresnämnden lämnat sitt tillstånd tas bort. Vi menar att det är viktigt att stärka</w:t>
      </w:r>
      <w:r w:rsidRPr="00D239F9">
        <w:rPr>
          <w:color w:val="000000"/>
        </w:rPr>
        <w:t xml:space="preserve"> hyresgästernas inflytande över det egna boendet och närmiljön. Ökade möjligheter till hyresgäststyrt läge</w:t>
      </w:r>
      <w:r w:rsidRPr="00D239F9">
        <w:rPr>
          <w:color w:val="000000"/>
        </w:rPr>
        <w:t>n</w:t>
      </w:r>
      <w:r w:rsidRPr="00D239F9">
        <w:rPr>
          <w:color w:val="000000"/>
        </w:rPr>
        <w:t>hetsunderhåll och boinflytandeavtal på områdesnivå är andra exempel på detta.</w:t>
      </w:r>
    </w:p>
    <w:p w:rsidR="00D239F9" w:rsidRPr="00D239F9" w:rsidRDefault="00D239F9">
      <w:pPr>
        <w:pStyle w:val="Rubrik2"/>
        <w:shd w:val="clear" w:color="000000" w:fill="auto"/>
      </w:pPr>
      <w:r w:rsidRPr="00D239F9">
        <w:t>Behov av utvärdering och uppföljning</w:t>
      </w:r>
    </w:p>
    <w:p w:rsidR="00D239F9" w:rsidRPr="00D239F9" w:rsidRDefault="00D239F9">
      <w:pPr>
        <w:shd w:val="clear" w:color="000000" w:fill="auto"/>
      </w:pPr>
      <w:r w:rsidRPr="00D239F9">
        <w:t>Regeringen anför att det finns behov av uppföljning och utvärdering av det föreslagna regelverkets effekt på bostadsmarknaden. Regeringen menar att Boverket fortlöpande bör följa utvecklingen och att en utvärdering bör göras när de nya bestämmelserna varit i kraft en tid.</w:t>
      </w:r>
    </w:p>
    <w:p w:rsidR="00D239F9" w:rsidRPr="00D239F9" w:rsidRDefault="00D239F9">
      <w:pPr>
        <w:pStyle w:val="Normaltindrag"/>
        <w:shd w:val="clear" w:color="000000" w:fill="auto"/>
      </w:pPr>
      <w:r w:rsidRPr="00D239F9">
        <w:t>Vi vill understryka att det finns ett stort behov av utvärdering av det nya regelverket. Detta inte minst för att säkerställa att regeringens och riksdagens intentioner med lagstiftningen verkställs. Det handlar exempelvis om att följa upp hur regelverket kring värdeöverföring efterlevs samt vilken innebörd begreppen integration och social sammanhållning fått i praktiken. Att allmä</w:t>
      </w:r>
      <w:r w:rsidRPr="00D239F9">
        <w:t>n</w:t>
      </w:r>
      <w:r w:rsidRPr="00D239F9">
        <w:t>nyttans hyresnormerande roll föreslås ersättas med en normerande roll för kollektivt förhandlade hyror ställer stora krav på alla inblandade parter, såväl kommunala som privata fastighetsägare och på hyresgästernas förhandling</w:t>
      </w:r>
      <w:r w:rsidRPr="00D239F9">
        <w:t>s</w:t>
      </w:r>
      <w:r w:rsidRPr="00D239F9">
        <w:t>delegationer. Vi menar att det är av stor vikt att det sker en kontinuerlig up</w:t>
      </w:r>
      <w:r w:rsidRPr="00D239F9">
        <w:t>p</w:t>
      </w:r>
      <w:r w:rsidRPr="00D239F9">
        <w:t>följning för att säkerställa att förhandlingsordningen fungerar och att ku</w:t>
      </w:r>
      <w:r w:rsidRPr="00D239F9">
        <w:t>n</w:t>
      </w:r>
      <w:r w:rsidRPr="00D239F9">
        <w:t xml:space="preserve">skapsunderlaget är fullgott. Vidare är det givetvis viktigt att säkerställa att den nya lagstiftningen inte blivit hyresdrivande. </w:t>
      </w:r>
    </w:p>
    <w:p w:rsidR="00D239F9" w:rsidRPr="00D239F9" w:rsidRDefault="00D239F9">
      <w:pPr>
        <w:pStyle w:val="Normaltindrag"/>
        <w:shd w:val="clear" w:color="000000" w:fill="auto"/>
      </w:pPr>
      <w:r w:rsidRPr="00D239F9">
        <w:t>För att uppföljning och utvärdering ska kunna genomföras på ett fullgott sätt krävs även att de statistiska verktygen utvecklas för att kunna följa hyre</w:t>
      </w:r>
      <w:r w:rsidRPr="00D239F9">
        <w:t>s</w:t>
      </w:r>
      <w:r w:rsidRPr="00D239F9">
        <w:t xml:space="preserve">utvecklingen. Åtgärder för att säkerställa detta bör därför vidtas.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39F9">
        <w:trPr>
          <w:cantSplit/>
        </w:trPr>
        <w:tc>
          <w:tcPr>
            <w:tcW w:w="3046" w:type="dxa"/>
          </w:tcPr>
          <w:p w:rsidR="00D239F9" w:rsidRPr="00D239F9" w:rsidRDefault="00D239F9">
            <w:pPr>
              <w:pStyle w:val="UnderskriftDatum"/>
              <w:shd w:val="clear" w:color="000000" w:fill="auto"/>
              <w:spacing w:before="240"/>
            </w:pPr>
            <w:r w:rsidRPr="00D239F9">
              <w:t>Stockholm den 21 april 2010</w:t>
            </w:r>
          </w:p>
        </w:tc>
        <w:tc>
          <w:tcPr>
            <w:tcW w:w="3047" w:type="dxa"/>
          </w:tcPr>
          <w:p w:rsidR="00D239F9" w:rsidRPr="00D239F9" w:rsidRDefault="00D239F9">
            <w:pPr>
              <w:pStyle w:val="Underskrifter"/>
              <w:shd w:val="clear" w:color="000000" w:fill="auto"/>
              <w:spacing w:before="240"/>
            </w:pPr>
          </w:p>
        </w:tc>
      </w:tr>
      <w:tr w:rsidR="00000000" w:rsidRPr="00D239F9">
        <w:trPr>
          <w:cantSplit/>
        </w:trPr>
        <w:tc>
          <w:tcPr>
            <w:tcW w:w="3046" w:type="dxa"/>
          </w:tcPr>
          <w:p w:rsidR="00D239F9" w:rsidRPr="00D239F9" w:rsidRDefault="00D239F9">
            <w:pPr>
              <w:pStyle w:val="Underskrifter"/>
              <w:shd w:val="clear" w:color="000000" w:fill="auto"/>
            </w:pPr>
            <w:r w:rsidRPr="00D239F9">
              <w:t>Carina Moberg (s)</w:t>
            </w:r>
          </w:p>
        </w:tc>
        <w:tc>
          <w:tcPr>
            <w:tcW w:w="3046" w:type="dxa"/>
          </w:tcPr>
          <w:p w:rsidR="00D239F9" w:rsidRPr="00D239F9" w:rsidRDefault="00D239F9">
            <w:pPr>
              <w:pStyle w:val="Underskrifter"/>
              <w:shd w:val="clear" w:color="000000" w:fill="auto"/>
            </w:pPr>
          </w:p>
        </w:tc>
      </w:tr>
      <w:tr w:rsidR="00000000" w:rsidRPr="00D239F9">
        <w:trPr>
          <w:cantSplit/>
        </w:trPr>
        <w:tc>
          <w:tcPr>
            <w:tcW w:w="3046" w:type="dxa"/>
          </w:tcPr>
          <w:p w:rsidR="00D239F9" w:rsidRPr="00D239F9" w:rsidRDefault="00D239F9">
            <w:pPr>
              <w:pStyle w:val="Underskrifter"/>
              <w:shd w:val="clear" w:color="000000" w:fill="auto"/>
            </w:pPr>
            <w:r w:rsidRPr="00D239F9">
              <w:t>Johan Löfstrand (s)</w:t>
            </w:r>
          </w:p>
        </w:tc>
        <w:tc>
          <w:tcPr>
            <w:tcW w:w="3046" w:type="dxa"/>
          </w:tcPr>
          <w:p w:rsidR="00D239F9" w:rsidRPr="00D239F9" w:rsidRDefault="00D239F9">
            <w:pPr>
              <w:pStyle w:val="Underskrifter"/>
              <w:shd w:val="clear" w:color="000000" w:fill="auto"/>
            </w:pPr>
            <w:r w:rsidRPr="00D239F9">
              <w:t>Eva Sonidsson (s)</w:t>
            </w:r>
          </w:p>
        </w:tc>
      </w:tr>
      <w:tr w:rsidR="00000000" w:rsidRPr="00D239F9">
        <w:trPr>
          <w:cantSplit/>
        </w:trPr>
        <w:tc>
          <w:tcPr>
            <w:tcW w:w="3046" w:type="dxa"/>
          </w:tcPr>
          <w:p w:rsidR="00D239F9" w:rsidRPr="00D239F9" w:rsidRDefault="00D239F9">
            <w:pPr>
              <w:pStyle w:val="Underskrifter"/>
              <w:shd w:val="clear" w:color="000000" w:fill="auto"/>
            </w:pPr>
            <w:r w:rsidRPr="00D239F9">
              <w:t>Hillevi Larsson (s)</w:t>
            </w:r>
          </w:p>
        </w:tc>
        <w:tc>
          <w:tcPr>
            <w:tcW w:w="3046" w:type="dxa"/>
          </w:tcPr>
          <w:p w:rsidR="00D239F9" w:rsidRPr="00D239F9" w:rsidRDefault="00D239F9">
            <w:pPr>
              <w:pStyle w:val="Underskrifter"/>
              <w:shd w:val="clear" w:color="000000" w:fill="auto"/>
            </w:pPr>
            <w:r w:rsidRPr="00D239F9">
              <w:t>Christina Oskarsson (s)</w:t>
            </w:r>
          </w:p>
        </w:tc>
      </w:tr>
      <w:tr w:rsidR="00000000" w:rsidRPr="00D239F9">
        <w:trPr>
          <w:cantSplit/>
        </w:trPr>
        <w:tc>
          <w:tcPr>
            <w:tcW w:w="3046" w:type="dxa"/>
          </w:tcPr>
          <w:p w:rsidR="00D239F9" w:rsidRPr="00D239F9" w:rsidRDefault="00D239F9">
            <w:pPr>
              <w:pStyle w:val="Underskrifter"/>
              <w:shd w:val="clear" w:color="000000" w:fill="auto"/>
            </w:pPr>
            <w:r w:rsidRPr="00D239F9">
              <w:t>Gunnar Sandberg (s)</w:t>
            </w:r>
          </w:p>
        </w:tc>
        <w:tc>
          <w:tcPr>
            <w:tcW w:w="3046" w:type="dxa"/>
          </w:tcPr>
          <w:p w:rsidR="00D239F9" w:rsidRPr="00D239F9" w:rsidRDefault="00D239F9">
            <w:pPr>
              <w:pStyle w:val="Underskrifter"/>
              <w:shd w:val="clear" w:color="000000" w:fill="auto"/>
            </w:pPr>
            <w:r w:rsidRPr="00D239F9">
              <w:t>Fredrik  Lundh Sammeli (s)</w:t>
            </w:r>
          </w:p>
        </w:tc>
      </w:tr>
    </w:tbl>
    <w:p w:rsidR="00D239F9" w:rsidRPr="00D239F9" w:rsidRDefault="00D239F9">
      <w:pPr>
        <w:pStyle w:val="Normaltindrag"/>
        <w:shd w:val="clear" w:color="000000" w:fill="auto"/>
      </w:pPr>
    </w:p>
    <w:sectPr w:rsidR="00000000" w:rsidRPr="00D239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9F9" w:rsidRPr="00D239F9" w:rsidRDefault="00D239F9">
      <w:r w:rsidRPr="00D239F9">
        <w:separator/>
      </w:r>
    </w:p>
  </w:endnote>
  <w:endnote w:type="continuationSeparator" w:id="0">
    <w:p w:rsidR="00D239F9" w:rsidRPr="00D239F9" w:rsidRDefault="00D239F9">
      <w:r w:rsidRPr="00D23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fot"/>
    </w:pPr>
    <w:r w:rsidRPr="00D23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448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9F9" w:rsidRDefault="00D239F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fot"/>
    </w:pPr>
    <w:r w:rsidRPr="00D23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54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9F9" w:rsidRDefault="00D239F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fot"/>
    </w:pPr>
    <w:r w:rsidRPr="00D23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155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9F9" w:rsidRDefault="00D239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9F9" w:rsidRPr="00D239F9" w:rsidRDefault="00D239F9"/>
  </w:footnote>
  <w:footnote w:type="continuationSeparator" w:id="0">
    <w:p w:rsidR="00D239F9" w:rsidRPr="00D239F9" w:rsidRDefault="00D239F9">
      <w:r w:rsidRPr="00D239F9">
        <w:continuationSeparator/>
      </w:r>
    </w:p>
  </w:footnote>
  <w:footnote w:id="1">
    <w:p w:rsidR="00D239F9" w:rsidRPr="00D239F9" w:rsidRDefault="00D239F9">
      <w:pPr>
        <w:pStyle w:val="Fotnotstext"/>
        <w:rPr>
          <w:sz w:val="16"/>
          <w:szCs w:val="16"/>
        </w:rPr>
      </w:pPr>
      <w:r w:rsidRPr="00D239F9">
        <w:rPr>
          <w:rStyle w:val="Fotnotsreferens"/>
          <w:sz w:val="19"/>
          <w:szCs w:val="19"/>
        </w:rPr>
        <w:footnoteRef/>
      </w:r>
      <w:r w:rsidRPr="00D239F9">
        <w:t xml:space="preserve"> </w:t>
      </w:r>
      <w:r w:rsidRPr="00D239F9">
        <w:rPr>
          <w:sz w:val="16"/>
          <w:szCs w:val="16"/>
        </w:rPr>
        <w:t>Kommittédirektiv dir 2005:116.</w:t>
      </w:r>
    </w:p>
  </w:footnote>
  <w:footnote w:id="2">
    <w:p w:rsidR="00D239F9" w:rsidRPr="00D239F9" w:rsidRDefault="00D239F9">
      <w:pPr>
        <w:pStyle w:val="Fotnotstext"/>
        <w:rPr>
          <w:sz w:val="16"/>
          <w:szCs w:val="16"/>
        </w:rPr>
      </w:pPr>
      <w:r w:rsidRPr="00D239F9">
        <w:rPr>
          <w:rStyle w:val="Fotnotsreferens"/>
          <w:sz w:val="19"/>
          <w:szCs w:val="19"/>
        </w:rPr>
        <w:footnoteRef/>
      </w:r>
      <w:r w:rsidRPr="00D239F9">
        <w:t xml:space="preserve"> </w:t>
      </w:r>
      <w:r w:rsidRPr="00D239F9">
        <w:rPr>
          <w:sz w:val="16"/>
          <w:szCs w:val="16"/>
        </w:rPr>
        <w:t>Kommittédirektiv dir 2007:73.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huvud"/>
    </w:pPr>
    <w:r w:rsidRPr="00D23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6641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9F9" w:rsidRDefault="00D239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Sidhuvud"/>
    </w:pPr>
    <w:r w:rsidRPr="00D23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2887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9F9" w:rsidRDefault="00D239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9F9" w:rsidRDefault="00D239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9F9" w:rsidRPr="00D239F9" w:rsidRDefault="00D239F9">
    <w:pPr>
      <w:pStyle w:val="FSHNormal"/>
      <w:tabs>
        <w:tab w:val="right" w:pos="5840"/>
      </w:tabs>
    </w:pPr>
    <w:r w:rsidRPr="00D239F9">
      <w:br/>
    </w:r>
    <w:r w:rsidRPr="00D239F9">
      <w:fldChar w:fldCharType="begin" w:fldLock="1"/>
    </w:r>
    <w:r w:rsidRPr="00D239F9">
      <w:instrText xml:space="preserve"> DOCPROPERTY</w:instrText>
    </w:r>
    <w:r w:rsidRPr="00D239F9">
      <w:rPr>
        <w:sz w:val="18"/>
      </w:rPr>
      <w:instrText xml:space="preserve"> "YearUser" *\charformat </w:instrText>
    </w:r>
    <w:r w:rsidRPr="00D239F9">
      <w:fldChar w:fldCharType="separate"/>
    </w:r>
    <w:r w:rsidRPr="00D239F9">
      <w:t>2009/10</w:t>
    </w:r>
    <w:r w:rsidRPr="00D239F9">
      <w:fldChar w:fldCharType="end"/>
    </w:r>
    <w:r w:rsidRPr="00D239F9">
      <w:t xml:space="preserve"> </w:t>
    </w:r>
    <w:r w:rsidRPr="00D239F9">
      <w:tab/>
      <w:t xml:space="preserve">mnr: </w:t>
    </w:r>
    <w:r w:rsidRPr="00D239F9">
      <w:fldChar w:fldCharType="begin" w:fldLock="1"/>
    </w:r>
    <w:r w:rsidRPr="00D239F9">
      <w:instrText xml:space="preserve"> DOCPROPERTY</w:instrText>
    </w:r>
    <w:r w:rsidRPr="00D239F9">
      <w:rPr>
        <w:sz w:val="18"/>
      </w:rPr>
      <w:instrText xml:space="preserve"> "Motionsnummer" *\charformat </w:instrText>
    </w:r>
    <w:r w:rsidRPr="00D239F9">
      <w:fldChar w:fldCharType="separate"/>
    </w:r>
    <w:r w:rsidRPr="00D239F9">
      <w:t>C20</w:t>
    </w:r>
    <w:r w:rsidRPr="00D239F9">
      <w:fldChar w:fldCharType="end"/>
    </w:r>
    <w:r w:rsidRPr="00D239F9">
      <w:br/>
    </w:r>
    <w:r w:rsidRPr="00D239F9">
      <w:fldChar w:fldCharType="begin" w:fldLock="1"/>
    </w:r>
    <w:r w:rsidRPr="00D239F9">
      <w:instrText xml:space="preserve"> DOCPROPERTY</w:instrText>
    </w:r>
    <w:r w:rsidRPr="00D239F9">
      <w:rPr>
        <w:sz w:val="18"/>
      </w:rPr>
      <w:instrText xml:space="preserve"> "Samling" *\charformat </w:instrText>
    </w:r>
    <w:r w:rsidRPr="00D239F9">
      <w:fldChar w:fldCharType="end"/>
    </w:r>
    <w:r w:rsidRPr="00D239F9">
      <w:tab/>
      <w:t xml:space="preserve">pnr: </w:t>
    </w:r>
    <w:r w:rsidRPr="00D239F9">
      <w:fldChar w:fldCharType="begin" w:fldLock="1"/>
    </w:r>
    <w:r w:rsidRPr="00D239F9">
      <w:instrText xml:space="preserve"> DOCPROPERTY</w:instrText>
    </w:r>
    <w:r w:rsidRPr="00D239F9">
      <w:rPr>
        <w:sz w:val="18"/>
      </w:rPr>
      <w:instrText xml:space="preserve"> "Partinummer" *\charformat </w:instrText>
    </w:r>
    <w:r w:rsidRPr="00D239F9">
      <w:fldChar w:fldCharType="separate"/>
    </w:r>
    <w:r w:rsidRPr="00D239F9">
      <w:t>s83018</w:t>
    </w:r>
    <w:r w:rsidRPr="00D239F9">
      <w:fldChar w:fldCharType="end"/>
    </w:r>
  </w:p>
  <w:p w:rsidR="00D239F9" w:rsidRPr="00D239F9" w:rsidRDefault="00D239F9">
    <w:pPr>
      <w:pStyle w:val="FSHRub1"/>
    </w:pPr>
    <w:r w:rsidRPr="00D239F9">
      <w:t>Motion till riksdagen</w:t>
    </w:r>
    <w:r w:rsidRPr="00D239F9">
      <w:br/>
    </w:r>
    <w:r w:rsidRPr="00D239F9">
      <w:fldChar w:fldCharType="begin" w:fldLock="1"/>
    </w:r>
    <w:r w:rsidRPr="00D239F9">
      <w:instrText xml:space="preserve"> DOCPROPERTY "YearUser" *\charformat </w:instrText>
    </w:r>
    <w:r w:rsidRPr="00D239F9">
      <w:fldChar w:fldCharType="separate"/>
    </w:r>
    <w:r w:rsidRPr="00D239F9">
      <w:t>2009/10</w:t>
    </w:r>
    <w:r w:rsidRPr="00D239F9">
      <w:fldChar w:fldCharType="end"/>
    </w:r>
    <w:r w:rsidRPr="00D239F9">
      <w:t>:</w:t>
    </w:r>
    <w:r w:rsidRPr="00D239F9">
      <w:fldChar w:fldCharType="begin" w:fldLock="1"/>
    </w:r>
    <w:r w:rsidRPr="00D239F9">
      <w:instrText xml:space="preserve"> DOCPROPERTY "Motionsnummer" *\charformat </w:instrText>
    </w:r>
    <w:r w:rsidRPr="00D239F9">
      <w:fldChar w:fldCharType="separate"/>
    </w:r>
    <w:r w:rsidRPr="00D239F9">
      <w:t>C20</w:t>
    </w:r>
    <w:r w:rsidRPr="00D239F9">
      <w:fldChar w:fldCharType="end"/>
    </w:r>
  </w:p>
  <w:p w:rsidR="00D239F9" w:rsidRPr="00D239F9" w:rsidRDefault="00D239F9">
    <w:pPr>
      <w:pStyle w:val="FSHNormalS5"/>
    </w:pPr>
    <w:r w:rsidRPr="00D239F9">
      <w:fldChar w:fldCharType="begin" w:fldLock="1"/>
    </w:r>
    <w:r w:rsidRPr="00D239F9">
      <w:instrText xml:space="preserve"> DOCPROPERTY "MotionarText" *\charformat </w:instrText>
    </w:r>
    <w:r w:rsidRPr="00D239F9">
      <w:fldChar w:fldCharType="separate"/>
    </w:r>
    <w:r w:rsidRPr="00D239F9">
      <w:t>av Carina Moberg m.fl. (s)</w:t>
    </w:r>
    <w:r w:rsidRPr="00D239F9">
      <w:fldChar w:fldCharType="end"/>
    </w:r>
    <w:r w:rsidRPr="00D239F9">
      <w:br/>
    </w:r>
    <w:r w:rsidRPr="00D239F9">
      <w:fldChar w:fldCharType="begin" w:fldLock="1"/>
    </w:r>
    <w:r w:rsidRPr="00D239F9">
      <w:instrText xml:space="preserve"> DOCPROPERTY "SvarFrasKort" *\charformat </w:instrText>
    </w:r>
    <w:r w:rsidRPr="00D239F9">
      <w:fldChar w:fldCharType="separate"/>
    </w:r>
    <w:r w:rsidRPr="00D239F9">
      <w:t>med anledning av prop. 2009/10:185</w:t>
    </w:r>
    <w:r w:rsidRPr="00D239F9">
      <w:fldChar w:fldCharType="end"/>
    </w:r>
  </w:p>
  <w:p w:rsidR="00D239F9" w:rsidRPr="00D239F9" w:rsidRDefault="00D239F9">
    <w:pPr>
      <w:pStyle w:val="FSHTitel"/>
    </w:pPr>
    <w:r w:rsidRPr="00D239F9">
      <w:fldChar w:fldCharType="begin" w:fldLock="1"/>
    </w:r>
    <w:r w:rsidRPr="00D239F9">
      <w:instrText xml:space="preserve"> DOCPROPERTY</w:instrText>
    </w:r>
    <w:r w:rsidRPr="00D239F9">
      <w:rPr>
        <w:sz w:val="18"/>
      </w:rPr>
      <w:instrText xml:space="preserve"> "RubrikSvar" *\charformat </w:instrText>
    </w:r>
    <w:r w:rsidRPr="00D239F9">
      <w:fldChar w:fldCharType="separate"/>
    </w:r>
    <w:r w:rsidRPr="00D239F9">
      <w:t>Allmännyttiga kommunala bostadsaktiebolag och reformerade hyressättningsregler</w:t>
    </w:r>
    <w:r w:rsidRPr="00D239F9">
      <w:fldChar w:fldCharType="end"/>
    </w:r>
  </w:p>
  <w:p w:rsidR="00D239F9" w:rsidRPr="00D239F9" w:rsidRDefault="00D239F9">
    <w:pPr>
      <w:pStyle w:val="Normal00"/>
    </w:pPr>
  </w:p>
  <w:p w:rsidR="00D239F9" w:rsidRPr="00D239F9" w:rsidRDefault="00D239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77581"/>
    <w:multiLevelType w:val="hybridMultilevel"/>
    <w:tmpl w:val="C4D84562"/>
    <w:lvl w:ilvl="0" w:tplc="D4F8AF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D416133"/>
    <w:multiLevelType w:val="hybridMultilevel"/>
    <w:tmpl w:val="5BE4D02E"/>
    <w:lvl w:ilvl="0" w:tplc="494AEF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4247933"/>
    <w:multiLevelType w:val="hybridMultilevel"/>
    <w:tmpl w:val="BA84F69E"/>
    <w:lvl w:ilvl="0" w:tplc="FFFFFFF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73422760">
    <w:abstractNumId w:val="3"/>
  </w:num>
  <w:num w:numId="2" w16cid:durableId="129054317">
    <w:abstractNumId w:val="2"/>
  </w:num>
  <w:num w:numId="3" w16cid:durableId="1124931120">
    <w:abstractNumId w:val="1"/>
  </w:num>
  <w:num w:numId="4" w16cid:durableId="1675961989">
    <w:abstractNumId w:val="0"/>
  </w:num>
  <w:num w:numId="5" w16cid:durableId="2085099504">
    <w:abstractNumId w:val="7"/>
  </w:num>
  <w:num w:numId="6" w16cid:durableId="1970745241">
    <w:abstractNumId w:val="6"/>
  </w:num>
  <w:num w:numId="7" w16cid:durableId="1340700010">
    <w:abstractNumId w:val="5"/>
  </w:num>
  <w:num w:numId="8" w16cid:durableId="1189296176">
    <w:abstractNumId w:val="4"/>
  </w:num>
  <w:num w:numId="9" w16cid:durableId="1200321682">
    <w:abstractNumId w:val="8"/>
  </w:num>
  <w:num w:numId="10" w16cid:durableId="1693652466">
    <w:abstractNumId w:val="9"/>
  </w:num>
  <w:num w:numId="11" w16cid:durableId="427819957">
    <w:abstractNumId w:val="11"/>
  </w:num>
  <w:num w:numId="12" w16cid:durableId="1523544207">
    <w:abstractNumId w:val="14"/>
  </w:num>
  <w:num w:numId="13" w16cid:durableId="2053459945">
    <w:abstractNumId w:val="17"/>
  </w:num>
  <w:num w:numId="14" w16cid:durableId="1893155560">
    <w:abstractNumId w:val="18"/>
  </w:num>
  <w:num w:numId="15" w16cid:durableId="3822980">
    <w:abstractNumId w:val="12"/>
  </w:num>
  <w:num w:numId="16" w16cid:durableId="1755317830">
    <w:abstractNumId w:val="21"/>
  </w:num>
  <w:num w:numId="17" w16cid:durableId="1738363428">
    <w:abstractNumId w:val="19"/>
  </w:num>
  <w:num w:numId="18" w16cid:durableId="134683494">
    <w:abstractNumId w:val="16"/>
  </w:num>
  <w:num w:numId="19" w16cid:durableId="1314288425">
    <w:abstractNumId w:val="13"/>
  </w:num>
  <w:num w:numId="20" w16cid:durableId="1281760952">
    <w:abstractNumId w:val="20"/>
  </w:num>
  <w:num w:numId="21" w16cid:durableId="519785919">
    <w:abstractNumId w:val="15"/>
  </w:num>
  <w:num w:numId="22" w16cid:durableId="18124787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0"/>
    <w:docVar w:name="PersonGUIDs" w:val="{15B8594E-BEA9-43CC-A165-F86182734E4A},{6FACB04C-86F2-49FF-BDF3-B03F6F08AF65},{BF9BF603-152B-49FB-915D-59C9FA8B5D71},{CED91A7D-EA0F-4112-80B0-804585E3EC7B},{FCBB1D1D-DA71-44FB-8C92-3111F9EDC77F},{CA7D3CBE-D579-4C0A-9167-C63078DC176D},{662A7F07-DB1F-4AB0-A173-1D2398D4C9D4}"/>
  </w:docVars>
  <w:rsids>
    <w:rsidRoot w:val="00960690"/>
    <w:rsid w:val="00960690"/>
    <w:rsid w:val="00D239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401BF7-BECD-441A-85BB-06612379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2057</Words>
  <Characters>13089</Characters>
  <Application>Microsoft Office Word</Application>
  <DocSecurity>4</DocSecurity>
  <Lines>233</Lines>
  <Paragraphs>56</Paragraphs>
  <ScaleCrop>false</ScaleCrop>
  <HeadingPairs>
    <vt:vector size="2" baseType="variant">
      <vt:variant>
        <vt:lpstr>Rubrik</vt:lpstr>
      </vt:variant>
      <vt:variant>
        <vt:i4>1</vt:i4>
      </vt:variant>
    </vt:vector>
  </HeadingPairs>
  <TitlesOfParts>
    <vt:vector size="1" baseType="lpstr">
      <vt:lpstr>s83018</vt:lpstr>
    </vt:vector>
  </TitlesOfParts>
  <Company>Riksdagen</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s83018</dc:title>
  <dc:subject>s83018</dc:subject>
  <dc:creator>Riksdagen</dc:creator>
  <cp:keywords>Riksdagen</cp:keywords>
  <dc:description>msmq kontroll, ensamt yrkande mm (b: S5 fix för yrk o listkorr)</dc:description>
  <cp:lastModifiedBy>Lars Brink</cp:lastModifiedBy>
  <cp:revision>2</cp:revision>
  <cp:lastPrinted>2010-04-27T10:35:00Z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mot2000_515_2010-04-20</vt:lpwstr>
  </property>
  <property fmtid="{D5CDD505-2E9C-101B-9397-08002B2CF9AE}" pid="3" name="version">
    <vt:lpwstr>mot2000_515_2010-04-20</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2009/10:185 Allmännyttiga kommunala bostadsaktiebolag och reformerade hyressättningsregler</vt:lpwstr>
  </property>
  <property fmtid="{D5CDD505-2E9C-101B-9397-08002B2CF9AE}" pid="11" name="SvarFrasKort">
    <vt:lpwstr>med anledning av prop. 2009/10:185</vt:lpwstr>
  </property>
  <property fmtid="{D5CDD505-2E9C-101B-9397-08002B2CF9AE}" pid="12" name="Svar">
    <vt:lpwstr>Proposition</vt:lpwstr>
  </property>
  <property fmtid="{D5CDD505-2E9C-101B-9397-08002B2CF9AE}" pid="13" name="SvarNr">
    <vt:lpwstr>2009/10:185</vt:lpwstr>
  </property>
  <property fmtid="{D5CDD505-2E9C-101B-9397-08002B2CF9AE}" pid="14" name="RubrikSvar">
    <vt:lpwstr>Allmännyttiga kommunala bostadsaktiebolag och reformerade hyressättningsregler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s83018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Moberg m.fl. (s)</vt:lpwstr>
  </property>
  <property fmtid="{D5CDD505-2E9C-101B-9397-08002B2CF9AE}" pid="26" name="MotionarLista">
    <vt:lpwstr>Moberg, Carina (s)\Löfstrand, Johan (s)\Sonidsson, Eva (s)\Larsson, Hillevi (s)\Oskarsson, Christina (s)\Sandberg, Gunnar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Johan Löfstrand (s), Eva Sonidsson (s), Hillevi Larsson (s), Christina Oskarsson (s), Gunnar Sandberg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C20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2010</vt:lpwstr>
  </property>
  <property fmtid="{D5CDD505-2E9C-101B-9397-08002B2CF9AE}" pid="44" name="NotesUID">
    <vt:lpwstr>malin.cederfeldt.ostberg@riksdagen.se</vt:lpwstr>
  </property>
  <property fmtid="{D5CDD505-2E9C-101B-9397-08002B2CF9AE}" pid="45" name="ReservUID">
    <vt:lpwstr>mn0331aa</vt:lpwstr>
  </property>
  <property fmtid="{D5CDD505-2E9C-101B-9397-08002B2CF9AE}" pid="46" name="MotionID">
    <vt:lpwstr>20092010000000000115000830180075</vt:lpwstr>
  </property>
  <property fmtid="{D5CDD505-2E9C-101B-9397-08002B2CF9AE}" pid="47" name="datum">
    <vt:lpwstr>100421</vt:lpwstr>
  </property>
  <property fmtid="{D5CDD505-2E9C-101B-9397-08002B2CF9AE}" pid="48" name="avsändar-e-post">
    <vt:lpwstr>malin.cederfeldt.ostberg@riksdagen.se</vt:lpwstr>
  </property>
  <property fmtid="{D5CDD505-2E9C-101B-9397-08002B2CF9AE}" pid="49" name="id">
    <vt:lpwstr>20092010000000000115000830180075</vt:lpwstr>
  </property>
  <property fmtid="{D5CDD505-2E9C-101B-9397-08002B2CF9AE}" pid="50" name="nummer">
    <vt:lpwstr>20</vt:lpwstr>
  </property>
  <property fmtid="{D5CDD505-2E9C-101B-9397-08002B2CF9AE}" pid="51" name="utskottsbeteckning">
    <vt:lpwstr>C</vt:lpwstr>
  </property>
  <property fmtid="{D5CDD505-2E9C-101B-9397-08002B2CF9AE}" pid="52" name="GlobalUID">
    <vt:lpwstr>{F7D98264-8538-4341-869D-0AE34E461F5D}</vt:lpwstr>
  </property>
  <property fmtid="{D5CDD505-2E9C-101B-9397-08002B2CF9AE}" pid="53" name="Överföringar">
    <vt:i4>0</vt:i4>
  </property>
  <property fmtid="{D5CDD505-2E9C-101B-9397-08002B2CF9AE}" pid="54" name="Checksum">
    <vt:lpwstr>*0020697028224*</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100427 12:39:44.598</vt:lpwstr>
  </property>
  <property fmtid="{D5CDD505-2E9C-101B-9397-08002B2CF9AE}" pid="58" name="urixGuid">
    <vt:lpwstr>{B9A0FA8B-8F51-418D-9F0C-F99D35567A35}</vt:lpwstr>
  </property>
</Properties>
</file>