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201</w:t>
            </w:r>
            <w:r w:rsidR="003F0380">
              <w:rPr>
                <w:b/>
              </w:rPr>
              <w:t>8</w:t>
            </w:r>
            <w:r w:rsidR="00C866DE">
              <w:rPr>
                <w:b/>
              </w:rPr>
              <w:t>/1</w:t>
            </w:r>
            <w:r w:rsidR="003F0380">
              <w:rPr>
                <w:b/>
              </w:rPr>
              <w:t>9</w:t>
            </w:r>
            <w:r w:rsidR="00520D71">
              <w:rPr>
                <w:b/>
              </w:rPr>
              <w:t>:</w:t>
            </w:r>
            <w:r w:rsidR="0063184A">
              <w:rPr>
                <w:b/>
              </w:rPr>
              <w:t>38</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63184A">
            <w:r>
              <w:t>201</w:t>
            </w:r>
            <w:r w:rsidR="00FE5A5A">
              <w:t>9</w:t>
            </w:r>
            <w:r w:rsidR="00520D71">
              <w:t>-</w:t>
            </w:r>
            <w:r w:rsidR="0063184A">
              <w:t>05</w:t>
            </w:r>
            <w:r w:rsidR="00520D71">
              <w:t>-</w:t>
            </w:r>
            <w:r w:rsidR="0063184A">
              <w:t>16</w:t>
            </w:r>
          </w:p>
        </w:tc>
      </w:tr>
      <w:tr w:rsidR="00447E69">
        <w:tc>
          <w:tcPr>
            <w:tcW w:w="1985" w:type="dxa"/>
          </w:tcPr>
          <w:p w:rsidR="00447E69" w:rsidRDefault="00447E69">
            <w:r>
              <w:t>TID</w:t>
            </w:r>
          </w:p>
        </w:tc>
        <w:tc>
          <w:tcPr>
            <w:tcW w:w="6463" w:type="dxa"/>
          </w:tcPr>
          <w:p w:rsidR="00447E69" w:rsidRDefault="0063184A">
            <w:r>
              <w:t>10</w:t>
            </w:r>
            <w:r w:rsidR="00BF5F58">
              <w:t>:</w:t>
            </w:r>
            <w:r w:rsidR="00B2693D">
              <w:t>00</w:t>
            </w:r>
            <w:r w:rsidR="004B0D07">
              <w:t>–11:05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bookmarkStart w:id="0" w:name="_GoBack"/>
            <w:bookmarkEnd w:id="0"/>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1417"/>
        <w:gridCol w:w="142"/>
        <w:gridCol w:w="45"/>
        <w:gridCol w:w="356"/>
        <w:gridCol w:w="356"/>
        <w:gridCol w:w="356"/>
        <w:gridCol w:w="356"/>
        <w:gridCol w:w="356"/>
        <w:gridCol w:w="356"/>
        <w:gridCol w:w="356"/>
        <w:gridCol w:w="356"/>
        <w:gridCol w:w="356"/>
        <w:gridCol w:w="295"/>
        <w:gridCol w:w="61"/>
        <w:gridCol w:w="356"/>
        <w:gridCol w:w="356"/>
        <w:gridCol w:w="356"/>
        <w:gridCol w:w="357"/>
        <w:gridCol w:w="358"/>
      </w:tblGrid>
      <w:tr w:rsidR="003B4DE8" w:rsidTr="002E35DF">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63184A" w:rsidRDefault="00560668">
            <w:pPr>
              <w:tabs>
                <w:tab w:val="left" w:pos="1701"/>
              </w:tabs>
              <w:rPr>
                <w:b/>
                <w:bCs/>
                <w:color w:val="000000"/>
                <w:szCs w:val="24"/>
              </w:rPr>
            </w:pPr>
            <w:r w:rsidRPr="00FD1FCB">
              <w:rPr>
                <w:b/>
                <w:bCs/>
              </w:rPr>
              <w:t xml:space="preserve">EU-överläggning med regeringen enligt RO 7 kap. 12 § </w:t>
            </w:r>
            <w:r>
              <w:rPr>
                <w:b/>
                <w:bCs/>
                <w:color w:val="000000"/>
                <w:szCs w:val="24"/>
              </w:rPr>
              <w:t>om att stärka Europas roll som global aktör inom rymdområdet</w:t>
            </w:r>
          </w:p>
          <w:p w:rsidR="003C3B5F" w:rsidRDefault="003C3B5F">
            <w:pPr>
              <w:tabs>
                <w:tab w:val="left" w:pos="1701"/>
              </w:tabs>
              <w:rPr>
                <w:b/>
                <w:bCs/>
                <w:color w:val="000000"/>
                <w:szCs w:val="24"/>
              </w:rPr>
            </w:pPr>
          </w:p>
          <w:p w:rsidR="00222BB3" w:rsidRPr="00DC4981" w:rsidRDefault="00DC4981" w:rsidP="00DC4981">
            <w:pPr>
              <w:tabs>
                <w:tab w:val="left" w:pos="1701"/>
              </w:tabs>
              <w:rPr>
                <w:snapToGrid w:val="0"/>
              </w:rPr>
            </w:pPr>
            <w:r>
              <w:rPr>
                <w:snapToGrid w:val="0"/>
              </w:rPr>
              <w:t>Utskottet överlade med s</w:t>
            </w:r>
            <w:r w:rsidR="00F910A1" w:rsidRPr="00DC4981">
              <w:rPr>
                <w:snapToGrid w:val="0"/>
              </w:rPr>
              <w:t>tatssekreteraren Malin Cederfeldt Östberg</w:t>
            </w:r>
            <w:r>
              <w:rPr>
                <w:snapToGrid w:val="0"/>
              </w:rPr>
              <w:t xml:space="preserve">, </w:t>
            </w:r>
            <w:r w:rsidR="004F3B33" w:rsidRPr="004F3B33">
              <w:rPr>
                <w:snapToGrid w:val="0"/>
              </w:rPr>
              <w:t>ämnesrådet David Edvardsson</w:t>
            </w:r>
            <w:r w:rsidR="004F3B33">
              <w:rPr>
                <w:snapToGrid w:val="0"/>
              </w:rPr>
              <w:t xml:space="preserve">, </w:t>
            </w:r>
            <w:r>
              <w:rPr>
                <w:snapToGrid w:val="0"/>
              </w:rPr>
              <w:t xml:space="preserve">politiskt sakkunnige Sofia Johansson, utbildningsrådet Åsa Petri, ämnesrådet Magnus Härviden och departementssekreteraren Christian Hansen, samtliga från utbildningsdepartementet, om </w:t>
            </w:r>
            <w:r w:rsidRPr="00DC4981">
              <w:rPr>
                <w:bCs/>
                <w:snapToGrid w:val="0"/>
              </w:rPr>
              <w:t>att stärka Europas roll som global aktör inom rymdområdet</w:t>
            </w:r>
            <w:r>
              <w:rPr>
                <w:bCs/>
                <w:snapToGrid w:val="0"/>
              </w:rPr>
              <w:t>.</w:t>
            </w:r>
          </w:p>
          <w:p w:rsidR="00560668" w:rsidRDefault="00560668">
            <w:pPr>
              <w:tabs>
                <w:tab w:val="left" w:pos="1701"/>
              </w:tabs>
              <w:rPr>
                <w:snapToGrid w:val="0"/>
              </w:rPr>
            </w:pPr>
          </w:p>
          <w:p w:rsidR="00DC4981" w:rsidRPr="00DC4981" w:rsidRDefault="00DC4981">
            <w:pPr>
              <w:tabs>
                <w:tab w:val="left" w:pos="1701"/>
              </w:tabs>
              <w:rPr>
                <w:i/>
                <w:snapToGrid w:val="0"/>
              </w:rPr>
            </w:pPr>
            <w:r>
              <w:rPr>
                <w:i/>
                <w:snapToGrid w:val="0"/>
              </w:rPr>
              <w:t>Underlag för överläggningen</w:t>
            </w:r>
          </w:p>
          <w:p w:rsidR="00DC4981" w:rsidRDefault="00DC4981">
            <w:pPr>
              <w:tabs>
                <w:tab w:val="left" w:pos="1701"/>
              </w:tabs>
              <w:rPr>
                <w:snapToGrid w:val="0"/>
              </w:rPr>
            </w:pPr>
            <w:r w:rsidRPr="00DC4981">
              <w:rPr>
                <w:snapToGrid w:val="0"/>
              </w:rPr>
              <w:t>Promemoria från Utbildningsdepartementet (Dnr 2348-2018/19)</w:t>
            </w:r>
          </w:p>
          <w:p w:rsidR="00DC4981" w:rsidRDefault="00DC4981">
            <w:pPr>
              <w:tabs>
                <w:tab w:val="left" w:pos="1701"/>
              </w:tabs>
              <w:rPr>
                <w:snapToGrid w:val="0"/>
              </w:rPr>
            </w:pPr>
          </w:p>
          <w:p w:rsidR="00DC4981" w:rsidRDefault="00DC4981">
            <w:pPr>
              <w:tabs>
                <w:tab w:val="left" w:pos="1701"/>
              </w:tabs>
              <w:rPr>
                <w:i/>
                <w:snapToGrid w:val="0"/>
              </w:rPr>
            </w:pPr>
            <w:r>
              <w:rPr>
                <w:i/>
                <w:snapToGrid w:val="0"/>
              </w:rPr>
              <w:t>Regeringens förslag till svensk ståndpunkt</w:t>
            </w:r>
          </w:p>
          <w:p w:rsidR="00DC4981" w:rsidRPr="00DC4981" w:rsidRDefault="00DC4981" w:rsidP="00DC4981">
            <w:pPr>
              <w:tabs>
                <w:tab w:val="left" w:pos="1701"/>
              </w:tabs>
              <w:rPr>
                <w:snapToGrid w:val="0"/>
              </w:rPr>
            </w:pPr>
            <w:r w:rsidRPr="00DC4981">
              <w:rPr>
                <w:snapToGrid w:val="0"/>
              </w:rPr>
              <w:t>Rymdverksamheter och data genererad från</w:t>
            </w:r>
            <w:r>
              <w:rPr>
                <w:snapToGrid w:val="0"/>
              </w:rPr>
              <w:t xml:space="preserve"> </w:t>
            </w:r>
            <w:r w:rsidRPr="00DC4981">
              <w:rPr>
                <w:snapToGrid w:val="0"/>
              </w:rPr>
              <w:t>sensorer i rymden utgör i allt större utsträckni</w:t>
            </w:r>
            <w:r>
              <w:rPr>
                <w:snapToGrid w:val="0"/>
              </w:rPr>
              <w:t xml:space="preserve">ng en infrastruktur med central </w:t>
            </w:r>
            <w:r w:rsidRPr="00DC4981">
              <w:rPr>
                <w:snapToGrid w:val="0"/>
              </w:rPr>
              <w:t>betydels</w:t>
            </w:r>
            <w:r>
              <w:rPr>
                <w:snapToGrid w:val="0"/>
              </w:rPr>
              <w:t xml:space="preserve">e för olika samhällsfunktioner. </w:t>
            </w:r>
            <w:r w:rsidRPr="00DC4981">
              <w:rPr>
                <w:snapToGrid w:val="0"/>
              </w:rPr>
              <w:t>Regeringen anser den europeiska</w:t>
            </w:r>
            <w:r>
              <w:rPr>
                <w:snapToGrid w:val="0"/>
              </w:rPr>
              <w:t xml:space="preserve"> </w:t>
            </w:r>
            <w:r w:rsidRPr="00DC4981">
              <w:rPr>
                <w:snapToGrid w:val="0"/>
              </w:rPr>
              <w:t>rymdstrategin från 2016 bör vara vägledande för vägen framåt för den</w:t>
            </w:r>
            <w:r>
              <w:rPr>
                <w:snapToGrid w:val="0"/>
              </w:rPr>
              <w:t xml:space="preserve"> </w:t>
            </w:r>
            <w:r w:rsidRPr="00DC4981">
              <w:rPr>
                <w:snapToGrid w:val="0"/>
              </w:rPr>
              <w:t>Europeiska unionens rymdprogram.</w:t>
            </w:r>
          </w:p>
          <w:p w:rsidR="00DC4981" w:rsidRDefault="00DC4981" w:rsidP="00DC4981">
            <w:pPr>
              <w:tabs>
                <w:tab w:val="left" w:pos="1701"/>
              </w:tabs>
              <w:rPr>
                <w:snapToGrid w:val="0"/>
              </w:rPr>
            </w:pPr>
          </w:p>
          <w:p w:rsidR="00DC4981" w:rsidRPr="00DC4981" w:rsidRDefault="00DC4981" w:rsidP="00DC4981">
            <w:pPr>
              <w:tabs>
                <w:tab w:val="left" w:pos="1701"/>
              </w:tabs>
              <w:rPr>
                <w:snapToGrid w:val="0"/>
              </w:rPr>
            </w:pPr>
            <w:r w:rsidRPr="00DC4981">
              <w:rPr>
                <w:snapToGrid w:val="0"/>
              </w:rPr>
              <w:t>Det innebär att driftsättningen och utvecklingen av de två</w:t>
            </w:r>
          </w:p>
          <w:p w:rsidR="00DC4981" w:rsidRDefault="00DC4981" w:rsidP="00DC4981">
            <w:pPr>
              <w:tabs>
                <w:tab w:val="left" w:pos="1701"/>
              </w:tabs>
              <w:rPr>
                <w:snapToGrid w:val="0"/>
              </w:rPr>
            </w:pPr>
            <w:r w:rsidRPr="00DC4981">
              <w:rPr>
                <w:snapToGrid w:val="0"/>
              </w:rPr>
              <w:t>flaggskeppsprogrammen, dvs. jordobserv</w:t>
            </w:r>
            <w:r>
              <w:rPr>
                <w:snapToGrid w:val="0"/>
              </w:rPr>
              <w:t xml:space="preserve">ationsprogrammet Copernicus och </w:t>
            </w:r>
            <w:r w:rsidRPr="00DC4981">
              <w:rPr>
                <w:snapToGrid w:val="0"/>
              </w:rPr>
              <w:t>positioneringssystemet Galileo, fortsatt bör prioriteras liksom</w:t>
            </w:r>
            <w:r>
              <w:rPr>
                <w:snapToGrid w:val="0"/>
              </w:rPr>
              <w:t xml:space="preserve"> </w:t>
            </w:r>
            <w:r w:rsidRPr="00DC4981">
              <w:rPr>
                <w:snapToGrid w:val="0"/>
              </w:rPr>
              <w:t>rymdskrotsövervakningsprogrammet (SST). Dessa program ingår i och utgör</w:t>
            </w:r>
            <w:r>
              <w:rPr>
                <w:snapToGrid w:val="0"/>
              </w:rPr>
              <w:t xml:space="preserve"> </w:t>
            </w:r>
            <w:r w:rsidRPr="00DC4981">
              <w:rPr>
                <w:snapToGrid w:val="0"/>
              </w:rPr>
              <w:t>huvuddelarna av den övergripande rymdförordningen som är föremål för förhandling och ska gälla för åren 2021–2027.</w:t>
            </w:r>
          </w:p>
          <w:p w:rsidR="00DC4981" w:rsidRDefault="00DC4981" w:rsidP="00DC4981">
            <w:pPr>
              <w:tabs>
                <w:tab w:val="left" w:pos="1701"/>
              </w:tabs>
              <w:rPr>
                <w:snapToGrid w:val="0"/>
              </w:rPr>
            </w:pPr>
          </w:p>
          <w:p w:rsidR="00DC4981" w:rsidRDefault="00DC4981" w:rsidP="00DC4981">
            <w:pPr>
              <w:tabs>
                <w:tab w:val="left" w:pos="1701"/>
              </w:tabs>
              <w:rPr>
                <w:snapToGrid w:val="0"/>
              </w:rPr>
            </w:pPr>
            <w:r w:rsidRPr="00DC4981">
              <w:rPr>
                <w:snapToGrid w:val="0"/>
              </w:rPr>
              <w:t>EU och Sverige kan då få fortsatta fördelar genom tillgång till data för applikationer och tjänster för ökad samhällsnytta, bättre kunskap om klimatförändringens effekter, ökad europeisk konkurrenskraft och excellens i forskning, innovation och teknologi.</w:t>
            </w:r>
          </w:p>
          <w:p w:rsidR="00DC4981" w:rsidRDefault="00DC4981" w:rsidP="00DC4981">
            <w:pPr>
              <w:tabs>
                <w:tab w:val="left" w:pos="1701"/>
              </w:tabs>
              <w:rPr>
                <w:snapToGrid w:val="0"/>
              </w:rPr>
            </w:pPr>
          </w:p>
          <w:p w:rsidR="00DC4981" w:rsidRDefault="00DC4981" w:rsidP="00DC4981">
            <w:pPr>
              <w:tabs>
                <w:tab w:val="left" w:pos="1701"/>
              </w:tabs>
              <w:rPr>
                <w:snapToGrid w:val="0"/>
              </w:rPr>
            </w:pPr>
            <w:r w:rsidRPr="00DC4981">
              <w:rPr>
                <w:snapToGrid w:val="0"/>
              </w:rPr>
              <w:t>Rymden är en gemensam resurs som bör förvaltas genom internationellt samarbete i de etablerade fora som finns i FN och andra organ för en fredlig användning av den yttre rymden.</w:t>
            </w:r>
          </w:p>
          <w:p w:rsidR="00E64BB0" w:rsidRDefault="00E64BB0" w:rsidP="00DC4981">
            <w:pPr>
              <w:tabs>
                <w:tab w:val="left" w:pos="1701"/>
              </w:tabs>
              <w:rPr>
                <w:snapToGrid w:val="0"/>
              </w:rPr>
            </w:pPr>
          </w:p>
          <w:p w:rsidR="00E64BB0" w:rsidRDefault="00E64BB0" w:rsidP="00DC4981">
            <w:pPr>
              <w:tabs>
                <w:tab w:val="left" w:pos="1701"/>
              </w:tabs>
              <w:rPr>
                <w:snapToGrid w:val="0"/>
              </w:rPr>
            </w:pPr>
            <w:r w:rsidRPr="00E64BB0">
              <w:rPr>
                <w:snapToGrid w:val="0"/>
              </w:rPr>
              <w:t xml:space="preserve">För att få bättre utväxling på initiativ i rymdsektorn på olika nivåer i Europa är det viktigt att öka kunskapen om vad som görs och planeras genom att fortsätta medlemsstaternas samarbeten genom både EU och </w:t>
            </w:r>
            <w:r w:rsidRPr="00E64BB0">
              <w:rPr>
                <w:snapToGrid w:val="0"/>
              </w:rPr>
              <w:lastRenderedPageBreak/>
              <w:t>ESA, vilket exempelvis kan underlättas genom återkommande gemensamma möten i Space Council, men framförallt att de operativa representanterna för dessa två organisationer fortsätter att stärka sina kontakter och effektivisera sina samarbeten i det dagliga arbetet. På så sätt kan medlemsstaterna i EU, som i många fall också är medlemmar i ESA, enklare fortsätta arbetet med att identifiera gemensamma ambitioner och utveckla Europas roll på den globala arenan</w:t>
            </w:r>
            <w:r>
              <w:rPr>
                <w:snapToGrid w:val="0"/>
              </w:rPr>
              <w:t>.</w:t>
            </w:r>
          </w:p>
          <w:p w:rsidR="00E64BB0" w:rsidRDefault="00E64BB0" w:rsidP="00DC4981">
            <w:pPr>
              <w:tabs>
                <w:tab w:val="left" w:pos="1701"/>
              </w:tabs>
              <w:rPr>
                <w:snapToGrid w:val="0"/>
              </w:rPr>
            </w:pPr>
          </w:p>
          <w:p w:rsidR="00E64BB0" w:rsidRPr="00A1336B" w:rsidRDefault="00E64BB0" w:rsidP="00DC4981">
            <w:pPr>
              <w:tabs>
                <w:tab w:val="left" w:pos="1701"/>
              </w:tabs>
              <w:rPr>
                <w:snapToGrid w:val="0"/>
              </w:rPr>
            </w:pPr>
            <w:r>
              <w:rPr>
                <w:i/>
                <w:snapToGrid w:val="0"/>
              </w:rPr>
              <w:t>Utskottet</w:t>
            </w:r>
            <w:r>
              <w:rPr>
                <w:i/>
                <w:snapToGrid w:val="0"/>
              </w:rPr>
              <w:br/>
            </w:r>
            <w:r w:rsidRPr="00A1336B">
              <w:rPr>
                <w:snapToGrid w:val="0"/>
              </w:rPr>
              <w:t xml:space="preserve">Ordföranden konstaterade att det fanns majoritet i utskottet för regeringens ståndpunkt. </w:t>
            </w:r>
          </w:p>
          <w:p w:rsidR="004B0D07" w:rsidRPr="00A1336B" w:rsidRDefault="004B0D07" w:rsidP="00DC4981">
            <w:pPr>
              <w:tabs>
                <w:tab w:val="left" w:pos="1701"/>
              </w:tabs>
              <w:rPr>
                <w:snapToGrid w:val="0"/>
              </w:rPr>
            </w:pPr>
          </w:p>
          <w:p w:rsidR="004B0D07" w:rsidRPr="00E64BB0" w:rsidRDefault="004B0D07" w:rsidP="00DC4981">
            <w:pPr>
              <w:tabs>
                <w:tab w:val="left" w:pos="1701"/>
              </w:tabs>
              <w:rPr>
                <w:snapToGrid w:val="0"/>
              </w:rPr>
            </w:pPr>
            <w:r w:rsidRPr="00A1336B">
              <w:rPr>
                <w:snapToGrid w:val="0"/>
              </w:rPr>
              <w:t>Vänsterpartiet anmälde följande avvikande mening: Vi anser att</w:t>
            </w:r>
            <w:r w:rsidR="00A1336B" w:rsidRPr="00A1336B">
              <w:rPr>
                <w:snapToGrid w:val="0"/>
              </w:rPr>
              <w:t xml:space="preserve"> den svenska ståndpunkten bör kompletteras med att</w:t>
            </w:r>
            <w:r w:rsidRPr="00A1336B">
              <w:rPr>
                <w:snapToGrid w:val="0"/>
              </w:rPr>
              <w:t xml:space="preserve"> den personliga integriteten ska beaktas.</w:t>
            </w:r>
            <w:r>
              <w:rPr>
                <w:snapToGrid w:val="0"/>
              </w:rPr>
              <w:t xml:space="preserve"> </w:t>
            </w:r>
          </w:p>
          <w:p w:rsidR="00DC4981" w:rsidRPr="00DC4981" w:rsidRDefault="00DC4981">
            <w:pPr>
              <w:tabs>
                <w:tab w:val="left" w:pos="1701"/>
              </w:tabs>
              <w:rPr>
                <w:snapToGrid w:val="0"/>
              </w:rPr>
            </w:pPr>
          </w:p>
        </w:tc>
      </w:tr>
      <w:tr w:rsidR="0063184A" w:rsidTr="002E35DF">
        <w:trPr>
          <w:gridBefore w:val="1"/>
          <w:wBefore w:w="1276" w:type="dxa"/>
        </w:trPr>
        <w:tc>
          <w:tcPr>
            <w:tcW w:w="567" w:type="dxa"/>
          </w:tcPr>
          <w:p w:rsidR="0063184A" w:rsidRPr="003B4DE8" w:rsidRDefault="0063184A" w:rsidP="003B4DE8">
            <w:pPr>
              <w:pStyle w:val="Liststycke"/>
              <w:numPr>
                <w:ilvl w:val="0"/>
                <w:numId w:val="2"/>
              </w:numPr>
              <w:tabs>
                <w:tab w:val="left" w:pos="1701"/>
              </w:tabs>
              <w:rPr>
                <w:b/>
                <w:snapToGrid w:val="0"/>
              </w:rPr>
            </w:pPr>
          </w:p>
        </w:tc>
        <w:tc>
          <w:tcPr>
            <w:tcW w:w="6946" w:type="dxa"/>
            <w:gridSpan w:val="19"/>
          </w:tcPr>
          <w:p w:rsidR="003C3B5F" w:rsidRDefault="00560668" w:rsidP="00E64BB0">
            <w:pPr>
              <w:tabs>
                <w:tab w:val="left" w:pos="1701"/>
              </w:tabs>
              <w:rPr>
                <w:b/>
                <w:bCs/>
                <w:color w:val="000000"/>
                <w:szCs w:val="24"/>
              </w:rPr>
            </w:pPr>
            <w:r w:rsidRPr="00FD1FCB">
              <w:rPr>
                <w:b/>
                <w:bCs/>
              </w:rPr>
              <w:t xml:space="preserve">EU-överläggning med regeringen enligt RO 7 kap. 12 § </w:t>
            </w:r>
            <w:r>
              <w:rPr>
                <w:b/>
                <w:bCs/>
                <w:color w:val="000000"/>
                <w:szCs w:val="24"/>
              </w:rPr>
              <w:t>om rymden som möjliggörare</w:t>
            </w:r>
          </w:p>
          <w:p w:rsidR="00E64BB0" w:rsidRPr="00DC4981" w:rsidRDefault="00E64BB0" w:rsidP="00E64BB0">
            <w:pPr>
              <w:tabs>
                <w:tab w:val="left" w:pos="1701"/>
              </w:tabs>
              <w:rPr>
                <w:snapToGrid w:val="0"/>
              </w:rPr>
            </w:pPr>
            <w:r>
              <w:rPr>
                <w:b/>
                <w:bCs/>
                <w:color w:val="000000"/>
                <w:szCs w:val="24"/>
              </w:rPr>
              <w:br/>
            </w:r>
            <w:r>
              <w:rPr>
                <w:snapToGrid w:val="0"/>
              </w:rPr>
              <w:t>Utskottet överlade med s</w:t>
            </w:r>
            <w:r w:rsidRPr="00DC4981">
              <w:rPr>
                <w:snapToGrid w:val="0"/>
              </w:rPr>
              <w:t>tatssekreteraren Malin Cederfeldt Östberg</w:t>
            </w:r>
            <w:r>
              <w:rPr>
                <w:snapToGrid w:val="0"/>
              </w:rPr>
              <w:t xml:space="preserve">, </w:t>
            </w:r>
            <w:r w:rsidR="004F3B33" w:rsidRPr="004F3B33">
              <w:rPr>
                <w:snapToGrid w:val="0"/>
              </w:rPr>
              <w:t>ämnesrådet David Edvardsson</w:t>
            </w:r>
            <w:r>
              <w:rPr>
                <w:snapToGrid w:val="0"/>
              </w:rPr>
              <w:t xml:space="preserve">, politiskt sakkunnige Sofia Johansson, utbildningsrådet Åsa Petri, ämnesrådet Magnus Härviden och departementssekreteraren Christian Hansen, samtliga från utbildningsdepartementet, om </w:t>
            </w:r>
            <w:r>
              <w:rPr>
                <w:bCs/>
                <w:snapToGrid w:val="0"/>
              </w:rPr>
              <w:t>rymden som möjliggörare.</w:t>
            </w:r>
          </w:p>
          <w:p w:rsidR="00E64BB0" w:rsidRDefault="00E64BB0" w:rsidP="00E64BB0">
            <w:pPr>
              <w:tabs>
                <w:tab w:val="left" w:pos="1701"/>
              </w:tabs>
              <w:rPr>
                <w:snapToGrid w:val="0"/>
              </w:rPr>
            </w:pPr>
          </w:p>
          <w:p w:rsidR="00E64BB0" w:rsidRPr="00DC4981" w:rsidRDefault="00E64BB0" w:rsidP="00E64BB0">
            <w:pPr>
              <w:tabs>
                <w:tab w:val="left" w:pos="1701"/>
              </w:tabs>
              <w:rPr>
                <w:i/>
                <w:snapToGrid w:val="0"/>
              </w:rPr>
            </w:pPr>
            <w:r>
              <w:rPr>
                <w:i/>
                <w:snapToGrid w:val="0"/>
              </w:rPr>
              <w:t>Underlag för överläggningen</w:t>
            </w:r>
          </w:p>
          <w:p w:rsidR="00E64BB0" w:rsidRDefault="00E64BB0" w:rsidP="00E64BB0">
            <w:pPr>
              <w:tabs>
                <w:tab w:val="left" w:pos="1701"/>
              </w:tabs>
              <w:rPr>
                <w:snapToGrid w:val="0"/>
              </w:rPr>
            </w:pPr>
            <w:r w:rsidRPr="00DC4981">
              <w:rPr>
                <w:snapToGrid w:val="0"/>
              </w:rPr>
              <w:t>Promemoria från Ut</w:t>
            </w:r>
            <w:r>
              <w:rPr>
                <w:snapToGrid w:val="0"/>
              </w:rPr>
              <w:t>bildningsdepartementet (Dnr 2349</w:t>
            </w:r>
            <w:r w:rsidRPr="00DC4981">
              <w:rPr>
                <w:snapToGrid w:val="0"/>
              </w:rPr>
              <w:t>-2018/19)</w:t>
            </w:r>
          </w:p>
          <w:p w:rsidR="00E64BB0" w:rsidRDefault="00E64BB0" w:rsidP="00E64BB0">
            <w:pPr>
              <w:tabs>
                <w:tab w:val="left" w:pos="1701"/>
              </w:tabs>
              <w:rPr>
                <w:snapToGrid w:val="0"/>
              </w:rPr>
            </w:pPr>
          </w:p>
          <w:p w:rsidR="00E64BB0" w:rsidRDefault="00E64BB0" w:rsidP="00E64BB0">
            <w:pPr>
              <w:tabs>
                <w:tab w:val="left" w:pos="1701"/>
              </w:tabs>
              <w:rPr>
                <w:i/>
                <w:snapToGrid w:val="0"/>
              </w:rPr>
            </w:pPr>
            <w:r>
              <w:rPr>
                <w:i/>
                <w:snapToGrid w:val="0"/>
              </w:rPr>
              <w:t>Regeringens förslag till svensk ståndpunkt</w:t>
            </w:r>
          </w:p>
          <w:p w:rsidR="00E64BB0" w:rsidRDefault="00E64BB0" w:rsidP="00E64BB0">
            <w:pPr>
              <w:tabs>
                <w:tab w:val="left" w:pos="1701"/>
              </w:tabs>
              <w:rPr>
                <w:snapToGrid w:val="0"/>
              </w:rPr>
            </w:pPr>
            <w:r w:rsidRPr="00E64BB0">
              <w:rPr>
                <w:snapToGrid w:val="0"/>
              </w:rPr>
              <w:t>Slutsatsernas lyfter fram nyttiggörande av rymdverksamheter och rymdens ökande betydelse för olika samhällssektorer vilket ligger väl i linje med den nationella svenska rymdstrategin som antogs förra året och den europeiska rymdstrategin som antogs 2016. Regeringen föreslår därför att Sverige ställer sig bakom rådslutsatserna.</w:t>
            </w:r>
          </w:p>
          <w:p w:rsidR="00E64BB0" w:rsidRDefault="00E64BB0" w:rsidP="00E64BB0">
            <w:pPr>
              <w:tabs>
                <w:tab w:val="left" w:pos="1701"/>
              </w:tabs>
              <w:rPr>
                <w:snapToGrid w:val="0"/>
              </w:rPr>
            </w:pPr>
          </w:p>
          <w:p w:rsidR="00E64BB0" w:rsidRPr="00E64BB0" w:rsidRDefault="00E64BB0" w:rsidP="00E64BB0">
            <w:pPr>
              <w:tabs>
                <w:tab w:val="left" w:pos="1701"/>
              </w:tabs>
              <w:rPr>
                <w:snapToGrid w:val="0"/>
              </w:rPr>
            </w:pPr>
            <w:r>
              <w:rPr>
                <w:i/>
                <w:snapToGrid w:val="0"/>
              </w:rPr>
              <w:t>Utskottet</w:t>
            </w:r>
            <w:r>
              <w:rPr>
                <w:i/>
                <w:snapToGrid w:val="0"/>
              </w:rPr>
              <w:br/>
            </w:r>
            <w:r w:rsidRPr="00783D84">
              <w:rPr>
                <w:snapToGrid w:val="0"/>
              </w:rPr>
              <w:t xml:space="preserve">Ordföranden </w:t>
            </w:r>
            <w:r w:rsidR="004B0D07" w:rsidRPr="00783D84">
              <w:rPr>
                <w:snapToGrid w:val="0"/>
              </w:rPr>
              <w:t>konstaterade att det fanns stöd</w:t>
            </w:r>
            <w:r w:rsidRPr="00783D84">
              <w:rPr>
                <w:snapToGrid w:val="0"/>
              </w:rPr>
              <w:t xml:space="preserve"> i utskottet för regeringens ståndpunkt.</w:t>
            </w:r>
            <w:r>
              <w:rPr>
                <w:snapToGrid w:val="0"/>
              </w:rPr>
              <w:t xml:space="preserve"> </w:t>
            </w:r>
          </w:p>
          <w:p w:rsidR="00560668" w:rsidRDefault="00560668">
            <w:pPr>
              <w:tabs>
                <w:tab w:val="left" w:pos="1701"/>
              </w:tabs>
              <w:rPr>
                <w:b/>
                <w:bCs/>
                <w:color w:val="000000"/>
                <w:szCs w:val="24"/>
              </w:rPr>
            </w:pPr>
          </w:p>
        </w:tc>
      </w:tr>
      <w:tr w:rsidR="0063184A" w:rsidTr="002E35DF">
        <w:trPr>
          <w:gridBefore w:val="1"/>
          <w:wBefore w:w="1276" w:type="dxa"/>
        </w:trPr>
        <w:tc>
          <w:tcPr>
            <w:tcW w:w="567" w:type="dxa"/>
          </w:tcPr>
          <w:p w:rsidR="0063184A" w:rsidRPr="003B4DE8" w:rsidRDefault="0063184A" w:rsidP="003B4DE8">
            <w:pPr>
              <w:pStyle w:val="Liststycke"/>
              <w:numPr>
                <w:ilvl w:val="0"/>
                <w:numId w:val="2"/>
              </w:numPr>
              <w:tabs>
                <w:tab w:val="left" w:pos="1701"/>
              </w:tabs>
              <w:rPr>
                <w:b/>
                <w:snapToGrid w:val="0"/>
              </w:rPr>
            </w:pPr>
          </w:p>
        </w:tc>
        <w:tc>
          <w:tcPr>
            <w:tcW w:w="6946" w:type="dxa"/>
            <w:gridSpan w:val="19"/>
          </w:tcPr>
          <w:p w:rsidR="003C3B5F" w:rsidRDefault="00560668" w:rsidP="00F910A1">
            <w:pPr>
              <w:tabs>
                <w:tab w:val="left" w:pos="1701"/>
              </w:tabs>
              <w:rPr>
                <w:b/>
                <w:bCs/>
                <w:color w:val="000000"/>
                <w:szCs w:val="24"/>
              </w:rPr>
            </w:pPr>
            <w:r>
              <w:rPr>
                <w:b/>
                <w:bCs/>
                <w:color w:val="000000"/>
                <w:szCs w:val="24"/>
              </w:rPr>
              <w:t>Information om förberedelserna inför rymdrådet med Esa</w:t>
            </w:r>
          </w:p>
          <w:p w:rsidR="00F910A1" w:rsidRPr="00DC4981" w:rsidRDefault="00F910A1" w:rsidP="00F910A1">
            <w:pPr>
              <w:tabs>
                <w:tab w:val="left" w:pos="1701"/>
              </w:tabs>
              <w:rPr>
                <w:snapToGrid w:val="0"/>
              </w:rPr>
            </w:pPr>
            <w:r>
              <w:rPr>
                <w:b/>
                <w:bCs/>
                <w:color w:val="000000"/>
                <w:szCs w:val="24"/>
              </w:rPr>
              <w:br/>
            </w:r>
            <w:r>
              <w:rPr>
                <w:snapToGrid w:val="0"/>
              </w:rPr>
              <w:t>Utskottet informerades av s</w:t>
            </w:r>
            <w:r w:rsidRPr="00DC4981">
              <w:rPr>
                <w:snapToGrid w:val="0"/>
              </w:rPr>
              <w:t>tatssekreteraren Malin Cederfeldt Östberg</w:t>
            </w:r>
            <w:r>
              <w:rPr>
                <w:snapToGrid w:val="0"/>
              </w:rPr>
              <w:t xml:space="preserve">, </w:t>
            </w:r>
            <w:r w:rsidR="004F3B33" w:rsidRPr="004F3B33">
              <w:rPr>
                <w:snapToGrid w:val="0"/>
              </w:rPr>
              <w:t>ämnesrådet David Edvardsson</w:t>
            </w:r>
            <w:r>
              <w:rPr>
                <w:snapToGrid w:val="0"/>
              </w:rPr>
              <w:t xml:space="preserve">, politiskt sakkunnige Sofia Johansson, utbildningsrådet Åsa Petri, ämnesrådet Magnus Härviden och departementssekreteraren Christian Hansen, samtliga från utbildningsdepartementet, om </w:t>
            </w:r>
            <w:r>
              <w:rPr>
                <w:bCs/>
                <w:snapToGrid w:val="0"/>
              </w:rPr>
              <w:t>förberedelserna inför rymdrådet med Esa.</w:t>
            </w:r>
          </w:p>
          <w:p w:rsidR="00F910A1" w:rsidRPr="00DC4981" w:rsidRDefault="00F910A1" w:rsidP="00F910A1">
            <w:pPr>
              <w:tabs>
                <w:tab w:val="left" w:pos="1701"/>
              </w:tabs>
              <w:rPr>
                <w:i/>
                <w:snapToGrid w:val="0"/>
              </w:rPr>
            </w:pPr>
            <w:r>
              <w:rPr>
                <w:b/>
                <w:bCs/>
                <w:color w:val="000000"/>
                <w:szCs w:val="24"/>
              </w:rPr>
              <w:br/>
            </w:r>
            <w:r>
              <w:rPr>
                <w:i/>
                <w:snapToGrid w:val="0"/>
              </w:rPr>
              <w:t>Underlag för informationen</w:t>
            </w:r>
          </w:p>
          <w:p w:rsidR="0063184A" w:rsidRPr="00F910A1" w:rsidRDefault="00F910A1">
            <w:pPr>
              <w:tabs>
                <w:tab w:val="left" w:pos="1701"/>
              </w:tabs>
              <w:rPr>
                <w:snapToGrid w:val="0"/>
              </w:rPr>
            </w:pPr>
            <w:r w:rsidRPr="00DC4981">
              <w:rPr>
                <w:snapToGrid w:val="0"/>
              </w:rPr>
              <w:t>Promemoria från Ut</w:t>
            </w:r>
            <w:r>
              <w:rPr>
                <w:snapToGrid w:val="0"/>
              </w:rPr>
              <w:t>bildningsdepartementet (Dnr 2350</w:t>
            </w:r>
            <w:r w:rsidRPr="00DC4981">
              <w:rPr>
                <w:snapToGrid w:val="0"/>
              </w:rPr>
              <w:t>-2018/19)</w:t>
            </w:r>
          </w:p>
          <w:p w:rsidR="00560668" w:rsidRDefault="00560668">
            <w:pPr>
              <w:tabs>
                <w:tab w:val="left" w:pos="1701"/>
              </w:tabs>
              <w:rPr>
                <w:b/>
                <w:bCs/>
                <w:color w:val="000000"/>
                <w:szCs w:val="24"/>
              </w:rPr>
            </w:pPr>
          </w:p>
        </w:tc>
      </w:tr>
      <w:tr w:rsidR="00560668" w:rsidTr="002E35DF">
        <w:trPr>
          <w:gridBefore w:val="1"/>
          <w:wBefore w:w="1276" w:type="dxa"/>
        </w:trPr>
        <w:tc>
          <w:tcPr>
            <w:tcW w:w="567" w:type="dxa"/>
          </w:tcPr>
          <w:p w:rsidR="00560668" w:rsidRPr="003B4DE8" w:rsidRDefault="00560668" w:rsidP="003B4DE8">
            <w:pPr>
              <w:pStyle w:val="Liststycke"/>
              <w:numPr>
                <w:ilvl w:val="0"/>
                <w:numId w:val="2"/>
              </w:numPr>
              <w:tabs>
                <w:tab w:val="left" w:pos="1701"/>
              </w:tabs>
              <w:rPr>
                <w:b/>
                <w:snapToGrid w:val="0"/>
              </w:rPr>
            </w:pPr>
          </w:p>
        </w:tc>
        <w:tc>
          <w:tcPr>
            <w:tcW w:w="6946" w:type="dxa"/>
            <w:gridSpan w:val="19"/>
          </w:tcPr>
          <w:p w:rsidR="00560668" w:rsidRDefault="00560668">
            <w:pPr>
              <w:tabs>
                <w:tab w:val="left" w:pos="1701"/>
              </w:tabs>
              <w:rPr>
                <w:b/>
                <w:bCs/>
                <w:color w:val="000000"/>
                <w:szCs w:val="24"/>
              </w:rPr>
            </w:pPr>
            <w:r>
              <w:rPr>
                <w:b/>
                <w:bCs/>
                <w:color w:val="000000"/>
                <w:szCs w:val="24"/>
              </w:rPr>
              <w:t xml:space="preserve">EU-överläggning </w:t>
            </w:r>
            <w:r w:rsidRPr="00FD1FCB">
              <w:rPr>
                <w:b/>
                <w:bCs/>
              </w:rPr>
              <w:t xml:space="preserve">med regeringen enligt RO 7 kap. 12 </w:t>
            </w:r>
            <w:r>
              <w:rPr>
                <w:b/>
                <w:bCs/>
                <w:color w:val="000000"/>
                <w:szCs w:val="24"/>
              </w:rPr>
              <w:t>om forskning och innovation som drivkrafter för ett mer konkurrenskraftigt EU</w:t>
            </w:r>
          </w:p>
          <w:p w:rsidR="003C3B5F" w:rsidRDefault="003C3B5F">
            <w:pPr>
              <w:tabs>
                <w:tab w:val="left" w:pos="1701"/>
              </w:tabs>
              <w:rPr>
                <w:b/>
                <w:bCs/>
                <w:color w:val="000000"/>
                <w:szCs w:val="24"/>
              </w:rPr>
            </w:pPr>
          </w:p>
          <w:p w:rsidR="00E64BB0" w:rsidRPr="00DC4981" w:rsidRDefault="00E64BB0" w:rsidP="00E64BB0">
            <w:pPr>
              <w:tabs>
                <w:tab w:val="left" w:pos="1701"/>
              </w:tabs>
              <w:rPr>
                <w:snapToGrid w:val="0"/>
              </w:rPr>
            </w:pPr>
            <w:r>
              <w:rPr>
                <w:snapToGrid w:val="0"/>
              </w:rPr>
              <w:t>Utskottet överlade med s</w:t>
            </w:r>
            <w:r w:rsidRPr="00DC4981">
              <w:rPr>
                <w:snapToGrid w:val="0"/>
              </w:rPr>
              <w:t>tatssekreteraren Malin Cederfeldt Östberg</w:t>
            </w:r>
            <w:r>
              <w:rPr>
                <w:snapToGrid w:val="0"/>
              </w:rPr>
              <w:t xml:space="preserve">, </w:t>
            </w:r>
            <w:r w:rsidR="004F3B33" w:rsidRPr="004F3B33">
              <w:rPr>
                <w:snapToGrid w:val="0"/>
              </w:rPr>
              <w:t>ämnesrådet David Edvardsson</w:t>
            </w:r>
            <w:r>
              <w:rPr>
                <w:snapToGrid w:val="0"/>
              </w:rPr>
              <w:t xml:space="preserve">, politiskt sakkunnige Sofia Johansson, utbildningsrådet Åsa Petri, ämnesrådet Magnus Härviden och departementssekreteraren Christian Hansen, samtliga från utbildningsdepartementet, om </w:t>
            </w:r>
            <w:r>
              <w:rPr>
                <w:bCs/>
                <w:snapToGrid w:val="0"/>
              </w:rPr>
              <w:t>forskning och innovation som drivkrafter för ett mer konkurrenskraftigt EU.</w:t>
            </w:r>
          </w:p>
          <w:p w:rsidR="00E64BB0" w:rsidRDefault="00E64BB0" w:rsidP="00E64BB0">
            <w:pPr>
              <w:tabs>
                <w:tab w:val="left" w:pos="1701"/>
              </w:tabs>
              <w:rPr>
                <w:snapToGrid w:val="0"/>
              </w:rPr>
            </w:pPr>
          </w:p>
          <w:p w:rsidR="00E64BB0" w:rsidRPr="00DC4981" w:rsidRDefault="00E64BB0" w:rsidP="00E64BB0">
            <w:pPr>
              <w:tabs>
                <w:tab w:val="left" w:pos="1701"/>
              </w:tabs>
              <w:rPr>
                <w:i/>
                <w:snapToGrid w:val="0"/>
              </w:rPr>
            </w:pPr>
            <w:r>
              <w:rPr>
                <w:i/>
                <w:snapToGrid w:val="0"/>
              </w:rPr>
              <w:t>Underlag för överläggningen</w:t>
            </w:r>
          </w:p>
          <w:p w:rsidR="00E64BB0" w:rsidRDefault="00E64BB0" w:rsidP="00E64BB0">
            <w:pPr>
              <w:tabs>
                <w:tab w:val="left" w:pos="1701"/>
              </w:tabs>
              <w:rPr>
                <w:snapToGrid w:val="0"/>
              </w:rPr>
            </w:pPr>
            <w:r w:rsidRPr="00DC4981">
              <w:rPr>
                <w:snapToGrid w:val="0"/>
              </w:rPr>
              <w:t>Promemoria från Ut</w:t>
            </w:r>
            <w:r>
              <w:rPr>
                <w:snapToGrid w:val="0"/>
              </w:rPr>
              <w:t>bildningsdepartementet (Dnr 2351</w:t>
            </w:r>
            <w:r w:rsidRPr="00DC4981">
              <w:rPr>
                <w:snapToGrid w:val="0"/>
              </w:rPr>
              <w:t>-2018/19)</w:t>
            </w:r>
          </w:p>
          <w:p w:rsidR="00E64BB0" w:rsidRDefault="00E64BB0" w:rsidP="00E64BB0">
            <w:pPr>
              <w:tabs>
                <w:tab w:val="left" w:pos="1701"/>
              </w:tabs>
              <w:rPr>
                <w:snapToGrid w:val="0"/>
              </w:rPr>
            </w:pPr>
          </w:p>
          <w:p w:rsidR="00E64BB0" w:rsidRDefault="00E64BB0" w:rsidP="00E64BB0">
            <w:pPr>
              <w:tabs>
                <w:tab w:val="left" w:pos="1701"/>
              </w:tabs>
              <w:rPr>
                <w:i/>
                <w:snapToGrid w:val="0"/>
              </w:rPr>
            </w:pPr>
            <w:r>
              <w:rPr>
                <w:i/>
                <w:snapToGrid w:val="0"/>
              </w:rPr>
              <w:t>Regeringens förslag till svensk ståndpunkt</w:t>
            </w:r>
          </w:p>
          <w:p w:rsidR="00E64BB0" w:rsidRDefault="00E64BB0" w:rsidP="00E64BB0">
            <w:pPr>
              <w:tabs>
                <w:tab w:val="left" w:pos="1701"/>
              </w:tabs>
              <w:rPr>
                <w:snapToGrid w:val="0"/>
              </w:rPr>
            </w:pPr>
            <w:r w:rsidRPr="00E64BB0">
              <w:rPr>
                <w:snapToGrid w:val="0"/>
              </w:rPr>
              <w:t xml:space="preserve">Regeringen ser generellt att all forskning och innovation kan driva på ökad konkurrenskraft för EU. Det är viktigt att forskning och innovation ses i ett brett perspektiv, med sikte på ökad konkurrenskraft på kort såväl som lång sikt. Grundforskning är en förutsättning för långsiktig konkurrenskraft. Den fria forskningen, där idéer kan leda till oväntade lösningar är lika viktigt som lösningsinriktade innovationsinsatser. </w:t>
            </w:r>
          </w:p>
          <w:p w:rsidR="00E64BB0" w:rsidRPr="00E64BB0" w:rsidRDefault="00E64BB0" w:rsidP="00E64BB0">
            <w:pPr>
              <w:tabs>
                <w:tab w:val="left" w:pos="1701"/>
              </w:tabs>
              <w:rPr>
                <w:snapToGrid w:val="0"/>
              </w:rPr>
            </w:pPr>
          </w:p>
          <w:p w:rsidR="00E64BB0" w:rsidRDefault="00E64BB0" w:rsidP="00E64BB0">
            <w:pPr>
              <w:tabs>
                <w:tab w:val="left" w:pos="1701"/>
              </w:tabs>
              <w:rPr>
                <w:snapToGrid w:val="0"/>
              </w:rPr>
            </w:pPr>
            <w:r w:rsidRPr="00E64BB0">
              <w:rPr>
                <w:snapToGrid w:val="0"/>
              </w:rPr>
              <w:t xml:space="preserve">Regeringen avser att lyfta fram att de insatser som sker på nationell nivå är helt och hållet avgörande för EU:s samlade konkurrenskraft. Investeringar i forskning och innovation är till största delen en nationell fråga, avsaknad av nationella investeringar kan inte kompenseras via EU-insatser. Men om EU ska lyckas öka sin konkurrenskraft och samtidigt möta samhällets utmaningar måste vi även agera samordnat och i gemensamma satsningar. </w:t>
            </w:r>
          </w:p>
          <w:p w:rsidR="00E64BB0" w:rsidRPr="00E64BB0" w:rsidRDefault="00E64BB0" w:rsidP="00E64BB0">
            <w:pPr>
              <w:tabs>
                <w:tab w:val="left" w:pos="1701"/>
              </w:tabs>
              <w:rPr>
                <w:snapToGrid w:val="0"/>
              </w:rPr>
            </w:pPr>
          </w:p>
          <w:p w:rsidR="00E64BB0" w:rsidRPr="00E64BB0" w:rsidRDefault="00E64BB0" w:rsidP="00E64BB0">
            <w:pPr>
              <w:tabs>
                <w:tab w:val="left" w:pos="1701"/>
              </w:tabs>
              <w:rPr>
                <w:snapToGrid w:val="0"/>
              </w:rPr>
            </w:pPr>
            <w:r w:rsidRPr="00E64BB0">
              <w:rPr>
                <w:snapToGrid w:val="0"/>
              </w:rPr>
              <w:t>För att forsknings- och innovationsinsatser ska leda till långsiktig nytta och konkurrenskraft krävs även samverkan mella</w:t>
            </w:r>
            <w:r>
              <w:rPr>
                <w:snapToGrid w:val="0"/>
              </w:rPr>
              <w:t xml:space="preserve">n olika delar av samhället, för </w:t>
            </w:r>
            <w:r w:rsidRPr="00E64BB0">
              <w:rPr>
                <w:snapToGrid w:val="0"/>
              </w:rPr>
              <w:t>att identifiera behov och hitta lösningar. Mycket av den samverkan uppstår redan spontant i samhället. Det finns dock samarbetsformer och synergier som kan behöva stöd för att största möjliga nytta ska skapas. Akademiker, forskare, företagare, entreprenörer, offentliga aktörer, kulturinstitutioner, civilsamhället och inte minst medborgarna måste vara involverade.</w:t>
            </w:r>
          </w:p>
          <w:p w:rsidR="00E64BB0" w:rsidRPr="00E64BB0" w:rsidRDefault="00E64BB0" w:rsidP="00E64BB0">
            <w:pPr>
              <w:tabs>
                <w:tab w:val="left" w:pos="1701"/>
              </w:tabs>
              <w:rPr>
                <w:snapToGrid w:val="0"/>
              </w:rPr>
            </w:pPr>
          </w:p>
          <w:p w:rsidR="00560668" w:rsidRPr="00A1336B" w:rsidRDefault="00E64BB0">
            <w:pPr>
              <w:tabs>
                <w:tab w:val="left" w:pos="1701"/>
              </w:tabs>
              <w:rPr>
                <w:snapToGrid w:val="0"/>
              </w:rPr>
            </w:pPr>
            <w:r>
              <w:rPr>
                <w:i/>
                <w:snapToGrid w:val="0"/>
              </w:rPr>
              <w:t>Utskottet</w:t>
            </w:r>
            <w:r>
              <w:rPr>
                <w:i/>
                <w:snapToGrid w:val="0"/>
              </w:rPr>
              <w:br/>
            </w:r>
            <w:r w:rsidRPr="00A1336B">
              <w:rPr>
                <w:snapToGrid w:val="0"/>
              </w:rPr>
              <w:t xml:space="preserve">Ordföranden konstaterade att det fanns majoritet i utskottet för regeringens ståndpunkt. </w:t>
            </w:r>
          </w:p>
          <w:p w:rsidR="004B0D07" w:rsidRPr="00A1336B" w:rsidRDefault="004B0D07">
            <w:pPr>
              <w:tabs>
                <w:tab w:val="left" w:pos="1701"/>
              </w:tabs>
              <w:rPr>
                <w:snapToGrid w:val="0"/>
              </w:rPr>
            </w:pPr>
          </w:p>
          <w:p w:rsidR="004B0D07" w:rsidRPr="00A1336B" w:rsidRDefault="004B0D07">
            <w:pPr>
              <w:tabs>
                <w:tab w:val="left" w:pos="1701"/>
              </w:tabs>
              <w:rPr>
                <w:snapToGrid w:val="0"/>
              </w:rPr>
            </w:pPr>
            <w:r w:rsidRPr="00A1336B">
              <w:rPr>
                <w:snapToGrid w:val="0"/>
              </w:rPr>
              <w:t>Vänsterpartiet anmälde följande avvikande mening: En förutsättning för full konkurrenskraft är att tydliga jämställdhets- och genusperspektiv finns med i forskningen och fördelningen av medel.</w:t>
            </w:r>
          </w:p>
          <w:p w:rsidR="004B0D07" w:rsidRPr="00A1336B" w:rsidRDefault="004B0D07">
            <w:pPr>
              <w:tabs>
                <w:tab w:val="left" w:pos="1701"/>
              </w:tabs>
              <w:rPr>
                <w:snapToGrid w:val="0"/>
              </w:rPr>
            </w:pPr>
          </w:p>
          <w:p w:rsidR="004B0D07" w:rsidRPr="00F910A1" w:rsidRDefault="004B0D07">
            <w:pPr>
              <w:tabs>
                <w:tab w:val="left" w:pos="1701"/>
              </w:tabs>
              <w:rPr>
                <w:snapToGrid w:val="0"/>
              </w:rPr>
            </w:pPr>
            <w:r w:rsidRPr="00A1336B">
              <w:rPr>
                <w:snapToGrid w:val="0"/>
              </w:rPr>
              <w:t>Moderaterna och Kristdemokraterna anmälde följande avvikande mening: Det ska finnas en tydlig struktur för uppföljning och utvärdering av uppdrag och program.</w:t>
            </w:r>
          </w:p>
          <w:p w:rsidR="00E64BB0" w:rsidRDefault="00E64BB0">
            <w:pPr>
              <w:tabs>
                <w:tab w:val="left" w:pos="1701"/>
              </w:tabs>
              <w:rPr>
                <w:b/>
                <w:bCs/>
                <w:color w:val="000000"/>
                <w:szCs w:val="24"/>
              </w:rPr>
            </w:pPr>
          </w:p>
        </w:tc>
      </w:tr>
      <w:tr w:rsidR="00560668" w:rsidTr="002E35DF">
        <w:trPr>
          <w:gridBefore w:val="1"/>
          <w:wBefore w:w="1276" w:type="dxa"/>
        </w:trPr>
        <w:tc>
          <w:tcPr>
            <w:tcW w:w="567" w:type="dxa"/>
          </w:tcPr>
          <w:p w:rsidR="00560668" w:rsidRPr="003B4DE8" w:rsidRDefault="00560668" w:rsidP="003B4DE8">
            <w:pPr>
              <w:pStyle w:val="Liststycke"/>
              <w:numPr>
                <w:ilvl w:val="0"/>
                <w:numId w:val="2"/>
              </w:numPr>
              <w:tabs>
                <w:tab w:val="left" w:pos="1701"/>
              </w:tabs>
              <w:rPr>
                <w:b/>
                <w:snapToGrid w:val="0"/>
              </w:rPr>
            </w:pPr>
          </w:p>
        </w:tc>
        <w:tc>
          <w:tcPr>
            <w:tcW w:w="6946" w:type="dxa"/>
            <w:gridSpan w:val="19"/>
          </w:tcPr>
          <w:p w:rsidR="003C3B5F" w:rsidRDefault="00560668" w:rsidP="00F910A1">
            <w:pPr>
              <w:tabs>
                <w:tab w:val="left" w:pos="1701"/>
              </w:tabs>
              <w:rPr>
                <w:b/>
                <w:bCs/>
                <w:color w:val="000000"/>
                <w:szCs w:val="24"/>
              </w:rPr>
            </w:pPr>
            <w:r>
              <w:rPr>
                <w:b/>
                <w:bCs/>
                <w:color w:val="000000"/>
                <w:szCs w:val="24"/>
              </w:rPr>
              <w:t>EU-information om Iter</w:t>
            </w:r>
          </w:p>
          <w:p w:rsidR="00F910A1" w:rsidRPr="00F910A1" w:rsidRDefault="00F910A1" w:rsidP="00F910A1">
            <w:pPr>
              <w:tabs>
                <w:tab w:val="left" w:pos="1701"/>
              </w:tabs>
              <w:rPr>
                <w:b/>
                <w:bCs/>
                <w:color w:val="000000"/>
                <w:szCs w:val="24"/>
              </w:rPr>
            </w:pPr>
            <w:r>
              <w:rPr>
                <w:b/>
                <w:bCs/>
                <w:color w:val="000000"/>
                <w:szCs w:val="24"/>
              </w:rPr>
              <w:br/>
            </w:r>
            <w:r w:rsidRPr="00F910A1">
              <w:rPr>
                <w:bCs/>
                <w:color w:val="000000"/>
                <w:szCs w:val="24"/>
              </w:rPr>
              <w:t xml:space="preserve">Utskottet informerades av statssekreteraren Malin Cederfeldt Östberg, </w:t>
            </w:r>
            <w:r w:rsidR="004F3B33" w:rsidRPr="004F3B33">
              <w:rPr>
                <w:bCs/>
                <w:color w:val="000000"/>
                <w:szCs w:val="24"/>
              </w:rPr>
              <w:t>ämnesrådet David Edvardsson</w:t>
            </w:r>
            <w:r w:rsidRPr="00F910A1">
              <w:rPr>
                <w:bCs/>
                <w:color w:val="000000"/>
                <w:szCs w:val="24"/>
              </w:rPr>
              <w:t>, politiskt sakkunnige Sofia Johansson, utbildningsrådet Åsa Petri, ämnesrådet Magnus Härviden och departementssekreteraren Christian Hansen, samtliga från utbildningsdepartementet, om Iter.</w:t>
            </w:r>
          </w:p>
          <w:p w:rsidR="00F910A1" w:rsidRPr="00F910A1" w:rsidRDefault="00F910A1" w:rsidP="00F910A1">
            <w:pPr>
              <w:tabs>
                <w:tab w:val="left" w:pos="1701"/>
              </w:tabs>
              <w:rPr>
                <w:b/>
                <w:bCs/>
                <w:color w:val="000000"/>
                <w:szCs w:val="24"/>
              </w:rPr>
            </w:pPr>
          </w:p>
          <w:p w:rsidR="00F910A1" w:rsidRPr="00F910A1" w:rsidRDefault="00F910A1" w:rsidP="00F910A1">
            <w:pPr>
              <w:tabs>
                <w:tab w:val="left" w:pos="1701"/>
              </w:tabs>
              <w:rPr>
                <w:bCs/>
                <w:i/>
                <w:color w:val="000000"/>
                <w:szCs w:val="24"/>
              </w:rPr>
            </w:pPr>
            <w:r w:rsidRPr="00F910A1">
              <w:rPr>
                <w:bCs/>
                <w:i/>
                <w:color w:val="000000"/>
                <w:szCs w:val="24"/>
              </w:rPr>
              <w:t>Underlag för informationen</w:t>
            </w:r>
          </w:p>
          <w:p w:rsidR="00560668" w:rsidRPr="00F910A1" w:rsidRDefault="00F910A1" w:rsidP="00F910A1">
            <w:pPr>
              <w:tabs>
                <w:tab w:val="left" w:pos="1701"/>
              </w:tabs>
              <w:rPr>
                <w:bCs/>
                <w:color w:val="000000"/>
                <w:szCs w:val="24"/>
              </w:rPr>
            </w:pPr>
            <w:r w:rsidRPr="00F910A1">
              <w:rPr>
                <w:bCs/>
                <w:color w:val="000000"/>
                <w:szCs w:val="24"/>
              </w:rPr>
              <w:t>Promemoria från Utbildningsdepartementet (Dnr 2352-2018/19)</w:t>
            </w:r>
          </w:p>
          <w:p w:rsidR="00560668" w:rsidRDefault="00560668">
            <w:pPr>
              <w:tabs>
                <w:tab w:val="left" w:pos="1701"/>
              </w:tabs>
              <w:rPr>
                <w:b/>
                <w:bCs/>
                <w:color w:val="000000"/>
                <w:szCs w:val="24"/>
              </w:rPr>
            </w:pPr>
          </w:p>
        </w:tc>
      </w:tr>
      <w:tr w:rsidR="00560668" w:rsidTr="002E35DF">
        <w:trPr>
          <w:gridBefore w:val="1"/>
          <w:wBefore w:w="1276" w:type="dxa"/>
        </w:trPr>
        <w:tc>
          <w:tcPr>
            <w:tcW w:w="567" w:type="dxa"/>
          </w:tcPr>
          <w:p w:rsidR="00560668" w:rsidRPr="003B4DE8" w:rsidRDefault="00560668" w:rsidP="003B4DE8">
            <w:pPr>
              <w:pStyle w:val="Liststycke"/>
              <w:numPr>
                <w:ilvl w:val="0"/>
                <w:numId w:val="2"/>
              </w:numPr>
              <w:tabs>
                <w:tab w:val="left" w:pos="1701"/>
              </w:tabs>
              <w:rPr>
                <w:b/>
                <w:snapToGrid w:val="0"/>
              </w:rPr>
            </w:pPr>
          </w:p>
        </w:tc>
        <w:tc>
          <w:tcPr>
            <w:tcW w:w="6946" w:type="dxa"/>
            <w:gridSpan w:val="19"/>
          </w:tcPr>
          <w:p w:rsidR="003C3B5F" w:rsidRDefault="00560668">
            <w:pPr>
              <w:tabs>
                <w:tab w:val="left" w:pos="1701"/>
              </w:tabs>
              <w:rPr>
                <w:b/>
                <w:bCs/>
                <w:color w:val="000000"/>
                <w:szCs w:val="24"/>
              </w:rPr>
            </w:pPr>
            <w:r>
              <w:rPr>
                <w:b/>
                <w:bCs/>
                <w:color w:val="000000"/>
                <w:szCs w:val="24"/>
              </w:rPr>
              <w:t>EU-information om Euratoms forsknings- och utbildningsprogram</w:t>
            </w:r>
          </w:p>
          <w:p w:rsidR="00560668" w:rsidRDefault="00F910A1">
            <w:pPr>
              <w:tabs>
                <w:tab w:val="left" w:pos="1701"/>
              </w:tabs>
              <w:rPr>
                <w:bCs/>
                <w:color w:val="000000"/>
                <w:szCs w:val="24"/>
              </w:rPr>
            </w:pPr>
            <w:r>
              <w:rPr>
                <w:b/>
                <w:bCs/>
                <w:color w:val="000000"/>
                <w:szCs w:val="24"/>
              </w:rPr>
              <w:br/>
            </w:r>
            <w:r w:rsidRPr="00F910A1">
              <w:rPr>
                <w:bCs/>
                <w:color w:val="000000"/>
                <w:szCs w:val="24"/>
              </w:rPr>
              <w:t xml:space="preserve">Utskottet informerades av statssekreteraren Malin Cederfeldt Östberg, </w:t>
            </w:r>
            <w:r w:rsidR="004F3B33" w:rsidRPr="004F3B33">
              <w:rPr>
                <w:bCs/>
                <w:color w:val="000000"/>
                <w:szCs w:val="24"/>
              </w:rPr>
              <w:t>ämnesrådet David Edvardsson</w:t>
            </w:r>
            <w:r w:rsidRPr="00F910A1">
              <w:rPr>
                <w:bCs/>
                <w:color w:val="000000"/>
                <w:szCs w:val="24"/>
              </w:rPr>
              <w:t xml:space="preserve">, politiskt sakkunnige Sofia Johansson, utbildningsrådet Åsa Petri, ämnesrådet Magnus Härviden och departementssekreteraren Christian Hansen, samtliga från utbildningsdepartementet, om </w:t>
            </w:r>
            <w:r>
              <w:rPr>
                <w:bCs/>
                <w:color w:val="000000"/>
                <w:szCs w:val="24"/>
              </w:rPr>
              <w:t>Euratoms forsknings- och utbildningsprogram</w:t>
            </w:r>
            <w:r w:rsidRPr="00F910A1">
              <w:rPr>
                <w:bCs/>
                <w:color w:val="000000"/>
                <w:szCs w:val="24"/>
              </w:rPr>
              <w:t>.</w:t>
            </w:r>
          </w:p>
          <w:p w:rsidR="00F910A1" w:rsidRDefault="00F910A1">
            <w:pPr>
              <w:tabs>
                <w:tab w:val="left" w:pos="1701"/>
              </w:tabs>
              <w:rPr>
                <w:bCs/>
                <w:color w:val="000000"/>
                <w:szCs w:val="24"/>
              </w:rPr>
            </w:pPr>
          </w:p>
          <w:p w:rsidR="00F910A1" w:rsidRDefault="00F910A1">
            <w:pPr>
              <w:tabs>
                <w:tab w:val="left" w:pos="1701"/>
              </w:tabs>
              <w:rPr>
                <w:bCs/>
                <w:color w:val="000000"/>
                <w:szCs w:val="24"/>
              </w:rPr>
            </w:pPr>
            <w:r>
              <w:rPr>
                <w:bCs/>
                <w:i/>
                <w:color w:val="000000"/>
                <w:szCs w:val="24"/>
              </w:rPr>
              <w:t>Underlag för informationen</w:t>
            </w:r>
          </w:p>
          <w:p w:rsidR="00F910A1" w:rsidRPr="00F910A1" w:rsidRDefault="00F910A1" w:rsidP="00F910A1">
            <w:pPr>
              <w:tabs>
                <w:tab w:val="left" w:pos="1701"/>
              </w:tabs>
              <w:rPr>
                <w:bCs/>
                <w:color w:val="000000"/>
                <w:szCs w:val="24"/>
              </w:rPr>
            </w:pPr>
            <w:r w:rsidRPr="00F910A1">
              <w:rPr>
                <w:bCs/>
                <w:color w:val="000000"/>
                <w:szCs w:val="24"/>
              </w:rPr>
              <w:t>Promemoria från Ut</w:t>
            </w:r>
            <w:r>
              <w:rPr>
                <w:bCs/>
                <w:color w:val="000000"/>
                <w:szCs w:val="24"/>
              </w:rPr>
              <w:t>bildningsdepartementet (Dnr 2353</w:t>
            </w:r>
            <w:r w:rsidRPr="00F910A1">
              <w:rPr>
                <w:bCs/>
                <w:color w:val="000000"/>
                <w:szCs w:val="24"/>
              </w:rPr>
              <w:t>-2018/19)</w:t>
            </w:r>
          </w:p>
          <w:p w:rsidR="00560668" w:rsidRDefault="00560668">
            <w:pPr>
              <w:tabs>
                <w:tab w:val="left" w:pos="1701"/>
              </w:tabs>
              <w:rPr>
                <w:b/>
                <w:bCs/>
                <w:color w:val="000000"/>
                <w:szCs w:val="24"/>
              </w:rPr>
            </w:pPr>
          </w:p>
        </w:tc>
      </w:tr>
      <w:tr w:rsidR="0063184A" w:rsidTr="002E35DF">
        <w:trPr>
          <w:gridBefore w:val="1"/>
          <w:wBefore w:w="1276" w:type="dxa"/>
        </w:trPr>
        <w:tc>
          <w:tcPr>
            <w:tcW w:w="567" w:type="dxa"/>
          </w:tcPr>
          <w:p w:rsidR="0063184A" w:rsidRPr="003B4DE8" w:rsidRDefault="0063184A" w:rsidP="003B4DE8">
            <w:pPr>
              <w:pStyle w:val="Liststycke"/>
              <w:numPr>
                <w:ilvl w:val="0"/>
                <w:numId w:val="2"/>
              </w:numPr>
              <w:tabs>
                <w:tab w:val="left" w:pos="1701"/>
              </w:tabs>
              <w:rPr>
                <w:b/>
                <w:snapToGrid w:val="0"/>
              </w:rPr>
            </w:pPr>
          </w:p>
        </w:tc>
        <w:tc>
          <w:tcPr>
            <w:tcW w:w="6946" w:type="dxa"/>
            <w:gridSpan w:val="19"/>
          </w:tcPr>
          <w:p w:rsidR="0063184A" w:rsidRDefault="0063184A">
            <w:pPr>
              <w:tabs>
                <w:tab w:val="left" w:pos="1701"/>
              </w:tabs>
              <w:rPr>
                <w:b/>
                <w:bCs/>
                <w:color w:val="000000"/>
                <w:szCs w:val="24"/>
              </w:rPr>
            </w:pPr>
            <w:r>
              <w:rPr>
                <w:b/>
                <w:bCs/>
                <w:color w:val="000000"/>
                <w:szCs w:val="24"/>
              </w:rPr>
              <w:t>Information från riksdagens</w:t>
            </w:r>
            <w:r w:rsidR="00560668">
              <w:rPr>
                <w:b/>
                <w:bCs/>
                <w:color w:val="000000"/>
                <w:szCs w:val="24"/>
              </w:rPr>
              <w:t xml:space="preserve"> tidigare</w:t>
            </w:r>
            <w:r>
              <w:rPr>
                <w:b/>
                <w:bCs/>
                <w:color w:val="000000"/>
                <w:szCs w:val="24"/>
              </w:rPr>
              <w:t xml:space="preserve"> EU-representant  </w:t>
            </w:r>
          </w:p>
          <w:p w:rsidR="00560668" w:rsidRDefault="00560668">
            <w:pPr>
              <w:tabs>
                <w:tab w:val="left" w:pos="1701"/>
              </w:tabs>
              <w:rPr>
                <w:color w:val="000000"/>
                <w:szCs w:val="24"/>
              </w:rPr>
            </w:pPr>
          </w:p>
          <w:p w:rsidR="0063184A" w:rsidRDefault="00560668">
            <w:pPr>
              <w:tabs>
                <w:tab w:val="left" w:pos="1701"/>
              </w:tabs>
              <w:rPr>
                <w:color w:val="000000"/>
                <w:szCs w:val="24"/>
              </w:rPr>
            </w:pPr>
            <w:r>
              <w:rPr>
                <w:color w:val="000000"/>
                <w:szCs w:val="24"/>
              </w:rPr>
              <w:t>Riksdagens tidigare EU-representant Livia Spada, från sekretariatet för EU-samordning, informerade om</w:t>
            </w:r>
            <w:r w:rsidR="00C170E0">
              <w:rPr>
                <w:color w:val="000000"/>
                <w:szCs w:val="24"/>
              </w:rPr>
              <w:t xml:space="preserve"> uppdraget som riksdagens EU-representant.</w:t>
            </w:r>
          </w:p>
          <w:p w:rsidR="00560668" w:rsidRDefault="00560668">
            <w:pPr>
              <w:tabs>
                <w:tab w:val="left" w:pos="1701"/>
              </w:tabs>
              <w:rPr>
                <w:b/>
                <w:bCs/>
                <w:color w:val="000000"/>
                <w:szCs w:val="24"/>
              </w:rPr>
            </w:pPr>
          </w:p>
        </w:tc>
      </w:tr>
      <w:tr w:rsidR="00447E69" w:rsidTr="002E35DF">
        <w:trPr>
          <w:gridBefore w:val="1"/>
          <w:wBefore w:w="1276" w:type="dxa"/>
        </w:trPr>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19"/>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3F0380">
              <w:rPr>
                <w:snapToGrid w:val="0"/>
              </w:rPr>
              <w:t>8</w:t>
            </w:r>
            <w:r w:rsidR="00267FC1">
              <w:rPr>
                <w:snapToGrid w:val="0"/>
              </w:rPr>
              <w:t>/</w:t>
            </w:r>
            <w:r w:rsidR="00C866DE">
              <w:rPr>
                <w:snapToGrid w:val="0"/>
              </w:rPr>
              <w:t>1</w:t>
            </w:r>
            <w:r w:rsidR="003F0380">
              <w:rPr>
                <w:snapToGrid w:val="0"/>
              </w:rPr>
              <w:t>9</w:t>
            </w:r>
            <w:r w:rsidR="00A2367D">
              <w:rPr>
                <w:snapToGrid w:val="0"/>
              </w:rPr>
              <w:t>:</w:t>
            </w:r>
            <w:r w:rsidR="0063184A">
              <w:rPr>
                <w:snapToGrid w:val="0"/>
              </w:rPr>
              <w:t>37</w:t>
            </w:r>
            <w:r w:rsidR="00447E69">
              <w:rPr>
                <w:snapToGrid w:val="0"/>
              </w:rPr>
              <w:t>.</w:t>
            </w:r>
          </w:p>
          <w:p w:rsidR="00447E69" w:rsidRDefault="00447E69">
            <w:pPr>
              <w:tabs>
                <w:tab w:val="left" w:pos="1701"/>
              </w:tabs>
              <w:rPr>
                <w:snapToGrid w:val="0"/>
              </w:rPr>
            </w:pPr>
          </w:p>
        </w:tc>
      </w:tr>
      <w:tr w:rsidR="00A35BE4" w:rsidTr="002E35DF">
        <w:trPr>
          <w:gridBefore w:val="1"/>
          <w:wBefore w:w="1276" w:type="dxa"/>
        </w:trPr>
        <w:tc>
          <w:tcPr>
            <w:tcW w:w="567" w:type="dxa"/>
          </w:tcPr>
          <w:p w:rsidR="00A35BE4" w:rsidRPr="003B4DE8" w:rsidRDefault="00A35BE4" w:rsidP="003B4DE8">
            <w:pPr>
              <w:pStyle w:val="Liststycke"/>
              <w:numPr>
                <w:ilvl w:val="0"/>
                <w:numId w:val="2"/>
              </w:numPr>
              <w:tabs>
                <w:tab w:val="left" w:pos="1701"/>
              </w:tabs>
              <w:rPr>
                <w:b/>
                <w:snapToGrid w:val="0"/>
              </w:rPr>
            </w:pPr>
          </w:p>
        </w:tc>
        <w:tc>
          <w:tcPr>
            <w:tcW w:w="6946" w:type="dxa"/>
            <w:gridSpan w:val="19"/>
          </w:tcPr>
          <w:p w:rsidR="00A35BE4" w:rsidRDefault="00A35BE4">
            <w:pPr>
              <w:tabs>
                <w:tab w:val="left" w:pos="1701"/>
              </w:tabs>
              <w:rPr>
                <w:b/>
                <w:snapToGrid w:val="0"/>
              </w:rPr>
            </w:pPr>
            <w:r>
              <w:rPr>
                <w:b/>
                <w:snapToGrid w:val="0"/>
              </w:rPr>
              <w:t>Anmälningar</w:t>
            </w:r>
          </w:p>
          <w:p w:rsidR="00A35BE4" w:rsidRDefault="00A35BE4">
            <w:pPr>
              <w:tabs>
                <w:tab w:val="left" w:pos="1701"/>
              </w:tabs>
              <w:rPr>
                <w:b/>
                <w:snapToGrid w:val="0"/>
              </w:rPr>
            </w:pPr>
          </w:p>
          <w:p w:rsidR="00A35BE4" w:rsidRPr="00A35BE4" w:rsidRDefault="00A35BE4">
            <w:pPr>
              <w:tabs>
                <w:tab w:val="left" w:pos="1701"/>
              </w:tabs>
              <w:rPr>
                <w:snapToGrid w:val="0"/>
              </w:rPr>
            </w:pPr>
            <w:r w:rsidRPr="00A35BE4">
              <w:rPr>
                <w:snapToGrid w:val="0"/>
              </w:rPr>
              <w:t>Inkomna skrivelser anmäldes enligt bilaga 2.</w:t>
            </w:r>
          </w:p>
          <w:p w:rsidR="00A35BE4" w:rsidRDefault="00A35BE4">
            <w:pPr>
              <w:tabs>
                <w:tab w:val="left" w:pos="1701"/>
              </w:tabs>
              <w:rPr>
                <w:b/>
                <w:snapToGrid w:val="0"/>
              </w:rPr>
            </w:pPr>
          </w:p>
        </w:tc>
      </w:tr>
      <w:tr w:rsidR="003B4DE8" w:rsidTr="002E35DF">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A35BE4">
              <w:rPr>
                <w:snapToGrid w:val="0"/>
              </w:rPr>
              <w:t>2</w:t>
            </w:r>
            <w:r w:rsidR="003B4DE8">
              <w:rPr>
                <w:snapToGrid w:val="0"/>
              </w:rPr>
              <w:t>.</w:t>
            </w:r>
          </w:p>
          <w:p w:rsidR="008802BB" w:rsidRDefault="008802BB" w:rsidP="003B4DE8">
            <w:pPr>
              <w:tabs>
                <w:tab w:val="left" w:pos="1701"/>
              </w:tabs>
              <w:rPr>
                <w:snapToGrid w:val="0"/>
              </w:rPr>
            </w:pPr>
          </w:p>
          <w:p w:rsidR="008802BB" w:rsidRDefault="008802BB" w:rsidP="008802BB">
            <w:pPr>
              <w:rPr>
                <w:snapToGrid w:val="0"/>
                <w:szCs w:val="24"/>
              </w:rPr>
            </w:pPr>
            <w:r w:rsidRPr="00562888">
              <w:rPr>
                <w:snapToGrid w:val="0"/>
                <w:szCs w:val="24"/>
              </w:rPr>
              <w:t>Utskottet beslutade enligt 7 kap. 1</w:t>
            </w:r>
            <w:r w:rsidR="004000D1">
              <w:rPr>
                <w:snapToGrid w:val="0"/>
                <w:szCs w:val="24"/>
              </w:rPr>
              <w:t>2 § RO att begära överläggning</w:t>
            </w:r>
            <w:r w:rsidRPr="00562888">
              <w:rPr>
                <w:snapToGrid w:val="0"/>
                <w:szCs w:val="24"/>
              </w:rPr>
              <w:t xml:space="preserve"> </w:t>
            </w:r>
            <w:r>
              <w:rPr>
                <w:snapToGrid w:val="0"/>
                <w:szCs w:val="24"/>
              </w:rPr>
              <w:t>med regeringen</w:t>
            </w:r>
            <w:r w:rsidRPr="00562888">
              <w:rPr>
                <w:snapToGrid w:val="0"/>
                <w:szCs w:val="24"/>
              </w:rPr>
              <w:t xml:space="preserve"> om:</w:t>
            </w:r>
          </w:p>
          <w:p w:rsidR="008802BB" w:rsidRPr="008802BB" w:rsidRDefault="008802BB" w:rsidP="008802BB">
            <w:pPr>
              <w:pStyle w:val="Liststycke"/>
              <w:numPr>
                <w:ilvl w:val="0"/>
                <w:numId w:val="4"/>
              </w:numPr>
              <w:ind w:left="564" w:hanging="426"/>
              <w:rPr>
                <w:snapToGrid w:val="0"/>
              </w:rPr>
            </w:pPr>
            <w:r>
              <w:rPr>
                <w:snapToGrid w:val="0"/>
                <w:szCs w:val="24"/>
              </w:rPr>
              <w:t>Att skapa förtroende för människocentrerad Artificiell intelligens</w:t>
            </w:r>
          </w:p>
          <w:p w:rsidR="003B4DE8" w:rsidRDefault="003B4DE8" w:rsidP="003B4DE8">
            <w:pPr>
              <w:tabs>
                <w:tab w:val="left" w:pos="1701"/>
              </w:tabs>
              <w:rPr>
                <w:snapToGrid w:val="0"/>
              </w:rPr>
            </w:pPr>
          </w:p>
        </w:tc>
      </w:tr>
      <w:tr w:rsidR="0063184A" w:rsidTr="002E35DF">
        <w:trPr>
          <w:gridBefore w:val="1"/>
          <w:wBefore w:w="1276" w:type="dxa"/>
        </w:trPr>
        <w:tc>
          <w:tcPr>
            <w:tcW w:w="567" w:type="dxa"/>
          </w:tcPr>
          <w:p w:rsidR="0063184A" w:rsidRPr="003B4DE8" w:rsidRDefault="0063184A" w:rsidP="003B4DE8">
            <w:pPr>
              <w:pStyle w:val="Liststycke"/>
              <w:numPr>
                <w:ilvl w:val="0"/>
                <w:numId w:val="2"/>
              </w:numPr>
              <w:tabs>
                <w:tab w:val="left" w:pos="1701"/>
              </w:tabs>
              <w:rPr>
                <w:b/>
                <w:snapToGrid w:val="0"/>
              </w:rPr>
            </w:pPr>
          </w:p>
        </w:tc>
        <w:tc>
          <w:tcPr>
            <w:tcW w:w="6946" w:type="dxa"/>
            <w:gridSpan w:val="19"/>
          </w:tcPr>
          <w:p w:rsidR="0063184A" w:rsidRDefault="0063184A" w:rsidP="003B4DE8">
            <w:pPr>
              <w:tabs>
                <w:tab w:val="left" w:pos="1701"/>
              </w:tabs>
              <w:rPr>
                <w:b/>
                <w:bCs/>
                <w:color w:val="000000"/>
                <w:szCs w:val="24"/>
              </w:rPr>
            </w:pPr>
            <w:r>
              <w:rPr>
                <w:b/>
                <w:bCs/>
                <w:color w:val="000000"/>
                <w:szCs w:val="24"/>
              </w:rPr>
              <w:t>Ändring av sammansättningen av Skolväsendets överklagandenämnd (UbU20)</w:t>
            </w:r>
          </w:p>
          <w:p w:rsidR="0063184A" w:rsidRDefault="0063184A" w:rsidP="003B4DE8">
            <w:pPr>
              <w:tabs>
                <w:tab w:val="left" w:pos="1701"/>
              </w:tabs>
              <w:rPr>
                <w:b/>
                <w:bCs/>
                <w:color w:val="000000"/>
                <w:szCs w:val="24"/>
              </w:rPr>
            </w:pPr>
          </w:p>
          <w:p w:rsidR="0063184A" w:rsidRPr="008700CF" w:rsidRDefault="0063184A" w:rsidP="003B4DE8">
            <w:pPr>
              <w:tabs>
                <w:tab w:val="left" w:pos="1701"/>
              </w:tabs>
              <w:rPr>
                <w:bCs/>
                <w:color w:val="000000"/>
                <w:szCs w:val="24"/>
              </w:rPr>
            </w:pPr>
            <w:r w:rsidRPr="008700CF">
              <w:rPr>
                <w:bCs/>
                <w:color w:val="000000"/>
                <w:szCs w:val="24"/>
              </w:rPr>
              <w:t>Utskottet fortsatte behandlingen av proposition 2018/19:74.</w:t>
            </w:r>
          </w:p>
          <w:p w:rsidR="0063184A" w:rsidRPr="008700CF" w:rsidRDefault="0063184A" w:rsidP="003B4DE8">
            <w:pPr>
              <w:tabs>
                <w:tab w:val="left" w:pos="1701"/>
              </w:tabs>
              <w:rPr>
                <w:bCs/>
                <w:color w:val="000000"/>
                <w:szCs w:val="24"/>
              </w:rPr>
            </w:pPr>
          </w:p>
          <w:p w:rsidR="0063184A" w:rsidRPr="008700CF" w:rsidRDefault="0063184A" w:rsidP="003B4DE8">
            <w:pPr>
              <w:tabs>
                <w:tab w:val="left" w:pos="1701"/>
              </w:tabs>
              <w:rPr>
                <w:bCs/>
                <w:color w:val="000000"/>
                <w:szCs w:val="24"/>
              </w:rPr>
            </w:pPr>
            <w:r w:rsidRPr="008700CF">
              <w:rPr>
                <w:bCs/>
                <w:color w:val="000000"/>
                <w:szCs w:val="24"/>
              </w:rPr>
              <w:t>Utskottet justerade betänkande 2018/19:UbU20.</w:t>
            </w:r>
          </w:p>
          <w:p w:rsidR="0063184A" w:rsidRPr="00CD461C" w:rsidRDefault="0063184A" w:rsidP="00560668">
            <w:pPr>
              <w:tabs>
                <w:tab w:val="left" w:pos="1701"/>
              </w:tabs>
              <w:rPr>
                <w:b/>
                <w:snapToGrid w:val="0"/>
              </w:rPr>
            </w:pPr>
          </w:p>
        </w:tc>
      </w:tr>
      <w:tr w:rsidR="0063184A" w:rsidTr="002E35DF">
        <w:trPr>
          <w:gridBefore w:val="1"/>
          <w:wBefore w:w="1276" w:type="dxa"/>
        </w:trPr>
        <w:tc>
          <w:tcPr>
            <w:tcW w:w="567" w:type="dxa"/>
          </w:tcPr>
          <w:p w:rsidR="0063184A" w:rsidRPr="003B4DE8" w:rsidRDefault="0063184A" w:rsidP="003B4DE8">
            <w:pPr>
              <w:pStyle w:val="Liststycke"/>
              <w:numPr>
                <w:ilvl w:val="0"/>
                <w:numId w:val="2"/>
              </w:numPr>
              <w:tabs>
                <w:tab w:val="left" w:pos="1701"/>
              </w:tabs>
              <w:rPr>
                <w:b/>
                <w:snapToGrid w:val="0"/>
              </w:rPr>
            </w:pPr>
          </w:p>
        </w:tc>
        <w:tc>
          <w:tcPr>
            <w:tcW w:w="6946" w:type="dxa"/>
            <w:gridSpan w:val="19"/>
          </w:tcPr>
          <w:p w:rsidR="0063184A" w:rsidRDefault="0063184A" w:rsidP="003B4DE8">
            <w:pPr>
              <w:tabs>
                <w:tab w:val="left" w:pos="1701"/>
              </w:tabs>
              <w:rPr>
                <w:b/>
                <w:bCs/>
                <w:color w:val="000000"/>
                <w:szCs w:val="24"/>
              </w:rPr>
            </w:pPr>
            <w:r>
              <w:rPr>
                <w:b/>
                <w:bCs/>
                <w:color w:val="000000"/>
                <w:szCs w:val="24"/>
              </w:rPr>
              <w:t>Vårändringsbudget för 2019 (UbU3y)</w:t>
            </w:r>
          </w:p>
          <w:p w:rsidR="0063184A" w:rsidRDefault="0063184A" w:rsidP="003B4DE8">
            <w:pPr>
              <w:tabs>
                <w:tab w:val="left" w:pos="1701"/>
              </w:tabs>
              <w:rPr>
                <w:b/>
                <w:bCs/>
                <w:color w:val="000000"/>
                <w:szCs w:val="24"/>
              </w:rPr>
            </w:pPr>
          </w:p>
          <w:p w:rsidR="00560668" w:rsidRDefault="00560668" w:rsidP="003B4DE8">
            <w:pPr>
              <w:tabs>
                <w:tab w:val="left" w:pos="1701"/>
              </w:tabs>
              <w:rPr>
                <w:color w:val="000000"/>
                <w:szCs w:val="24"/>
              </w:rPr>
            </w:pPr>
            <w:r>
              <w:rPr>
                <w:color w:val="000000"/>
                <w:szCs w:val="24"/>
              </w:rPr>
              <w:t>Utskottet fortsatte behandlingen av proposition 2018/19:99 och motioner.</w:t>
            </w:r>
          </w:p>
          <w:p w:rsidR="00560668" w:rsidRDefault="00560668" w:rsidP="003B4DE8">
            <w:pPr>
              <w:tabs>
                <w:tab w:val="left" w:pos="1701"/>
              </w:tabs>
              <w:rPr>
                <w:color w:val="000000"/>
                <w:szCs w:val="24"/>
              </w:rPr>
            </w:pPr>
          </w:p>
          <w:p w:rsidR="00560668" w:rsidRDefault="00560668" w:rsidP="003B4DE8">
            <w:pPr>
              <w:tabs>
                <w:tab w:val="left" w:pos="1701"/>
              </w:tabs>
              <w:rPr>
                <w:color w:val="000000"/>
                <w:szCs w:val="24"/>
              </w:rPr>
            </w:pPr>
            <w:r>
              <w:rPr>
                <w:color w:val="000000"/>
                <w:szCs w:val="24"/>
              </w:rPr>
              <w:t>Utskottet justerade yttrande 2018/19:UbU3y.</w:t>
            </w:r>
          </w:p>
          <w:p w:rsidR="00560668" w:rsidRDefault="00560668" w:rsidP="003B4DE8">
            <w:pPr>
              <w:tabs>
                <w:tab w:val="left" w:pos="1701"/>
              </w:tabs>
              <w:rPr>
                <w:color w:val="000000"/>
                <w:szCs w:val="24"/>
              </w:rPr>
            </w:pPr>
          </w:p>
          <w:p w:rsidR="00560668" w:rsidRDefault="00560668" w:rsidP="003B4DE8">
            <w:pPr>
              <w:tabs>
                <w:tab w:val="left" w:pos="1701"/>
              </w:tabs>
              <w:rPr>
                <w:color w:val="000000"/>
                <w:szCs w:val="24"/>
              </w:rPr>
            </w:pPr>
            <w:r>
              <w:rPr>
                <w:color w:val="000000"/>
                <w:szCs w:val="24"/>
              </w:rPr>
              <w:t>M-,V- och KD-ledamöterna anmälde avvikande meningar.</w:t>
            </w:r>
          </w:p>
          <w:p w:rsidR="0063184A" w:rsidRDefault="0063184A" w:rsidP="003B4DE8">
            <w:pPr>
              <w:tabs>
                <w:tab w:val="left" w:pos="1701"/>
              </w:tabs>
              <w:rPr>
                <w:b/>
                <w:bCs/>
                <w:color w:val="000000"/>
                <w:szCs w:val="24"/>
              </w:rPr>
            </w:pPr>
          </w:p>
        </w:tc>
      </w:tr>
      <w:tr w:rsidR="00560668" w:rsidTr="002E35DF">
        <w:trPr>
          <w:gridBefore w:val="1"/>
          <w:wBefore w:w="1276" w:type="dxa"/>
        </w:trPr>
        <w:tc>
          <w:tcPr>
            <w:tcW w:w="567" w:type="dxa"/>
          </w:tcPr>
          <w:p w:rsidR="00560668" w:rsidRPr="003B4DE8" w:rsidRDefault="00560668" w:rsidP="003B4DE8">
            <w:pPr>
              <w:pStyle w:val="Liststycke"/>
              <w:numPr>
                <w:ilvl w:val="0"/>
                <w:numId w:val="2"/>
              </w:numPr>
              <w:tabs>
                <w:tab w:val="left" w:pos="1701"/>
              </w:tabs>
              <w:rPr>
                <w:b/>
                <w:snapToGrid w:val="0"/>
              </w:rPr>
            </w:pPr>
          </w:p>
        </w:tc>
        <w:tc>
          <w:tcPr>
            <w:tcW w:w="6946" w:type="dxa"/>
            <w:gridSpan w:val="19"/>
          </w:tcPr>
          <w:p w:rsidR="00560668" w:rsidRDefault="00560668" w:rsidP="003B4DE8">
            <w:pPr>
              <w:tabs>
                <w:tab w:val="left" w:pos="1701"/>
              </w:tabs>
              <w:rPr>
                <w:rFonts w:eastAsiaTheme="minorHAnsi"/>
                <w:b/>
                <w:bCs/>
                <w:color w:val="000000"/>
                <w:szCs w:val="24"/>
                <w:lang w:eastAsia="en-US"/>
              </w:rPr>
            </w:pPr>
            <w:r>
              <w:rPr>
                <w:rFonts w:eastAsiaTheme="minorHAnsi"/>
                <w:b/>
                <w:bCs/>
                <w:color w:val="000000"/>
                <w:szCs w:val="24"/>
                <w:lang w:eastAsia="en-US"/>
              </w:rPr>
              <w:t>Arbetande suppleanter</w:t>
            </w:r>
            <w:r w:rsidR="00894FF7">
              <w:rPr>
                <w:rFonts w:eastAsiaTheme="minorHAnsi"/>
                <w:b/>
                <w:bCs/>
                <w:color w:val="000000"/>
                <w:szCs w:val="24"/>
                <w:lang w:eastAsia="en-US"/>
              </w:rPr>
              <w:t xml:space="preserve"> </w:t>
            </w:r>
          </w:p>
          <w:p w:rsidR="00560668" w:rsidRDefault="00560668" w:rsidP="003B4DE8">
            <w:pPr>
              <w:tabs>
                <w:tab w:val="left" w:pos="1701"/>
              </w:tabs>
              <w:rPr>
                <w:rFonts w:eastAsiaTheme="minorHAnsi"/>
                <w:b/>
                <w:bCs/>
                <w:color w:val="000000"/>
                <w:szCs w:val="24"/>
                <w:lang w:eastAsia="en-US"/>
              </w:rPr>
            </w:pPr>
          </w:p>
          <w:p w:rsidR="00894FF7" w:rsidRPr="00894FF7" w:rsidRDefault="00560668" w:rsidP="00894FF7">
            <w:pPr>
              <w:widowControl/>
              <w:rPr>
                <w:szCs w:val="24"/>
              </w:rPr>
            </w:pPr>
            <w:r w:rsidRPr="00894FF7">
              <w:rPr>
                <w:rFonts w:eastAsiaTheme="minorHAnsi"/>
                <w:bCs/>
                <w:color w:val="000000"/>
                <w:szCs w:val="24"/>
                <w:lang w:eastAsia="en-US"/>
              </w:rPr>
              <w:t>Utskottet beslutade att utse</w:t>
            </w:r>
            <w:r w:rsidR="00894FF7">
              <w:rPr>
                <w:rFonts w:eastAsiaTheme="minorHAnsi"/>
                <w:bCs/>
                <w:color w:val="000000"/>
                <w:szCs w:val="24"/>
                <w:lang w:eastAsia="en-US"/>
              </w:rPr>
              <w:t xml:space="preserve"> följande suppleanter till</w:t>
            </w:r>
            <w:r w:rsidRPr="00894FF7">
              <w:rPr>
                <w:rFonts w:eastAsiaTheme="minorHAnsi"/>
                <w:bCs/>
                <w:color w:val="000000"/>
                <w:szCs w:val="24"/>
                <w:lang w:eastAsia="en-US"/>
              </w:rPr>
              <w:t xml:space="preserve"> arbetande suppleanter</w:t>
            </w:r>
            <w:r w:rsidR="00894FF7">
              <w:rPr>
                <w:rFonts w:eastAsiaTheme="minorHAnsi"/>
                <w:bCs/>
                <w:color w:val="000000"/>
                <w:szCs w:val="24"/>
                <w:lang w:eastAsia="en-US"/>
              </w:rPr>
              <w:t xml:space="preserve"> </w:t>
            </w:r>
            <w:r w:rsidR="00783D84" w:rsidRPr="00894FF7">
              <w:rPr>
                <w:rFonts w:eastAsiaTheme="minorHAnsi"/>
                <w:bCs/>
                <w:color w:val="000000"/>
                <w:szCs w:val="24"/>
                <w:lang w:eastAsia="en-US"/>
              </w:rPr>
              <w:t>fr.o.m. den 16 maj 2019</w:t>
            </w:r>
            <w:r w:rsidR="00894FF7">
              <w:rPr>
                <w:rFonts w:eastAsiaTheme="minorHAnsi"/>
                <w:bCs/>
                <w:color w:val="000000"/>
                <w:szCs w:val="24"/>
                <w:lang w:eastAsia="en-US"/>
              </w:rPr>
              <w:t>:</w:t>
            </w:r>
          </w:p>
          <w:p w:rsidR="00894FF7" w:rsidRDefault="00894FF7" w:rsidP="00894FF7">
            <w:pPr>
              <w:pStyle w:val="Liststycke"/>
              <w:widowControl/>
              <w:numPr>
                <w:ilvl w:val="0"/>
                <w:numId w:val="5"/>
              </w:numPr>
            </w:pPr>
            <w:r>
              <w:t xml:space="preserve">Roza </w:t>
            </w:r>
            <w:r w:rsidRPr="00894FF7">
              <w:rPr>
                <w:color w:val="333333"/>
                <w:szCs w:val="24"/>
              </w:rPr>
              <w:t>Güclü Hedin (S)</w:t>
            </w:r>
          </w:p>
          <w:p w:rsidR="00894FF7" w:rsidRDefault="00894FF7" w:rsidP="00894FF7">
            <w:pPr>
              <w:pStyle w:val="Liststycke"/>
              <w:widowControl/>
              <w:numPr>
                <w:ilvl w:val="0"/>
                <w:numId w:val="5"/>
              </w:numPr>
            </w:pPr>
            <w:r>
              <w:t>Mattias Vepsä (S)</w:t>
            </w:r>
          </w:p>
          <w:p w:rsidR="00894FF7" w:rsidRDefault="00894FF7" w:rsidP="00894FF7">
            <w:pPr>
              <w:pStyle w:val="Liststycke"/>
              <w:widowControl/>
              <w:numPr>
                <w:ilvl w:val="0"/>
                <w:numId w:val="5"/>
              </w:numPr>
            </w:pPr>
            <w:r>
              <w:t>Noria Manouchi (M)</w:t>
            </w:r>
          </w:p>
          <w:p w:rsidR="00894FF7" w:rsidRDefault="00894FF7" w:rsidP="00894FF7">
            <w:pPr>
              <w:pStyle w:val="Liststycke"/>
              <w:widowControl/>
              <w:numPr>
                <w:ilvl w:val="0"/>
                <w:numId w:val="5"/>
              </w:numPr>
            </w:pPr>
            <w:r>
              <w:t>Jörgen Grubb (SD)</w:t>
            </w:r>
          </w:p>
          <w:p w:rsidR="00894FF7" w:rsidRDefault="00894FF7" w:rsidP="00894FF7">
            <w:pPr>
              <w:pStyle w:val="Liststycke"/>
              <w:widowControl/>
              <w:numPr>
                <w:ilvl w:val="0"/>
                <w:numId w:val="5"/>
              </w:numPr>
            </w:pPr>
            <w:r>
              <w:t>Niels Paarup-Petersen (C)</w:t>
            </w:r>
          </w:p>
          <w:p w:rsidR="00894FF7" w:rsidRDefault="00894FF7" w:rsidP="00894FF7">
            <w:pPr>
              <w:pStyle w:val="Liststycke"/>
              <w:widowControl/>
              <w:numPr>
                <w:ilvl w:val="0"/>
                <w:numId w:val="5"/>
              </w:numPr>
            </w:pPr>
            <w:r>
              <w:t>Ilona Szatmari Waldau (V)</w:t>
            </w:r>
          </w:p>
          <w:p w:rsidR="00560668" w:rsidRPr="0063184A" w:rsidRDefault="00560668" w:rsidP="003B4DE8">
            <w:pPr>
              <w:tabs>
                <w:tab w:val="left" w:pos="1701"/>
              </w:tabs>
              <w:rPr>
                <w:b/>
                <w:snapToGrid w:val="0"/>
              </w:rPr>
            </w:pPr>
          </w:p>
        </w:tc>
      </w:tr>
      <w:tr w:rsidR="00560668" w:rsidTr="002E35DF">
        <w:trPr>
          <w:gridBefore w:val="1"/>
          <w:wBefore w:w="1276" w:type="dxa"/>
        </w:trPr>
        <w:tc>
          <w:tcPr>
            <w:tcW w:w="567" w:type="dxa"/>
          </w:tcPr>
          <w:p w:rsidR="00560668" w:rsidRPr="003B4DE8" w:rsidRDefault="00560668" w:rsidP="003B4DE8">
            <w:pPr>
              <w:pStyle w:val="Liststycke"/>
              <w:numPr>
                <w:ilvl w:val="0"/>
                <w:numId w:val="2"/>
              </w:numPr>
              <w:tabs>
                <w:tab w:val="left" w:pos="1701"/>
              </w:tabs>
              <w:rPr>
                <w:b/>
                <w:snapToGrid w:val="0"/>
              </w:rPr>
            </w:pPr>
          </w:p>
        </w:tc>
        <w:tc>
          <w:tcPr>
            <w:tcW w:w="6946" w:type="dxa"/>
            <w:gridSpan w:val="19"/>
          </w:tcPr>
          <w:p w:rsidR="00560668" w:rsidRDefault="00560668" w:rsidP="003B4DE8">
            <w:pPr>
              <w:tabs>
                <w:tab w:val="left" w:pos="1701"/>
              </w:tabs>
              <w:rPr>
                <w:rFonts w:eastAsiaTheme="minorHAnsi"/>
                <w:b/>
                <w:color w:val="000000"/>
                <w:szCs w:val="24"/>
                <w:lang w:eastAsia="en-US"/>
              </w:rPr>
            </w:pPr>
            <w:r w:rsidRPr="00FF65E3">
              <w:rPr>
                <w:rFonts w:eastAsiaTheme="minorHAnsi"/>
                <w:b/>
                <w:color w:val="000000"/>
                <w:szCs w:val="24"/>
                <w:lang w:eastAsia="en-US"/>
              </w:rPr>
              <w:t>Utskottsresa till Frankrike 2019</w:t>
            </w:r>
          </w:p>
          <w:p w:rsidR="00560668" w:rsidRDefault="00560668" w:rsidP="003B4DE8">
            <w:pPr>
              <w:tabs>
                <w:tab w:val="left" w:pos="1701"/>
              </w:tabs>
              <w:rPr>
                <w:rFonts w:eastAsiaTheme="minorHAnsi"/>
                <w:b/>
                <w:color w:val="000000"/>
                <w:szCs w:val="24"/>
                <w:lang w:eastAsia="en-US"/>
              </w:rPr>
            </w:pPr>
          </w:p>
          <w:p w:rsidR="00560668" w:rsidRPr="00560668" w:rsidRDefault="00560668" w:rsidP="003B4DE8">
            <w:pPr>
              <w:tabs>
                <w:tab w:val="left" w:pos="1701"/>
              </w:tabs>
              <w:rPr>
                <w:rFonts w:eastAsiaTheme="minorHAnsi"/>
                <w:color w:val="000000"/>
                <w:szCs w:val="24"/>
                <w:lang w:eastAsia="en-US"/>
              </w:rPr>
            </w:pPr>
            <w:r w:rsidRPr="00560668">
              <w:rPr>
                <w:rFonts w:eastAsiaTheme="minorHAnsi"/>
                <w:color w:val="000000"/>
                <w:szCs w:val="24"/>
                <w:lang w:eastAsia="en-US"/>
              </w:rPr>
              <w:t>Utskottet beslutade att genomföra en utskottsresa till Frankrike 2019.</w:t>
            </w:r>
          </w:p>
          <w:p w:rsidR="00560668" w:rsidRPr="0063184A" w:rsidRDefault="00560668" w:rsidP="003B4DE8">
            <w:pPr>
              <w:tabs>
                <w:tab w:val="left" w:pos="1701"/>
              </w:tabs>
              <w:rPr>
                <w:b/>
                <w:snapToGrid w:val="0"/>
              </w:rPr>
            </w:pPr>
          </w:p>
        </w:tc>
      </w:tr>
      <w:tr w:rsidR="00560668" w:rsidTr="002E35DF">
        <w:trPr>
          <w:gridBefore w:val="1"/>
          <w:wBefore w:w="1276" w:type="dxa"/>
        </w:trPr>
        <w:tc>
          <w:tcPr>
            <w:tcW w:w="567" w:type="dxa"/>
          </w:tcPr>
          <w:p w:rsidR="00560668" w:rsidRPr="003B4DE8" w:rsidRDefault="00560668" w:rsidP="003B4DE8">
            <w:pPr>
              <w:pStyle w:val="Liststycke"/>
              <w:numPr>
                <w:ilvl w:val="0"/>
                <w:numId w:val="2"/>
              </w:numPr>
              <w:tabs>
                <w:tab w:val="left" w:pos="1701"/>
              </w:tabs>
              <w:rPr>
                <w:b/>
                <w:snapToGrid w:val="0"/>
              </w:rPr>
            </w:pPr>
          </w:p>
        </w:tc>
        <w:tc>
          <w:tcPr>
            <w:tcW w:w="6946" w:type="dxa"/>
            <w:gridSpan w:val="19"/>
          </w:tcPr>
          <w:p w:rsidR="00560668" w:rsidRDefault="00560668" w:rsidP="003B4DE8">
            <w:pPr>
              <w:tabs>
                <w:tab w:val="left" w:pos="1701"/>
              </w:tabs>
              <w:rPr>
                <w:rFonts w:eastAsiaTheme="minorHAnsi"/>
                <w:b/>
                <w:color w:val="000000"/>
                <w:szCs w:val="24"/>
                <w:lang w:eastAsia="en-US"/>
              </w:rPr>
            </w:pPr>
            <w:r w:rsidRPr="00FF65E3">
              <w:rPr>
                <w:rFonts w:eastAsiaTheme="minorHAnsi"/>
                <w:b/>
                <w:color w:val="000000"/>
                <w:szCs w:val="24"/>
                <w:lang w:eastAsia="en-US"/>
              </w:rPr>
              <w:t>Utskottsresa till Finland 2020</w:t>
            </w:r>
          </w:p>
          <w:p w:rsidR="00560668" w:rsidRDefault="00560668" w:rsidP="003B4DE8">
            <w:pPr>
              <w:tabs>
                <w:tab w:val="left" w:pos="1701"/>
              </w:tabs>
              <w:rPr>
                <w:b/>
                <w:snapToGrid w:val="0"/>
              </w:rPr>
            </w:pPr>
          </w:p>
          <w:p w:rsidR="00560668" w:rsidRPr="00560668" w:rsidRDefault="00560668" w:rsidP="003B4DE8">
            <w:pPr>
              <w:tabs>
                <w:tab w:val="left" w:pos="1701"/>
              </w:tabs>
              <w:rPr>
                <w:snapToGrid w:val="0"/>
              </w:rPr>
            </w:pPr>
            <w:r w:rsidRPr="00560668">
              <w:rPr>
                <w:snapToGrid w:val="0"/>
              </w:rPr>
              <w:t>Utskottet beslutade att genomföra en utskottsresa till Finland 2020.</w:t>
            </w:r>
          </w:p>
          <w:p w:rsidR="00560668" w:rsidRPr="0063184A" w:rsidRDefault="00560668" w:rsidP="003B4DE8">
            <w:pPr>
              <w:tabs>
                <w:tab w:val="left" w:pos="1701"/>
              </w:tabs>
              <w:rPr>
                <w:b/>
                <w:snapToGrid w:val="0"/>
              </w:rPr>
            </w:pPr>
          </w:p>
        </w:tc>
      </w:tr>
      <w:tr w:rsidR="003B4DE8" w:rsidTr="002E35DF">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3B4DE8" w:rsidRDefault="0063184A" w:rsidP="003B4DE8">
            <w:pPr>
              <w:tabs>
                <w:tab w:val="left" w:pos="1701"/>
              </w:tabs>
              <w:rPr>
                <w:b/>
                <w:snapToGrid w:val="0"/>
              </w:rPr>
            </w:pPr>
            <w:r w:rsidRPr="0063184A">
              <w:rPr>
                <w:b/>
                <w:snapToGrid w:val="0"/>
              </w:rPr>
              <w:t>Kanslimeddelanden</w:t>
            </w:r>
          </w:p>
          <w:p w:rsidR="0063184A" w:rsidRDefault="0063184A" w:rsidP="003B4DE8">
            <w:pPr>
              <w:tabs>
                <w:tab w:val="left" w:pos="1701"/>
              </w:tabs>
              <w:rPr>
                <w:b/>
                <w:snapToGrid w:val="0"/>
              </w:rPr>
            </w:pPr>
          </w:p>
          <w:p w:rsidR="00C170E0" w:rsidRPr="00C170E0" w:rsidRDefault="00C170E0" w:rsidP="003B4DE8">
            <w:pPr>
              <w:tabs>
                <w:tab w:val="left" w:pos="1701"/>
              </w:tabs>
              <w:rPr>
                <w:snapToGrid w:val="0"/>
              </w:rPr>
            </w:pPr>
            <w:r>
              <w:rPr>
                <w:snapToGrid w:val="0"/>
              </w:rPr>
              <w:t>Kanslichefen välkomnade utskottet till sommaravslutningskaffe, tisd</w:t>
            </w:r>
            <w:r w:rsidR="0073628A">
              <w:rPr>
                <w:snapToGrid w:val="0"/>
              </w:rPr>
              <w:t>agen den 4 juni kl. 10.00 i kaffe</w:t>
            </w:r>
            <w:r>
              <w:rPr>
                <w:snapToGrid w:val="0"/>
              </w:rPr>
              <w:t>rummet</w:t>
            </w:r>
            <w:r w:rsidR="00427846">
              <w:rPr>
                <w:snapToGrid w:val="0"/>
              </w:rPr>
              <w:t xml:space="preserve"> (RÖ4-24)</w:t>
            </w:r>
            <w:r>
              <w:rPr>
                <w:snapToGrid w:val="0"/>
              </w:rPr>
              <w:t>.</w:t>
            </w:r>
          </w:p>
          <w:p w:rsidR="00C170E0" w:rsidRPr="0063184A" w:rsidRDefault="00C170E0" w:rsidP="003B4DE8">
            <w:pPr>
              <w:tabs>
                <w:tab w:val="left" w:pos="1701"/>
              </w:tabs>
              <w:rPr>
                <w:b/>
                <w:snapToGrid w:val="0"/>
              </w:rPr>
            </w:pPr>
          </w:p>
        </w:tc>
      </w:tr>
      <w:tr w:rsidR="003B4DE8" w:rsidTr="002E35DF">
        <w:trPr>
          <w:gridBefore w:val="1"/>
          <w:wBefore w:w="1276" w:type="dxa"/>
        </w:trPr>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19"/>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C170E0">
            <w:pPr>
              <w:tabs>
                <w:tab w:val="left" w:pos="1701"/>
              </w:tabs>
              <w:rPr>
                <w:snapToGrid w:val="0"/>
              </w:rPr>
            </w:pPr>
            <w:r>
              <w:rPr>
                <w:szCs w:val="24"/>
              </w:rPr>
              <w:t xml:space="preserve">Nästa sammanträde </w:t>
            </w:r>
            <w:r w:rsidR="007765ED">
              <w:rPr>
                <w:szCs w:val="24"/>
              </w:rPr>
              <w:t>äger</w:t>
            </w:r>
            <w:r w:rsidR="0063184A">
              <w:rPr>
                <w:szCs w:val="24"/>
              </w:rPr>
              <w:t xml:space="preserve"> rum tis</w:t>
            </w:r>
            <w:r w:rsidR="00BB7028">
              <w:rPr>
                <w:szCs w:val="24"/>
              </w:rPr>
              <w:t xml:space="preserve">dagen den </w:t>
            </w:r>
            <w:r w:rsidR="00C170E0">
              <w:rPr>
                <w:szCs w:val="24"/>
              </w:rPr>
              <w:t>4 juni</w:t>
            </w:r>
            <w:r w:rsidR="00BB7028">
              <w:rPr>
                <w:szCs w:val="24"/>
              </w:rPr>
              <w:t xml:space="preserve"> 201</w:t>
            </w:r>
            <w:r w:rsidR="00FE5A5A">
              <w:rPr>
                <w:szCs w:val="24"/>
              </w:rPr>
              <w:t>9</w:t>
            </w:r>
            <w:r>
              <w:rPr>
                <w:szCs w:val="24"/>
              </w:rPr>
              <w:t xml:space="preserve"> kl. </w:t>
            </w:r>
            <w:r w:rsidR="0063184A">
              <w:rPr>
                <w:szCs w:val="24"/>
              </w:rPr>
              <w:t>11</w:t>
            </w:r>
            <w:r>
              <w:rPr>
                <w:szCs w:val="24"/>
              </w:rPr>
              <w:t>.00.</w:t>
            </w:r>
          </w:p>
        </w:tc>
      </w:tr>
      <w:tr w:rsidR="003B4DE8" w:rsidTr="002E35DF">
        <w:trPr>
          <w:gridBefore w:val="1"/>
          <w:gridAfter w:val="1"/>
          <w:wBefore w:w="1276" w:type="dxa"/>
          <w:wAfter w:w="357" w:type="dxa"/>
        </w:trPr>
        <w:tc>
          <w:tcPr>
            <w:tcW w:w="7156" w:type="dxa"/>
            <w:gridSpan w:val="19"/>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63184A" w:rsidP="00D817DA">
            <w:pPr>
              <w:tabs>
                <w:tab w:val="left" w:pos="1701"/>
              </w:tabs>
            </w:pPr>
            <w:r>
              <w:t>Jonas Brynhildsen</w:t>
            </w:r>
          </w:p>
          <w:p w:rsidR="00D817DA" w:rsidRDefault="00D817DA" w:rsidP="00D817DA">
            <w:pPr>
              <w:tabs>
                <w:tab w:val="left" w:pos="1701"/>
              </w:tabs>
            </w:pPr>
          </w:p>
          <w:p w:rsidR="00D817DA" w:rsidRDefault="00D817DA" w:rsidP="00D817DA">
            <w:pPr>
              <w:tabs>
                <w:tab w:val="left" w:pos="1701"/>
              </w:tabs>
            </w:pPr>
          </w:p>
          <w:p w:rsidR="00D817DA" w:rsidRDefault="0063184A" w:rsidP="00D817DA">
            <w:pPr>
              <w:tabs>
                <w:tab w:val="left" w:pos="1701"/>
              </w:tabs>
            </w:pPr>
            <w:r>
              <w:t xml:space="preserve">Justeras tisdagen den </w:t>
            </w:r>
            <w:r w:rsidR="00C170E0">
              <w:t>4 juni</w:t>
            </w:r>
            <w:r w:rsidR="00BB7028">
              <w:t xml:space="preserve"> 201</w:t>
            </w:r>
            <w:r w:rsidR="00FE5A5A">
              <w:t>9</w:t>
            </w:r>
          </w:p>
          <w:p w:rsidR="00D817DA" w:rsidRDefault="00D817DA" w:rsidP="00D817DA">
            <w:pPr>
              <w:tabs>
                <w:tab w:val="left" w:pos="1701"/>
              </w:tabs>
            </w:pPr>
          </w:p>
          <w:p w:rsidR="00D817DA" w:rsidRDefault="00D817DA" w:rsidP="00D817DA">
            <w:pPr>
              <w:tabs>
                <w:tab w:val="left" w:pos="1701"/>
              </w:tabs>
            </w:pPr>
          </w:p>
          <w:p w:rsidR="00D817DA" w:rsidRDefault="0067487F" w:rsidP="002E35DF">
            <w:pPr>
              <w:tabs>
                <w:tab w:val="left" w:pos="1701"/>
              </w:tabs>
              <w:rPr>
                <w:b/>
              </w:rPr>
            </w:pPr>
            <w:r>
              <w:t>Gunilla Svantorp</w:t>
            </w:r>
          </w:p>
        </w:tc>
      </w:tr>
      <w:tr w:rsidR="00BB7028" w:rsidTr="002E3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BB7028" w:rsidRDefault="00BB7028" w:rsidP="004C1EAB">
            <w:pPr>
              <w:tabs>
                <w:tab w:val="left" w:pos="1701"/>
              </w:tabs>
            </w:pPr>
            <w:r>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63184A">
            <w:pPr>
              <w:tabs>
                <w:tab w:val="left" w:pos="1701"/>
              </w:tabs>
            </w:pPr>
            <w:r>
              <w:t>201</w:t>
            </w:r>
            <w:r w:rsidR="003F0380">
              <w:t>8</w:t>
            </w:r>
            <w:r w:rsidR="00876835">
              <w:t>/1</w:t>
            </w:r>
            <w:r w:rsidR="003F0380">
              <w:t>9</w:t>
            </w:r>
            <w:r>
              <w:t>:</w:t>
            </w:r>
            <w:r w:rsidR="0063184A">
              <w:t>38</w:t>
            </w:r>
          </w:p>
        </w:tc>
      </w:tr>
      <w:tr w:rsidR="00C150F8" w:rsidTr="002E3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58" w:type="dxa"/>
        </w:trPr>
        <w:tc>
          <w:tcPr>
            <w:tcW w:w="3260" w:type="dxa"/>
            <w:gridSpan w:val="3"/>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2E35DF">
        <w:tblPrEx>
          <w:tblLook w:val="0000" w:firstRow="0" w:lastRow="0" w:firstColumn="0" w:lastColumn="0" w:noHBand="0" w:noVBand="0"/>
        </w:tblPrEx>
        <w:trPr>
          <w:gridAfter w:val="1"/>
          <w:wAfter w:w="358" w:type="dxa"/>
          <w:cantSplit/>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783D84"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1-4</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783D8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5-7</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783D84" w:rsidP="00A35BE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8-1</w:t>
            </w:r>
            <w:r w:rsidR="00A35BE4">
              <w:rPr>
                <w:sz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Gunilla Svantorp (S), ordförande</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6110B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 (L), förste vice ordförande</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RPr="00001172"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 (M), andre vice ordförande</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00117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RPr="00EC27A5"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RPr="00EC27A5"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Stockhaus (M)</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RPr="00EC27A5"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Pr="00EC27A5"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O</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Gustav Fridolin (MP)</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Mats Persson (L)</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RPr="009E1FCA"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83D84" w:rsidRPr="009E1FCA"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9E1FCA"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83D84" w:rsidRPr="00402D5D"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83D84" w:rsidRPr="00402D5D"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Vepsä (S)</w:t>
            </w: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83D84" w:rsidRPr="00402D5D"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Pr="003D41A2" w:rsidRDefault="00783D84" w:rsidP="00783D84">
            <w:pPr>
              <w:rPr>
                <w:sz w:val="22"/>
                <w:szCs w:val="22"/>
              </w:rPr>
            </w:pPr>
            <w:r>
              <w:rPr>
                <w:sz w:val="22"/>
                <w:szCs w:val="22"/>
              </w:rPr>
              <w:t>Saila Quicklund (M)</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Alice Bah Kuhnke (MP)</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Henrik Edin (L)</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Pr>
        <w:tc>
          <w:tcPr>
            <w:tcW w:w="3447" w:type="dxa"/>
            <w:gridSpan w:val="5"/>
            <w:tcBorders>
              <w:top w:val="single" w:sz="6" w:space="0" w:color="auto"/>
              <w:left w:val="single" w:sz="6" w:space="0" w:color="auto"/>
              <w:bottom w:val="single" w:sz="6" w:space="0" w:color="auto"/>
              <w:right w:val="single" w:sz="6" w:space="0" w:color="auto"/>
            </w:tcBorders>
          </w:tcPr>
          <w:p w:rsidR="00783D84" w:rsidRDefault="00783D84" w:rsidP="00783D84">
            <w:pPr>
              <w:rPr>
                <w:sz w:val="22"/>
                <w:szCs w:val="22"/>
              </w:rPr>
            </w:pPr>
            <w:r>
              <w:rPr>
                <w:sz w:val="22"/>
                <w:szCs w:val="22"/>
              </w:rPr>
              <w:t>Marie Axelsson (S)</w:t>
            </w: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83D84" w:rsidTr="002E35DF">
        <w:tblPrEx>
          <w:tblLook w:val="0000" w:firstRow="0" w:lastRow="0" w:firstColumn="0" w:lastColumn="0" w:noHBand="0" w:noVBand="0"/>
        </w:tblPrEx>
        <w:trPr>
          <w:gridAfter w:val="1"/>
          <w:wAfter w:w="358" w:type="dxa"/>
          <w:trHeight w:val="263"/>
        </w:trPr>
        <w:tc>
          <w:tcPr>
            <w:tcW w:w="3402" w:type="dxa"/>
            <w:gridSpan w:val="4"/>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783D84" w:rsidTr="002E35DF">
        <w:tblPrEx>
          <w:tblLook w:val="0000" w:firstRow="0" w:lastRow="0" w:firstColumn="0" w:lastColumn="0" w:noHBand="0" w:noVBand="0"/>
        </w:tblPrEx>
        <w:trPr>
          <w:gridAfter w:val="1"/>
          <w:wAfter w:w="358" w:type="dxa"/>
          <w:trHeight w:val="262"/>
        </w:trPr>
        <w:tc>
          <w:tcPr>
            <w:tcW w:w="3402" w:type="dxa"/>
            <w:gridSpan w:val="4"/>
          </w:tcPr>
          <w:p w:rsidR="00783D84" w:rsidRPr="003D41A2"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783D84" w:rsidRDefault="00783D84" w:rsidP="00783D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2E35DF" w:rsidRDefault="002E35DF" w:rsidP="007B341E">
      <w:pPr>
        <w:tabs>
          <w:tab w:val="left" w:pos="1276"/>
        </w:tabs>
        <w:ind w:left="-1134" w:firstLine="1134"/>
      </w:pPr>
    </w:p>
    <w:sectPr w:rsidR="002E35DF">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A8825DB"/>
    <w:multiLevelType w:val="hybridMultilevel"/>
    <w:tmpl w:val="E4180148"/>
    <w:lvl w:ilvl="0" w:tplc="A488802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687414"/>
    <w:multiLevelType w:val="hybridMultilevel"/>
    <w:tmpl w:val="8A7E85B4"/>
    <w:lvl w:ilvl="0" w:tplc="6158D066">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7FD270A5"/>
    <w:multiLevelType w:val="hybridMultilevel"/>
    <w:tmpl w:val="8046A6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50"/>
    <w:rsid w:val="00001172"/>
    <w:rsid w:val="0001177E"/>
    <w:rsid w:val="00013FF4"/>
    <w:rsid w:val="0001407C"/>
    <w:rsid w:val="00022A7C"/>
    <w:rsid w:val="00026856"/>
    <w:rsid w:val="00033465"/>
    <w:rsid w:val="00071F8E"/>
    <w:rsid w:val="00073768"/>
    <w:rsid w:val="00077650"/>
    <w:rsid w:val="000867B0"/>
    <w:rsid w:val="0009467D"/>
    <w:rsid w:val="00097DF0"/>
    <w:rsid w:val="000A2204"/>
    <w:rsid w:val="000B5D40"/>
    <w:rsid w:val="000C0C72"/>
    <w:rsid w:val="000C5953"/>
    <w:rsid w:val="000D534A"/>
    <w:rsid w:val="000E5FA0"/>
    <w:rsid w:val="000E611E"/>
    <w:rsid w:val="000F3EEE"/>
    <w:rsid w:val="000F4556"/>
    <w:rsid w:val="00100A34"/>
    <w:rsid w:val="00126727"/>
    <w:rsid w:val="00127778"/>
    <w:rsid w:val="00135412"/>
    <w:rsid w:val="00143656"/>
    <w:rsid w:val="00161A87"/>
    <w:rsid w:val="001634B9"/>
    <w:rsid w:val="001671DE"/>
    <w:rsid w:val="00186651"/>
    <w:rsid w:val="001A287E"/>
    <w:rsid w:val="001D5522"/>
    <w:rsid w:val="001F5AC6"/>
    <w:rsid w:val="002059AD"/>
    <w:rsid w:val="00207D45"/>
    <w:rsid w:val="0022226E"/>
    <w:rsid w:val="002462FF"/>
    <w:rsid w:val="00253162"/>
    <w:rsid w:val="002608E3"/>
    <w:rsid w:val="00267FC1"/>
    <w:rsid w:val="002871AD"/>
    <w:rsid w:val="002D5CD8"/>
    <w:rsid w:val="002E35DF"/>
    <w:rsid w:val="002E7435"/>
    <w:rsid w:val="002E7751"/>
    <w:rsid w:val="002F31F6"/>
    <w:rsid w:val="00303E1D"/>
    <w:rsid w:val="003125C1"/>
    <w:rsid w:val="00330C61"/>
    <w:rsid w:val="00335FB0"/>
    <w:rsid w:val="003372A6"/>
    <w:rsid w:val="0034218D"/>
    <w:rsid w:val="00355251"/>
    <w:rsid w:val="00360AE7"/>
    <w:rsid w:val="00361E18"/>
    <w:rsid w:val="00370F89"/>
    <w:rsid w:val="003806C2"/>
    <w:rsid w:val="0038157D"/>
    <w:rsid w:val="00387EC2"/>
    <w:rsid w:val="003A0CB8"/>
    <w:rsid w:val="003A5FC9"/>
    <w:rsid w:val="003B4DE8"/>
    <w:rsid w:val="003C3B5F"/>
    <w:rsid w:val="003D41A2"/>
    <w:rsid w:val="003F0380"/>
    <w:rsid w:val="003F4AD8"/>
    <w:rsid w:val="004000D1"/>
    <w:rsid w:val="00402D5D"/>
    <w:rsid w:val="0040376B"/>
    <w:rsid w:val="00407517"/>
    <w:rsid w:val="004214D1"/>
    <w:rsid w:val="00424C64"/>
    <w:rsid w:val="00427846"/>
    <w:rsid w:val="00437505"/>
    <w:rsid w:val="00447E69"/>
    <w:rsid w:val="004514FD"/>
    <w:rsid w:val="00453542"/>
    <w:rsid w:val="0045482B"/>
    <w:rsid w:val="00463AB2"/>
    <w:rsid w:val="004674B5"/>
    <w:rsid w:val="00483EB5"/>
    <w:rsid w:val="004875DF"/>
    <w:rsid w:val="004B0D07"/>
    <w:rsid w:val="004C4C01"/>
    <w:rsid w:val="004E024A"/>
    <w:rsid w:val="004F3B33"/>
    <w:rsid w:val="00501D18"/>
    <w:rsid w:val="00520D71"/>
    <w:rsid w:val="005331E3"/>
    <w:rsid w:val="005349AA"/>
    <w:rsid w:val="00560668"/>
    <w:rsid w:val="005739C0"/>
    <w:rsid w:val="00576AFA"/>
    <w:rsid w:val="00587BBF"/>
    <w:rsid w:val="005A3941"/>
    <w:rsid w:val="005A4EAC"/>
    <w:rsid w:val="005A63E8"/>
    <w:rsid w:val="005D0198"/>
    <w:rsid w:val="005D63F2"/>
    <w:rsid w:val="005E36F0"/>
    <w:rsid w:val="005F5155"/>
    <w:rsid w:val="00601C28"/>
    <w:rsid w:val="00602725"/>
    <w:rsid w:val="0060305B"/>
    <w:rsid w:val="006110B5"/>
    <w:rsid w:val="00622525"/>
    <w:rsid w:val="0063184A"/>
    <w:rsid w:val="00637376"/>
    <w:rsid w:val="00650ADB"/>
    <w:rsid w:val="00656ECC"/>
    <w:rsid w:val="00666846"/>
    <w:rsid w:val="00667E8B"/>
    <w:rsid w:val="0067487F"/>
    <w:rsid w:val="00680665"/>
    <w:rsid w:val="006965E4"/>
    <w:rsid w:val="006A2991"/>
    <w:rsid w:val="006B026C"/>
    <w:rsid w:val="006B1BCF"/>
    <w:rsid w:val="006B1D76"/>
    <w:rsid w:val="006B4C5A"/>
    <w:rsid w:val="006B65A5"/>
    <w:rsid w:val="006B7A08"/>
    <w:rsid w:val="006E0945"/>
    <w:rsid w:val="006E6B54"/>
    <w:rsid w:val="00711344"/>
    <w:rsid w:val="00721260"/>
    <w:rsid w:val="0073628A"/>
    <w:rsid w:val="00740F7D"/>
    <w:rsid w:val="00766B40"/>
    <w:rsid w:val="0076736F"/>
    <w:rsid w:val="00775DBD"/>
    <w:rsid w:val="007765ED"/>
    <w:rsid w:val="00776CA2"/>
    <w:rsid w:val="007801D9"/>
    <w:rsid w:val="00783D84"/>
    <w:rsid w:val="00786FC6"/>
    <w:rsid w:val="007A1350"/>
    <w:rsid w:val="007A2471"/>
    <w:rsid w:val="007B32E2"/>
    <w:rsid w:val="007B341E"/>
    <w:rsid w:val="007B38F0"/>
    <w:rsid w:val="007B66A7"/>
    <w:rsid w:val="007B6F35"/>
    <w:rsid w:val="007C0DFA"/>
    <w:rsid w:val="007C52B4"/>
    <w:rsid w:val="007D23C1"/>
    <w:rsid w:val="007D3639"/>
    <w:rsid w:val="007D47AC"/>
    <w:rsid w:val="007D76A1"/>
    <w:rsid w:val="007E5066"/>
    <w:rsid w:val="007E738E"/>
    <w:rsid w:val="007F73E1"/>
    <w:rsid w:val="00823C8C"/>
    <w:rsid w:val="00827DBD"/>
    <w:rsid w:val="00832BA8"/>
    <w:rsid w:val="0083501D"/>
    <w:rsid w:val="00841B9D"/>
    <w:rsid w:val="008700CF"/>
    <w:rsid w:val="00872753"/>
    <w:rsid w:val="00876835"/>
    <w:rsid w:val="008802BB"/>
    <w:rsid w:val="00886BA6"/>
    <w:rsid w:val="00894FF7"/>
    <w:rsid w:val="008B080B"/>
    <w:rsid w:val="008B4A0D"/>
    <w:rsid w:val="008C35C4"/>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36B"/>
    <w:rsid w:val="00A13D11"/>
    <w:rsid w:val="00A2367D"/>
    <w:rsid w:val="00A35BE4"/>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40576"/>
    <w:rsid w:val="00B432F2"/>
    <w:rsid w:val="00B529AF"/>
    <w:rsid w:val="00B6136A"/>
    <w:rsid w:val="00B63606"/>
    <w:rsid w:val="00B734EF"/>
    <w:rsid w:val="00BA1F9C"/>
    <w:rsid w:val="00BA404C"/>
    <w:rsid w:val="00BB4FC6"/>
    <w:rsid w:val="00BB6E1B"/>
    <w:rsid w:val="00BB7028"/>
    <w:rsid w:val="00BF1E92"/>
    <w:rsid w:val="00BF5F58"/>
    <w:rsid w:val="00C04265"/>
    <w:rsid w:val="00C1169B"/>
    <w:rsid w:val="00C150F8"/>
    <w:rsid w:val="00C170E0"/>
    <w:rsid w:val="00C21DC4"/>
    <w:rsid w:val="00C318F6"/>
    <w:rsid w:val="00C422E7"/>
    <w:rsid w:val="00C616C4"/>
    <w:rsid w:val="00C62BD3"/>
    <w:rsid w:val="00C6692B"/>
    <w:rsid w:val="00C66AC4"/>
    <w:rsid w:val="00C76BCC"/>
    <w:rsid w:val="00C77DBB"/>
    <w:rsid w:val="00C82E31"/>
    <w:rsid w:val="00C866DE"/>
    <w:rsid w:val="00C87373"/>
    <w:rsid w:val="00CA2266"/>
    <w:rsid w:val="00CC112D"/>
    <w:rsid w:val="00CC15D0"/>
    <w:rsid w:val="00CD10D8"/>
    <w:rsid w:val="00CD4DBD"/>
    <w:rsid w:val="00CE524E"/>
    <w:rsid w:val="00CF376E"/>
    <w:rsid w:val="00CF6815"/>
    <w:rsid w:val="00CF7C43"/>
    <w:rsid w:val="00D16550"/>
    <w:rsid w:val="00D21331"/>
    <w:rsid w:val="00D35718"/>
    <w:rsid w:val="00D4759F"/>
    <w:rsid w:val="00D6381F"/>
    <w:rsid w:val="00D63878"/>
    <w:rsid w:val="00D65276"/>
    <w:rsid w:val="00D67D14"/>
    <w:rsid w:val="00D73858"/>
    <w:rsid w:val="00D817DA"/>
    <w:rsid w:val="00D81F84"/>
    <w:rsid w:val="00D85D67"/>
    <w:rsid w:val="00DA2684"/>
    <w:rsid w:val="00DB451F"/>
    <w:rsid w:val="00DC4981"/>
    <w:rsid w:val="00DE08F2"/>
    <w:rsid w:val="00DE3264"/>
    <w:rsid w:val="00E0026B"/>
    <w:rsid w:val="00E03441"/>
    <w:rsid w:val="00E04650"/>
    <w:rsid w:val="00E12E8A"/>
    <w:rsid w:val="00E13501"/>
    <w:rsid w:val="00E15C69"/>
    <w:rsid w:val="00E15FBD"/>
    <w:rsid w:val="00E1627A"/>
    <w:rsid w:val="00E23AB7"/>
    <w:rsid w:val="00E2514D"/>
    <w:rsid w:val="00E45BEC"/>
    <w:rsid w:val="00E64BB0"/>
    <w:rsid w:val="00E776AC"/>
    <w:rsid w:val="00E77ADF"/>
    <w:rsid w:val="00E810DC"/>
    <w:rsid w:val="00EB577E"/>
    <w:rsid w:val="00EC27A5"/>
    <w:rsid w:val="00EC418A"/>
    <w:rsid w:val="00EE4C8A"/>
    <w:rsid w:val="00EE73D8"/>
    <w:rsid w:val="00F12574"/>
    <w:rsid w:val="00F23954"/>
    <w:rsid w:val="00F33EF9"/>
    <w:rsid w:val="00F7021F"/>
    <w:rsid w:val="00F70C44"/>
    <w:rsid w:val="00F72877"/>
    <w:rsid w:val="00F816D5"/>
    <w:rsid w:val="00F8533C"/>
    <w:rsid w:val="00F910A1"/>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D8924D-E412-4352-8BC3-1C28B743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560668"/>
    <w:rPr>
      <w:color w:val="0000FF"/>
      <w:u w:val="single"/>
    </w:rPr>
  </w:style>
  <w:style w:type="paragraph" w:customStyle="1" w:styleId="FormatmallPMrubrik14pt">
    <w:name w:val="Formatmall PMrubrik + 14 pt"/>
    <w:basedOn w:val="Normal"/>
    <w:semiHidden/>
    <w:unhideWhenUsed/>
    <w:rsid w:val="00427846"/>
    <w:pPr>
      <w:widowControl/>
      <w:spacing w:after="120" w:line="280" w:lineRule="atLeast"/>
    </w:pPr>
    <w:rPr>
      <w:rFonts w:ascii="GillSans Pro for Riksdagen Md" w:hAnsi="GillSans Pro for Riksdagen Md"/>
      <w:b/>
      <w:bCs/>
      <w:sz w:val="28"/>
      <w:szCs w:val="36"/>
    </w:rPr>
  </w:style>
  <w:style w:type="paragraph" w:styleId="Ballongtext">
    <w:name w:val="Balloon Text"/>
    <w:basedOn w:val="Normal"/>
    <w:link w:val="BallongtextChar"/>
    <w:rsid w:val="003C3B5F"/>
    <w:rPr>
      <w:rFonts w:ascii="Segoe UI" w:hAnsi="Segoe UI" w:cs="Segoe UI"/>
      <w:sz w:val="18"/>
      <w:szCs w:val="18"/>
    </w:rPr>
  </w:style>
  <w:style w:type="character" w:customStyle="1" w:styleId="BallongtextChar">
    <w:name w:val="Ballongtext Char"/>
    <w:basedOn w:val="Standardstycketeckensnitt"/>
    <w:link w:val="Ballongtext"/>
    <w:rsid w:val="003C3B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1449</Words>
  <Characters>9922</Characters>
  <Application>Microsoft Office Word</Application>
  <DocSecurity>4</DocSecurity>
  <Lines>1240</Lines>
  <Paragraphs>307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2019-05-16T14:42:00Z</cp:lastPrinted>
  <dcterms:created xsi:type="dcterms:W3CDTF">2019-06-04T12:10:00Z</dcterms:created>
  <dcterms:modified xsi:type="dcterms:W3CDTF">2019-06-04T12:10:00Z</dcterms:modified>
</cp:coreProperties>
</file>