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072C8B">
        <w:tblPrEx>
          <w:tblCellMar>
            <w:top w:w="0" w:type="dxa"/>
            <w:bottom w:w="0" w:type="dxa"/>
          </w:tblCellMar>
        </w:tblPrEx>
        <w:trPr>
          <w:cantSplit/>
          <w:trHeight w:val="1720"/>
        </w:trPr>
        <w:tc>
          <w:tcPr>
            <w:tcW w:w="6024" w:type="dxa"/>
            <w:gridSpan w:val="2"/>
          </w:tcPr>
          <w:p w:rsidR="000C6E9C" w:rsidRPr="00072C8B" w:rsidRDefault="00E7566B" w:rsidP="0020634B">
            <w:pPr>
              <w:pStyle w:val="HuvudRubrik"/>
            </w:pPr>
            <w:r w:rsidRPr="00072C8B">
              <w:t>Redogörelse till riksdagen</w:t>
            </w:r>
          </w:p>
          <w:p w:rsidR="000C6E9C" w:rsidRPr="00072C8B" w:rsidRDefault="00066C1B" w:rsidP="006D0187">
            <w:pPr>
              <w:pStyle w:val="HuvudRubrikRad2"/>
            </w:pPr>
            <w:bookmarkStart w:id="0" w:name="BetänkandeNr"/>
            <w:bookmarkEnd w:id="0"/>
            <w:r w:rsidRPr="00072C8B">
              <w:t>2006/07</w:t>
            </w:r>
            <w:r w:rsidR="000C6E9C" w:rsidRPr="00072C8B">
              <w:t>:</w:t>
            </w:r>
            <w:r w:rsidRPr="00072C8B">
              <w:t>RRS3</w:t>
            </w:r>
          </w:p>
        </w:tc>
        <w:tc>
          <w:tcPr>
            <w:tcW w:w="1418" w:type="dxa"/>
            <w:tcBorders>
              <w:bottom w:val="nil"/>
            </w:tcBorders>
          </w:tcPr>
          <w:p w:rsidR="000C6E9C" w:rsidRPr="00072C8B" w:rsidRDefault="00072C8B">
            <w:pPr>
              <w:spacing w:line="230" w:lineRule="auto"/>
              <w:jc w:val="center"/>
            </w:pPr>
            <w:r w:rsidRPr="00072C8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072C8B" w:rsidRDefault="000C6E9C">
            <w:pPr>
              <w:pStyle w:val="Normaltindrag"/>
              <w:jc w:val="center"/>
            </w:pPr>
          </w:p>
          <w:p w:rsidR="000C6E9C" w:rsidRPr="00072C8B" w:rsidRDefault="000C6E9C">
            <w:pPr>
              <w:pStyle w:val="StatusSida1"/>
            </w:pPr>
          </w:p>
          <w:p w:rsidR="007B7B66" w:rsidRPr="00072C8B" w:rsidRDefault="007B7B66">
            <w:pPr>
              <w:pStyle w:val="StatusSida1"/>
            </w:pPr>
          </w:p>
          <w:p w:rsidR="000C6E9C" w:rsidRPr="00072C8B" w:rsidRDefault="000C6E9C">
            <w:pPr>
              <w:pStyle w:val="UtskriftsdatumSida1"/>
              <w:framePr w:wrap="around"/>
            </w:pPr>
          </w:p>
        </w:tc>
      </w:tr>
      <w:tr w:rsidR="000C6E9C" w:rsidRPr="00072C8B">
        <w:tblPrEx>
          <w:tblCellMar>
            <w:top w:w="0" w:type="dxa"/>
            <w:bottom w:w="0" w:type="dxa"/>
          </w:tblCellMar>
        </w:tblPrEx>
        <w:trPr>
          <w:cantSplit/>
        </w:trPr>
        <w:tc>
          <w:tcPr>
            <w:tcW w:w="6024" w:type="dxa"/>
            <w:gridSpan w:val="2"/>
            <w:tcBorders>
              <w:bottom w:val="single" w:sz="4" w:space="0" w:color="auto"/>
            </w:tcBorders>
          </w:tcPr>
          <w:p w:rsidR="000C6E9C" w:rsidRPr="00072C8B" w:rsidRDefault="00E7566B">
            <w:pPr>
              <w:pStyle w:val="DokumentRubrik"/>
              <w:rPr>
                <w:noProof w:val="0"/>
              </w:rPr>
            </w:pPr>
            <w:bookmarkStart w:id="1" w:name="Huvudrubrik"/>
            <w:bookmarkEnd w:id="1"/>
            <w:r w:rsidRPr="00072C8B">
              <w:rPr>
                <w:noProof w:val="0"/>
              </w:rPr>
              <w:t>Riksrevisionens styrelses redogörelse angående formerna för styrning av de statliga bolagen</w:t>
            </w:r>
          </w:p>
        </w:tc>
        <w:tc>
          <w:tcPr>
            <w:tcW w:w="1418" w:type="dxa"/>
            <w:tcBorders>
              <w:bottom w:val="nil"/>
            </w:tcBorders>
          </w:tcPr>
          <w:p w:rsidR="000C6E9C" w:rsidRPr="00072C8B" w:rsidRDefault="000C6E9C"/>
        </w:tc>
      </w:tr>
      <w:tr w:rsidR="000C6E9C" w:rsidRPr="00072C8B">
        <w:tblPrEx>
          <w:tblCellMar>
            <w:top w:w="0" w:type="dxa"/>
            <w:bottom w:w="0" w:type="dxa"/>
          </w:tblCellMar>
        </w:tblPrEx>
        <w:trPr>
          <w:cantSplit/>
          <w:trHeight w:hRule="exact" w:val="360"/>
        </w:trPr>
        <w:tc>
          <w:tcPr>
            <w:tcW w:w="3012" w:type="dxa"/>
          </w:tcPr>
          <w:p w:rsidR="000C6E9C" w:rsidRPr="00072C8B" w:rsidRDefault="000C6E9C"/>
        </w:tc>
        <w:tc>
          <w:tcPr>
            <w:tcW w:w="3012" w:type="dxa"/>
          </w:tcPr>
          <w:p w:rsidR="000C6E9C" w:rsidRPr="00072C8B" w:rsidRDefault="000C6E9C"/>
        </w:tc>
        <w:tc>
          <w:tcPr>
            <w:tcW w:w="1418" w:type="dxa"/>
          </w:tcPr>
          <w:p w:rsidR="000C6E9C" w:rsidRPr="00072C8B" w:rsidRDefault="000C6E9C"/>
        </w:tc>
      </w:tr>
    </w:tbl>
    <w:p w:rsidR="000C6E9C" w:rsidRPr="00072C8B" w:rsidRDefault="000C6E9C"/>
    <w:p w:rsidR="00E7566B" w:rsidRPr="00072C8B" w:rsidRDefault="00E7566B" w:rsidP="00E7566B">
      <w:pPr>
        <w:pStyle w:val="Rubrik1"/>
        <w:spacing w:after="180"/>
        <w:rPr>
          <w:noProof w:val="0"/>
        </w:rPr>
      </w:pPr>
      <w:bookmarkStart w:id="2" w:name="_Toc145829839"/>
      <w:r w:rsidRPr="00072C8B">
        <w:rPr>
          <w:noProof w:val="0"/>
        </w:rPr>
        <w:t>Sammanfattning</w:t>
      </w:r>
      <w:bookmarkEnd w:id="2"/>
    </w:p>
    <w:p w:rsidR="00E7566B" w:rsidRPr="00072C8B" w:rsidRDefault="00581F47" w:rsidP="00E7566B">
      <w:bookmarkStart w:id="3" w:name="TextStart"/>
      <w:bookmarkEnd w:id="3"/>
      <w:r w:rsidRPr="00072C8B">
        <w:t xml:space="preserve">Riksrevisionen har granskat formerna för regeringens styrning av de statliga bolagen. Resultatet har redovisats i rapporten </w:t>
      </w:r>
      <w:r w:rsidRPr="00072C8B">
        <w:rPr>
          <w:i/>
        </w:rPr>
        <w:t>Vad och vem styr de statliga bolagen?</w:t>
      </w:r>
      <w:r w:rsidRPr="00072C8B">
        <w:t xml:space="preserve"> (RiR 2006:11). </w:t>
      </w:r>
    </w:p>
    <w:p w:rsidR="00C40EAA" w:rsidRPr="00072C8B" w:rsidRDefault="00581F47" w:rsidP="00E7566B">
      <w:pPr>
        <w:pStyle w:val="Normaltindrag"/>
      </w:pPr>
      <w:r w:rsidRPr="00072C8B">
        <w:t>Rapporten bygger på iakttagelser från Riksrevisionens tidigare grans</w:t>
      </w:r>
      <w:r w:rsidRPr="00072C8B">
        <w:t>k</w:t>
      </w:r>
      <w:r w:rsidRPr="00072C8B">
        <w:t xml:space="preserve">ningar av </w:t>
      </w:r>
      <w:r w:rsidR="000263BC" w:rsidRPr="00072C8B">
        <w:t xml:space="preserve">vissa </w:t>
      </w:r>
      <w:r w:rsidRPr="00072C8B">
        <w:t>statliga bolag tillsammans med en systematisk genomgång av nytt ma</w:t>
      </w:r>
      <w:r w:rsidR="00C40EAA" w:rsidRPr="00072C8B">
        <w:softHyphen/>
      </w:r>
      <w:r w:rsidRPr="00072C8B">
        <w:t>terial. Den nya granskningen o</w:t>
      </w:r>
      <w:r w:rsidRPr="00072C8B">
        <w:t>m</w:t>
      </w:r>
      <w:r w:rsidRPr="00072C8B">
        <w:t>fattar i det närmaste samtliga bolag i vilka sta</w:t>
      </w:r>
      <w:r w:rsidR="00C40EAA" w:rsidRPr="00072C8B">
        <w:softHyphen/>
      </w:r>
      <w:r w:rsidRPr="00072C8B">
        <w:t>ten äger större delen av akt</w:t>
      </w:r>
      <w:r w:rsidRPr="00072C8B">
        <w:t>i</w:t>
      </w:r>
      <w:r w:rsidRPr="00072C8B">
        <w:t xml:space="preserve">erna. </w:t>
      </w:r>
    </w:p>
    <w:p w:rsidR="00E7566B" w:rsidRPr="00072C8B" w:rsidRDefault="00C40EAA" w:rsidP="00E7566B">
      <w:pPr>
        <w:pStyle w:val="Normaltindrag"/>
      </w:pPr>
      <w:r w:rsidRPr="00072C8B">
        <w:t>Granskningen</w:t>
      </w:r>
      <w:r w:rsidR="00581F47" w:rsidRPr="00072C8B">
        <w:t xml:space="preserve"> visar enligt Riksrevisionen att </w:t>
      </w:r>
      <w:r w:rsidR="00D44C49" w:rsidRPr="00072C8B">
        <w:t>regeringens styrning av bol</w:t>
      </w:r>
      <w:r w:rsidR="00D44C49" w:rsidRPr="00072C8B">
        <w:t>a</w:t>
      </w:r>
      <w:r w:rsidR="00D44C49" w:rsidRPr="00072C8B">
        <w:t>gen baseras på dokument vars innehåll är otydligt och vars rätt</w:t>
      </w:r>
      <w:r w:rsidR="00D44C49" w:rsidRPr="00072C8B">
        <w:t>s</w:t>
      </w:r>
      <w:r w:rsidR="00D44C49" w:rsidRPr="00072C8B">
        <w:t>liga status är oklar.</w:t>
      </w:r>
      <w:r w:rsidR="009219CA" w:rsidRPr="00072C8B">
        <w:t xml:space="preserve"> De styrdokument som används, vid sidan av bolagsor</w:t>
      </w:r>
      <w:r w:rsidR="009219CA" w:rsidRPr="00072C8B">
        <w:t>d</w:t>
      </w:r>
      <w:r w:rsidR="009219CA" w:rsidRPr="00072C8B">
        <w:t>ningen, har van</w:t>
      </w:r>
      <w:r w:rsidRPr="00072C8B">
        <w:softHyphen/>
      </w:r>
      <w:r w:rsidR="009219CA" w:rsidRPr="00072C8B">
        <w:t>li</w:t>
      </w:r>
      <w:r w:rsidRPr="00072C8B">
        <w:softHyphen/>
      </w:r>
      <w:r w:rsidR="009219CA" w:rsidRPr="00072C8B">
        <w:t>gen inte beslutats på bolagsstämma. Dessutom finns otydligheter i dokume</w:t>
      </w:r>
      <w:r w:rsidR="009219CA" w:rsidRPr="00072C8B">
        <w:t>n</w:t>
      </w:r>
      <w:r w:rsidR="009219CA" w:rsidRPr="00072C8B">
        <w:t>tens innehåll, speciellt vad gäller bolagens sa</w:t>
      </w:r>
      <w:r w:rsidR="009219CA" w:rsidRPr="00072C8B">
        <w:t>m</w:t>
      </w:r>
      <w:r w:rsidR="009219CA" w:rsidRPr="00072C8B">
        <w:t xml:space="preserve">hällsuppdrag. </w:t>
      </w:r>
    </w:p>
    <w:p w:rsidR="00C40EAA" w:rsidRPr="00072C8B" w:rsidRDefault="00C40EAA" w:rsidP="00E7566B">
      <w:pPr>
        <w:pStyle w:val="Normaltindrag"/>
      </w:pPr>
      <w:r w:rsidRPr="00072C8B">
        <w:t>Styrelsen anser att Riksrevisionens iakttagelser är väsentliga och att resu</w:t>
      </w:r>
      <w:r w:rsidRPr="00072C8B">
        <w:t>l</w:t>
      </w:r>
      <w:r w:rsidRPr="00072C8B">
        <w:t>taten bör beaktas av riksdagen. Resultaten överensstämmer väl med tidigare gransk</w:t>
      </w:r>
      <w:r w:rsidRPr="00072C8B">
        <w:softHyphen/>
        <w:t>ningar som har föranlett framställningar från styrel</w:t>
      </w:r>
      <w:r w:rsidR="00640624" w:rsidRPr="00072C8B">
        <w:t xml:space="preserve">sen till riksdagen. De </w:t>
      </w:r>
      <w:r w:rsidRPr="00072C8B">
        <w:t xml:space="preserve">förslag </w:t>
      </w:r>
      <w:r w:rsidR="00640624" w:rsidRPr="00072C8B">
        <w:t xml:space="preserve">som tidigare framförts </w:t>
      </w:r>
      <w:r w:rsidRPr="00072C8B">
        <w:t>har enligt styrelsens mening fått ytterligare stöd genom den nya granskningen. Styrelsen noterar även att regeringen har beslutat om en översyn av Regeringskansliets förval</w:t>
      </w:r>
      <w:r w:rsidRPr="00072C8B">
        <w:t>t</w:t>
      </w:r>
      <w:r w:rsidRPr="00072C8B">
        <w:t>ning av statliga bolag. Mot denna bak</w:t>
      </w:r>
      <w:r w:rsidRPr="00072C8B">
        <w:softHyphen/>
        <w:t>grund, och med hänsyn till att styrelsens framställning rörande statliga bolags årsredovisningar (2005/06:RRS19) ännu inte har behandlats av riksdagen, överlämnar styrelsen denna redogörelse till riksd</w:t>
      </w:r>
      <w:r w:rsidRPr="00072C8B">
        <w:t>a</w:t>
      </w:r>
      <w:r w:rsidRPr="00072C8B">
        <w:t xml:space="preserve">gen. </w:t>
      </w:r>
    </w:p>
    <w:p w:rsidR="00E7566B" w:rsidRPr="00072C8B" w:rsidRDefault="00E7566B" w:rsidP="00E7566B">
      <w:pPr>
        <w:pStyle w:val="Normaltindrag"/>
      </w:pPr>
    </w:p>
    <w:p w:rsidR="00C40EAA" w:rsidRPr="00072C8B" w:rsidRDefault="00C40EAA" w:rsidP="00E7566B">
      <w:pPr>
        <w:pStyle w:val="Normaltindrag"/>
        <w:sectPr w:rsidR="00C40EAA" w:rsidRPr="00072C8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7566B" w:rsidRPr="00072C8B" w:rsidRDefault="00E7566B" w:rsidP="00E7566B">
      <w:pPr>
        <w:pStyle w:val="Rubrik1"/>
        <w:rPr>
          <w:noProof w:val="0"/>
        </w:rPr>
      </w:pPr>
      <w:bookmarkStart w:id="4" w:name="_Toc145829840"/>
      <w:r w:rsidRPr="00072C8B">
        <w:rPr>
          <w:noProof w:val="0"/>
        </w:rPr>
        <w:lastRenderedPageBreak/>
        <w:t>Innehållsförteckning</w:t>
      </w:r>
      <w:bookmarkEnd w:id="4"/>
    </w:p>
    <w:p w:rsidR="00A4282A" w:rsidRPr="00072C8B" w:rsidRDefault="00A4282A">
      <w:pPr>
        <w:pStyle w:val="Innehll1"/>
        <w:rPr>
          <w:sz w:val="24"/>
          <w:szCs w:val="24"/>
        </w:rPr>
      </w:pPr>
      <w:r w:rsidRPr="00072C8B">
        <w:t>Sammanfattning</w:t>
      </w:r>
      <w:r w:rsidRPr="00072C8B">
        <w:tab/>
        <w:t>1</w:t>
      </w:r>
    </w:p>
    <w:p w:rsidR="00A4282A" w:rsidRPr="00072C8B" w:rsidRDefault="00A4282A">
      <w:pPr>
        <w:pStyle w:val="Innehll1"/>
        <w:rPr>
          <w:sz w:val="24"/>
          <w:szCs w:val="24"/>
        </w:rPr>
      </w:pPr>
      <w:r w:rsidRPr="00072C8B">
        <w:t>Innehållsförteckning</w:t>
      </w:r>
      <w:r w:rsidRPr="00072C8B">
        <w:tab/>
        <w:t>2</w:t>
      </w:r>
    </w:p>
    <w:p w:rsidR="00A4282A" w:rsidRPr="00072C8B" w:rsidRDefault="00A4282A">
      <w:pPr>
        <w:pStyle w:val="Innehll1"/>
        <w:rPr>
          <w:sz w:val="24"/>
          <w:szCs w:val="24"/>
        </w:rPr>
      </w:pPr>
      <w:r w:rsidRPr="00072C8B">
        <w:t>Styrelsens redogörelse</w:t>
      </w:r>
      <w:r w:rsidRPr="00072C8B">
        <w:tab/>
        <w:t>3</w:t>
      </w:r>
    </w:p>
    <w:p w:rsidR="00A4282A" w:rsidRPr="00072C8B" w:rsidRDefault="00A4282A">
      <w:pPr>
        <w:pStyle w:val="Innehll1"/>
        <w:rPr>
          <w:sz w:val="24"/>
          <w:szCs w:val="24"/>
        </w:rPr>
      </w:pPr>
      <w:r w:rsidRPr="00072C8B">
        <w:t>Riksrevisionens granskning</w:t>
      </w:r>
      <w:r w:rsidRPr="00072C8B">
        <w:tab/>
        <w:t>4</w:t>
      </w:r>
    </w:p>
    <w:p w:rsidR="00A4282A" w:rsidRPr="00072C8B" w:rsidRDefault="00A4282A">
      <w:pPr>
        <w:pStyle w:val="Innehll2"/>
        <w:rPr>
          <w:sz w:val="24"/>
          <w:szCs w:val="24"/>
        </w:rPr>
      </w:pPr>
      <w:r w:rsidRPr="00072C8B">
        <w:t>De statliga bolagen</w:t>
      </w:r>
      <w:r w:rsidRPr="00072C8B">
        <w:tab/>
        <w:t>4</w:t>
      </w:r>
    </w:p>
    <w:p w:rsidR="00A4282A" w:rsidRPr="00072C8B" w:rsidRDefault="00A4282A">
      <w:pPr>
        <w:pStyle w:val="Innehll2"/>
        <w:rPr>
          <w:sz w:val="24"/>
          <w:szCs w:val="24"/>
        </w:rPr>
      </w:pPr>
      <w:r w:rsidRPr="00072C8B">
        <w:t>Granskningens motiv och inriktning</w:t>
      </w:r>
      <w:r w:rsidRPr="00072C8B">
        <w:tab/>
        <w:t>4</w:t>
      </w:r>
    </w:p>
    <w:p w:rsidR="00A4282A" w:rsidRPr="00072C8B" w:rsidRDefault="00A4282A">
      <w:pPr>
        <w:pStyle w:val="Innehll3"/>
        <w:rPr>
          <w:sz w:val="24"/>
          <w:szCs w:val="24"/>
        </w:rPr>
      </w:pPr>
      <w:r w:rsidRPr="00072C8B">
        <w:t>Tidigare granskningar visar otydlig styrning</w:t>
      </w:r>
      <w:r w:rsidRPr="00072C8B">
        <w:tab/>
        <w:t>4</w:t>
      </w:r>
    </w:p>
    <w:p w:rsidR="00A4282A" w:rsidRPr="00072C8B" w:rsidRDefault="00A4282A">
      <w:pPr>
        <w:pStyle w:val="Innehll3"/>
        <w:rPr>
          <w:sz w:val="24"/>
          <w:szCs w:val="24"/>
        </w:rPr>
      </w:pPr>
      <w:r w:rsidRPr="00072C8B">
        <w:t>Granskningens syfte och utgångspunkter</w:t>
      </w:r>
      <w:r w:rsidRPr="00072C8B">
        <w:tab/>
        <w:t>5</w:t>
      </w:r>
    </w:p>
    <w:p w:rsidR="00A4282A" w:rsidRPr="00072C8B" w:rsidRDefault="00A4282A">
      <w:pPr>
        <w:pStyle w:val="Innehll3"/>
        <w:rPr>
          <w:sz w:val="24"/>
          <w:szCs w:val="24"/>
        </w:rPr>
      </w:pPr>
      <w:r w:rsidRPr="00072C8B">
        <w:t>Aktiebolagslagen</w:t>
      </w:r>
      <w:r w:rsidRPr="00072C8B">
        <w:tab/>
        <w:t>6</w:t>
      </w:r>
    </w:p>
    <w:p w:rsidR="00A4282A" w:rsidRPr="00072C8B" w:rsidRDefault="00A4282A">
      <w:pPr>
        <w:pStyle w:val="Innehll3"/>
        <w:rPr>
          <w:sz w:val="24"/>
          <w:szCs w:val="24"/>
        </w:rPr>
      </w:pPr>
      <w:r w:rsidRPr="00072C8B">
        <w:t>Regeringens och riksdagens syn på styrningen</w:t>
      </w:r>
      <w:r w:rsidRPr="00072C8B">
        <w:tab/>
        <w:t>6</w:t>
      </w:r>
    </w:p>
    <w:p w:rsidR="00A4282A" w:rsidRPr="00072C8B" w:rsidRDefault="00A4282A">
      <w:pPr>
        <w:pStyle w:val="Innehll2"/>
        <w:rPr>
          <w:sz w:val="24"/>
          <w:szCs w:val="24"/>
        </w:rPr>
      </w:pPr>
      <w:r w:rsidRPr="00072C8B">
        <w:t>Två typer av bolag</w:t>
      </w:r>
      <w:r w:rsidRPr="00072C8B">
        <w:tab/>
        <w:t>7</w:t>
      </w:r>
    </w:p>
    <w:p w:rsidR="00A4282A" w:rsidRPr="00072C8B" w:rsidRDefault="00A4282A">
      <w:pPr>
        <w:pStyle w:val="Innehll3"/>
        <w:rPr>
          <w:sz w:val="24"/>
          <w:szCs w:val="24"/>
        </w:rPr>
      </w:pPr>
      <w:r w:rsidRPr="00072C8B">
        <w:t>Företag med särskilda samhällsintressen (S-bolag)</w:t>
      </w:r>
      <w:r w:rsidRPr="00072C8B">
        <w:tab/>
        <w:t>7</w:t>
      </w:r>
    </w:p>
    <w:p w:rsidR="00A4282A" w:rsidRPr="00072C8B" w:rsidRDefault="00A4282A">
      <w:pPr>
        <w:pStyle w:val="Innehll3"/>
        <w:rPr>
          <w:sz w:val="24"/>
          <w:szCs w:val="24"/>
        </w:rPr>
      </w:pPr>
      <w:r w:rsidRPr="00072C8B">
        <w:t>Företag med marknadsmässiga krav (M-bolag)</w:t>
      </w:r>
      <w:r w:rsidRPr="00072C8B">
        <w:tab/>
        <w:t>7</w:t>
      </w:r>
    </w:p>
    <w:p w:rsidR="00A4282A" w:rsidRPr="00072C8B" w:rsidRDefault="00A4282A">
      <w:pPr>
        <w:pStyle w:val="Innehll2"/>
        <w:rPr>
          <w:sz w:val="24"/>
          <w:szCs w:val="24"/>
        </w:rPr>
      </w:pPr>
      <w:r w:rsidRPr="00072C8B">
        <w:t>Iakttagelser och slutsatser</w:t>
      </w:r>
      <w:r w:rsidRPr="00072C8B">
        <w:tab/>
        <w:t>10</w:t>
      </w:r>
    </w:p>
    <w:p w:rsidR="00A4282A" w:rsidRPr="00072C8B" w:rsidRDefault="00A4282A">
      <w:pPr>
        <w:pStyle w:val="Innehll3"/>
        <w:rPr>
          <w:sz w:val="24"/>
          <w:szCs w:val="24"/>
        </w:rPr>
      </w:pPr>
      <w:r w:rsidRPr="00072C8B">
        <w:t>Betydande variationer i vilka styrdokument som används</w:t>
      </w:r>
      <w:r w:rsidRPr="00072C8B">
        <w:tab/>
        <w:t>10</w:t>
      </w:r>
    </w:p>
    <w:p w:rsidR="00A4282A" w:rsidRPr="00072C8B" w:rsidRDefault="00A4282A">
      <w:pPr>
        <w:pStyle w:val="Innehll3"/>
        <w:rPr>
          <w:sz w:val="24"/>
          <w:szCs w:val="24"/>
        </w:rPr>
      </w:pPr>
      <w:r w:rsidRPr="00072C8B">
        <w:t>Bolagens samhällsuppdrag är sällan konkreta i styrdokumenten</w:t>
      </w:r>
      <w:r w:rsidRPr="00072C8B">
        <w:tab/>
        <w:t>10</w:t>
      </w:r>
    </w:p>
    <w:p w:rsidR="00A4282A" w:rsidRPr="00072C8B" w:rsidRDefault="00A4282A">
      <w:pPr>
        <w:pStyle w:val="Innehll3"/>
        <w:rPr>
          <w:sz w:val="24"/>
          <w:szCs w:val="24"/>
        </w:rPr>
      </w:pPr>
      <w:r w:rsidRPr="00072C8B">
        <w:t>Styrdokument – förutom bolagsordningen – har normalt inte beslutats av bolagsstämma</w:t>
      </w:r>
      <w:r w:rsidRPr="00072C8B">
        <w:tab/>
        <w:t>11</w:t>
      </w:r>
    </w:p>
    <w:p w:rsidR="00A4282A" w:rsidRPr="00072C8B" w:rsidRDefault="00A4282A">
      <w:pPr>
        <w:pStyle w:val="Innehll3"/>
        <w:rPr>
          <w:sz w:val="24"/>
          <w:szCs w:val="24"/>
        </w:rPr>
      </w:pPr>
      <w:r w:rsidRPr="00072C8B">
        <w:t>Riksrevisionens sammanfattande bedömning</w:t>
      </w:r>
      <w:r w:rsidRPr="00072C8B">
        <w:tab/>
        <w:t>11</w:t>
      </w:r>
    </w:p>
    <w:p w:rsidR="00A4282A" w:rsidRPr="00072C8B" w:rsidRDefault="00A4282A">
      <w:pPr>
        <w:pStyle w:val="Innehll2"/>
        <w:rPr>
          <w:sz w:val="24"/>
          <w:szCs w:val="24"/>
        </w:rPr>
      </w:pPr>
      <w:r w:rsidRPr="00072C8B">
        <w:t>Riksrevisionens rekommendationer</w:t>
      </w:r>
      <w:r w:rsidRPr="00072C8B">
        <w:tab/>
        <w:t>11</w:t>
      </w:r>
    </w:p>
    <w:p w:rsidR="00A4282A" w:rsidRPr="00072C8B" w:rsidRDefault="00A4282A">
      <w:pPr>
        <w:pStyle w:val="Innehll3"/>
        <w:rPr>
          <w:sz w:val="24"/>
          <w:szCs w:val="24"/>
        </w:rPr>
      </w:pPr>
      <w:r w:rsidRPr="00072C8B">
        <w:t>Rekommendationer riktade till regeringen</w:t>
      </w:r>
      <w:r w:rsidRPr="00072C8B">
        <w:tab/>
        <w:t>12</w:t>
      </w:r>
    </w:p>
    <w:p w:rsidR="00A4282A" w:rsidRPr="00072C8B" w:rsidRDefault="00A4282A">
      <w:pPr>
        <w:pStyle w:val="Innehll3"/>
        <w:rPr>
          <w:sz w:val="24"/>
          <w:szCs w:val="24"/>
        </w:rPr>
      </w:pPr>
      <w:r w:rsidRPr="00072C8B">
        <w:t>Rekommendationer riktade till bolagens styrelser</w:t>
      </w:r>
      <w:r w:rsidRPr="00072C8B">
        <w:tab/>
        <w:t>12</w:t>
      </w:r>
    </w:p>
    <w:p w:rsidR="00A4282A" w:rsidRPr="00072C8B" w:rsidRDefault="00A4282A">
      <w:pPr>
        <w:pStyle w:val="Innehll1"/>
        <w:rPr>
          <w:sz w:val="24"/>
          <w:szCs w:val="24"/>
        </w:rPr>
      </w:pPr>
      <w:r w:rsidRPr="00072C8B">
        <w:t>Styrelsens överväganden</w:t>
      </w:r>
      <w:r w:rsidRPr="00072C8B">
        <w:tab/>
        <w:t>13</w:t>
      </w:r>
    </w:p>
    <w:p w:rsidR="00E7566B" w:rsidRPr="00072C8B" w:rsidRDefault="00E7566B" w:rsidP="00E7566B"/>
    <w:p w:rsidR="00E7566B" w:rsidRPr="00072C8B" w:rsidRDefault="00E7566B" w:rsidP="00E7566B">
      <w:pPr>
        <w:pStyle w:val="Normaltindrag"/>
        <w:sectPr w:rsidR="00E7566B" w:rsidRPr="00072C8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7566B" w:rsidRPr="00072C8B" w:rsidRDefault="00E7566B" w:rsidP="00E7566B">
      <w:pPr>
        <w:pStyle w:val="Rubrik1"/>
        <w:rPr>
          <w:noProof w:val="0"/>
        </w:rPr>
      </w:pPr>
      <w:bookmarkStart w:id="5" w:name="_Toc145829841"/>
      <w:r w:rsidRPr="00072C8B">
        <w:rPr>
          <w:noProof w:val="0"/>
        </w:rPr>
        <w:t>Styrelsens redogörelse</w:t>
      </w:r>
      <w:bookmarkEnd w:id="5"/>
    </w:p>
    <w:p w:rsidR="00E7566B" w:rsidRPr="00072C8B" w:rsidRDefault="00003AE2" w:rsidP="00E7566B">
      <w:r w:rsidRPr="00072C8B">
        <w:t>Riksrevisionens styrelse överlämnar denna redogörelse till riksdagen.</w:t>
      </w:r>
    </w:p>
    <w:p w:rsidR="00E7566B" w:rsidRPr="00072C8B" w:rsidRDefault="00E7566B" w:rsidP="00E7566B">
      <w:pPr>
        <w:pStyle w:val="Normaltindrag"/>
      </w:pPr>
      <w:bookmarkStart w:id="6" w:name="Nästa_Hpunkt"/>
      <w:bookmarkEnd w:id="6"/>
    </w:p>
    <w:p w:rsidR="00E7566B" w:rsidRPr="00072C8B" w:rsidRDefault="00E7566B" w:rsidP="00E7566B">
      <w:pPr>
        <w:pStyle w:val="Normaltindrag"/>
      </w:pPr>
    </w:p>
    <w:p w:rsidR="00E7566B" w:rsidRPr="00072C8B" w:rsidRDefault="00003AE2" w:rsidP="00E7566B">
      <w:pPr>
        <w:pStyle w:val="Utskriftsdatum"/>
      </w:pPr>
      <w:r w:rsidRPr="00072C8B">
        <w:t>Stockholm den 27 september 2006.</w:t>
      </w:r>
    </w:p>
    <w:p w:rsidR="00E7566B" w:rsidRPr="00072C8B" w:rsidRDefault="00E7566B" w:rsidP="00E7566B">
      <w:r w:rsidRPr="00072C8B">
        <w:t>På Riksrevisionens styrelses vägnar</w:t>
      </w:r>
    </w:p>
    <w:p w:rsidR="00E7566B" w:rsidRPr="00072C8B" w:rsidRDefault="00E7566B" w:rsidP="00E7566B">
      <w:pPr>
        <w:pStyle w:val="Normaltindrag"/>
      </w:pPr>
      <w:bookmarkStart w:id="7" w:name="Ordförande"/>
      <w:bookmarkEnd w:id="7"/>
    </w:p>
    <w:p w:rsidR="00A97D17" w:rsidRPr="00072C8B" w:rsidRDefault="00A97D17" w:rsidP="00E7566B">
      <w:pPr>
        <w:pStyle w:val="Normaltindrag"/>
      </w:pPr>
      <w:bookmarkStart w:id="8" w:name="Deltagare"/>
      <w:bookmarkEnd w:id="8"/>
    </w:p>
    <w:p w:rsidR="00A97D17" w:rsidRPr="00072C8B" w:rsidRDefault="00A97D17" w:rsidP="00A97D17">
      <w:pPr>
        <w:rPr>
          <w:i/>
        </w:rPr>
      </w:pPr>
      <w:r w:rsidRPr="00072C8B">
        <w:rPr>
          <w:i/>
        </w:rPr>
        <w:t>Sören Lekberg</w:t>
      </w:r>
    </w:p>
    <w:p w:rsidR="00A97D17" w:rsidRPr="00072C8B" w:rsidRDefault="00A97D17" w:rsidP="00E7566B">
      <w:pPr>
        <w:pStyle w:val="Normaltindrag"/>
      </w:pPr>
    </w:p>
    <w:p w:rsidR="00A97D17" w:rsidRPr="00072C8B" w:rsidRDefault="00A97D17" w:rsidP="00E7566B">
      <w:pPr>
        <w:pStyle w:val="Normaltindrag"/>
      </w:pPr>
    </w:p>
    <w:p w:rsidR="00A97D17" w:rsidRPr="00072C8B" w:rsidRDefault="00A97D17" w:rsidP="00E7566B">
      <w:pPr>
        <w:pStyle w:val="Normaltindrag"/>
      </w:pPr>
      <w:r w:rsidRPr="00072C8B">
        <w:rPr>
          <w:i/>
        </w:rPr>
        <w:tab/>
      </w:r>
      <w:r w:rsidRPr="00072C8B">
        <w:rPr>
          <w:i/>
        </w:rPr>
        <w:tab/>
      </w:r>
      <w:r w:rsidRPr="00072C8B">
        <w:rPr>
          <w:i/>
        </w:rPr>
        <w:tab/>
        <w:t>Karin Rudberg</w:t>
      </w:r>
    </w:p>
    <w:p w:rsidR="00A97D17" w:rsidRPr="00072C8B" w:rsidRDefault="00A97D17" w:rsidP="00E7566B">
      <w:pPr>
        <w:pStyle w:val="Normaltindrag"/>
      </w:pPr>
    </w:p>
    <w:p w:rsidR="00A97D17" w:rsidRPr="00072C8B" w:rsidRDefault="00A97D17" w:rsidP="00E7566B">
      <w:pPr>
        <w:pStyle w:val="Normaltindrag"/>
      </w:pPr>
    </w:p>
    <w:p w:rsidR="00A97D17" w:rsidRPr="00072C8B" w:rsidRDefault="00A97D17" w:rsidP="00E7566B">
      <w:pPr>
        <w:pStyle w:val="Normaltindrag"/>
      </w:pPr>
    </w:p>
    <w:p w:rsidR="00400A6B" w:rsidRPr="00072C8B" w:rsidRDefault="00400A6B" w:rsidP="007C747E">
      <w:pPr>
        <w:pStyle w:val="Deltagare"/>
        <w:rPr>
          <w:noProof w:val="0"/>
        </w:rPr>
      </w:pPr>
      <w:r w:rsidRPr="00072C8B">
        <w:rPr>
          <w:noProof w:val="0"/>
        </w:rPr>
        <w:t>Följande ledamöter har deltagit i beslutet: Sören Lekberg (s), Gunnar Axén (m), Eva Flyborg (fp), Rose-Marie Frebran (kd), Per Rosengren (v), Rolf Ke</w:t>
      </w:r>
      <w:r w:rsidRPr="00072C8B">
        <w:rPr>
          <w:noProof w:val="0"/>
        </w:rPr>
        <w:t>n</w:t>
      </w:r>
      <w:r w:rsidRPr="00072C8B">
        <w:rPr>
          <w:noProof w:val="0"/>
        </w:rPr>
        <w:softHyphen/>
        <w:t>neryd (c), Per Lager (mp), Laila Bjurling (s), Per Erik Granström (s), Anne-Marie Pål</w:t>
      </w:r>
      <w:r w:rsidRPr="00072C8B">
        <w:rPr>
          <w:noProof w:val="0"/>
        </w:rPr>
        <w:t>s</w:t>
      </w:r>
      <w:r w:rsidR="00CF5FC4" w:rsidRPr="00072C8B">
        <w:rPr>
          <w:noProof w:val="0"/>
        </w:rPr>
        <w:t>son (m) och Karl-Göran Biörsmark</w:t>
      </w:r>
      <w:r w:rsidRPr="00072C8B">
        <w:rPr>
          <w:noProof w:val="0"/>
        </w:rPr>
        <w:t xml:space="preserve"> (fp). </w:t>
      </w:r>
    </w:p>
    <w:p w:rsidR="00A97D17" w:rsidRPr="00072C8B" w:rsidRDefault="00A97D17" w:rsidP="00A97D17"/>
    <w:p w:rsidR="00E7566B" w:rsidRPr="00072C8B" w:rsidRDefault="00E7566B" w:rsidP="00E7566B">
      <w:pPr>
        <w:pStyle w:val="Normaltindrag"/>
      </w:pPr>
    </w:p>
    <w:p w:rsidR="00E7566B" w:rsidRPr="00072C8B" w:rsidRDefault="00E7566B" w:rsidP="00E7566B">
      <w:pPr>
        <w:pStyle w:val="Normaltindrag"/>
        <w:sectPr w:rsidR="00E7566B" w:rsidRPr="00072C8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7566B" w:rsidRPr="00072C8B" w:rsidRDefault="00E7566B" w:rsidP="00E7566B">
      <w:pPr>
        <w:pStyle w:val="Rubrik1"/>
        <w:rPr>
          <w:noProof w:val="0"/>
        </w:rPr>
      </w:pPr>
      <w:bookmarkStart w:id="9" w:name="_Toc145829842"/>
      <w:r w:rsidRPr="00072C8B">
        <w:rPr>
          <w:noProof w:val="0"/>
        </w:rPr>
        <w:t>Riksrevisionens granskning</w:t>
      </w:r>
      <w:bookmarkEnd w:id="9"/>
    </w:p>
    <w:p w:rsidR="008930BF" w:rsidRPr="00072C8B" w:rsidRDefault="008930BF" w:rsidP="008930BF">
      <w:r w:rsidRPr="00072C8B">
        <w:t>Riksrevisionen har granskat formerna för regeringens styrning av de statliga bolagen. Syftet med granskningen har varit att ge en översiktlig bild av hur den dokumenterade ägarstyrningen av de statliga bolagen är utformad. Re</w:t>
      </w:r>
      <w:r w:rsidRPr="00072C8B">
        <w:softHyphen/>
        <w:t>su</w:t>
      </w:r>
      <w:r w:rsidRPr="00072C8B">
        <w:softHyphen/>
        <w:t>l</w:t>
      </w:r>
      <w:r w:rsidR="0015070C" w:rsidRPr="00072C8B">
        <w:softHyphen/>
      </w:r>
      <w:r w:rsidRPr="00072C8B">
        <w:t>ta</w:t>
      </w:r>
      <w:r w:rsidR="0015070C" w:rsidRPr="00072C8B">
        <w:softHyphen/>
      </w:r>
      <w:r w:rsidRPr="00072C8B">
        <w:t xml:space="preserve">ten har redovisats i granskningsrapporten </w:t>
      </w:r>
      <w:r w:rsidRPr="00072C8B">
        <w:rPr>
          <w:i/>
        </w:rPr>
        <w:t>Vad och vem styr de statliga b</w:t>
      </w:r>
      <w:r w:rsidRPr="00072C8B">
        <w:rPr>
          <w:i/>
        </w:rPr>
        <w:t>o</w:t>
      </w:r>
      <w:r w:rsidRPr="00072C8B">
        <w:rPr>
          <w:i/>
        </w:rPr>
        <w:t>la</w:t>
      </w:r>
      <w:r w:rsidR="0015070C" w:rsidRPr="00072C8B">
        <w:rPr>
          <w:i/>
        </w:rPr>
        <w:softHyphen/>
      </w:r>
      <w:r w:rsidRPr="00072C8B">
        <w:rPr>
          <w:i/>
        </w:rPr>
        <w:t xml:space="preserve">gen? </w:t>
      </w:r>
      <w:r w:rsidRPr="00072C8B">
        <w:t xml:space="preserve">(RiR 2006:11). Rapporten </w:t>
      </w:r>
      <w:r w:rsidR="00A636DA" w:rsidRPr="00072C8B">
        <w:t xml:space="preserve">publicerades i </w:t>
      </w:r>
      <w:r w:rsidRPr="00072C8B">
        <w:t>maj 2006.</w:t>
      </w:r>
    </w:p>
    <w:p w:rsidR="008930BF" w:rsidRPr="00072C8B" w:rsidRDefault="008930BF" w:rsidP="00C40F3E">
      <w:pPr>
        <w:pStyle w:val="Rubrik2"/>
      </w:pPr>
      <w:bookmarkStart w:id="10" w:name="_Toc145829843"/>
      <w:r w:rsidRPr="00072C8B">
        <w:t>De statliga bolagen</w:t>
      </w:r>
      <w:bookmarkEnd w:id="10"/>
    </w:p>
    <w:p w:rsidR="008930BF" w:rsidRPr="00072C8B" w:rsidRDefault="008930BF" w:rsidP="008930BF">
      <w:r w:rsidRPr="00072C8B">
        <w:t>De statliga bolagen ansvarar för en verksamhet av betydande omfattning. Bola</w:t>
      </w:r>
      <w:r w:rsidR="00A62EDD" w:rsidRPr="00072C8B">
        <w:softHyphen/>
      </w:r>
      <w:r w:rsidRPr="00072C8B">
        <w:t>gens sammanlagda omsättning uppgick år 2005 till drygt 300 miljarder kronor</w:t>
      </w:r>
      <w:r w:rsidR="00A62EDD" w:rsidRPr="00072C8B">
        <w:t>,</w:t>
      </w:r>
      <w:r w:rsidRPr="00072C8B">
        <w:t xml:space="preserve"> och antalet anställda var omkring 200 000. Detta kan jämföras med stats</w:t>
      </w:r>
      <w:r w:rsidR="00A62EDD" w:rsidRPr="00072C8B">
        <w:softHyphen/>
      </w:r>
      <w:r w:rsidRPr="00072C8B">
        <w:t xml:space="preserve">förvaltningens närmare 220 000 anställda. </w:t>
      </w:r>
    </w:p>
    <w:p w:rsidR="008930BF" w:rsidRPr="00072C8B" w:rsidRDefault="008930BF" w:rsidP="00C40F3E">
      <w:pPr>
        <w:pStyle w:val="Normaltindrag"/>
      </w:pPr>
      <w:r w:rsidRPr="00072C8B">
        <w:t xml:space="preserve">De statliga bolagen svarar för vitt skilda verksamheter och har också olika bakgrund. En del </w:t>
      </w:r>
      <w:r w:rsidR="00A62EDD" w:rsidRPr="00072C8B">
        <w:t xml:space="preserve">bolag </w:t>
      </w:r>
      <w:r w:rsidRPr="00072C8B">
        <w:t>är före detta affärsverk, andra har bildats genom att verk</w:t>
      </w:r>
      <w:r w:rsidRPr="00072C8B">
        <w:softHyphen/>
        <w:t>samheter skilts från statliga myndigheter. Ett antal bolag har helt eller del</w:t>
      </w:r>
      <w:r w:rsidRPr="00072C8B">
        <w:softHyphen/>
      </w:r>
      <w:r w:rsidR="00A62EDD" w:rsidRPr="00072C8B">
        <w:softHyphen/>
      </w:r>
      <w:r w:rsidRPr="00072C8B">
        <w:t>vis monopol på sin marknad</w:t>
      </w:r>
      <w:r w:rsidR="00A62EDD" w:rsidRPr="00072C8B">
        <w:t>,</w:t>
      </w:r>
      <w:r w:rsidRPr="00072C8B">
        <w:t xml:space="preserve"> medan andra verkar under full konkurrens. Vissa bolag är också delvis anslagsfinansierade. Många av bolagen har även sä</w:t>
      </w:r>
      <w:r w:rsidRPr="00072C8B">
        <w:t>r</w:t>
      </w:r>
      <w:r w:rsidRPr="00072C8B">
        <w:t xml:space="preserve">skilda samhällsuppdrag som getts av riksdag och regering.  </w:t>
      </w:r>
    </w:p>
    <w:p w:rsidR="008930BF" w:rsidRPr="00072C8B" w:rsidRDefault="008930BF" w:rsidP="00C40F3E">
      <w:pPr>
        <w:pStyle w:val="Rubrik2"/>
      </w:pPr>
      <w:bookmarkStart w:id="11" w:name="_Toc145829844"/>
      <w:r w:rsidRPr="00072C8B">
        <w:t>Granskningens motiv och inriktning</w:t>
      </w:r>
      <w:bookmarkEnd w:id="11"/>
    </w:p>
    <w:p w:rsidR="008930BF" w:rsidRPr="00072C8B" w:rsidRDefault="008930BF" w:rsidP="00C40F3E">
      <w:pPr>
        <w:pStyle w:val="Rubrik3"/>
        <w:rPr>
          <w:noProof w:val="0"/>
        </w:rPr>
      </w:pPr>
      <w:bookmarkStart w:id="12" w:name="_Toc145829845"/>
      <w:r w:rsidRPr="00072C8B">
        <w:rPr>
          <w:noProof w:val="0"/>
        </w:rPr>
        <w:t>Tidigare granskningar visar otydlig styrning</w:t>
      </w:r>
      <w:bookmarkEnd w:id="12"/>
    </w:p>
    <w:p w:rsidR="008930BF" w:rsidRPr="00072C8B" w:rsidRDefault="008930BF" w:rsidP="008930BF">
      <w:r w:rsidRPr="00072C8B">
        <w:t>Tidigare granskningar som Riksrevisionen har gjort har visat att styrningen av vissa enskilda statliga bolag varit otydlig och ibland präglats av mot</w:t>
      </w:r>
      <w:r w:rsidRPr="00072C8B">
        <w:softHyphen/>
        <w:t>stri</w:t>
      </w:r>
      <w:r w:rsidRPr="00072C8B">
        <w:softHyphen/>
        <w:t>diga målsättningar. Granskningarna har även visat att de grundläggande doku</w:t>
      </w:r>
      <w:r w:rsidRPr="00072C8B">
        <w:softHyphen/>
        <w:t xml:space="preserve">ment som används för styrningen av bolagen inte alltid </w:t>
      </w:r>
      <w:r w:rsidR="00F6246B" w:rsidRPr="00072C8B">
        <w:t xml:space="preserve">har </w:t>
      </w:r>
      <w:r w:rsidRPr="00072C8B">
        <w:t xml:space="preserve">behandlats så att de blir rättsligt bindande enligt aktiebolagslagen. </w:t>
      </w:r>
    </w:p>
    <w:p w:rsidR="008930BF" w:rsidRPr="00072C8B" w:rsidRDefault="008930BF" w:rsidP="00C40F3E">
      <w:pPr>
        <w:pStyle w:val="Normaltindrag"/>
      </w:pPr>
      <w:r w:rsidRPr="00072C8B">
        <w:t>Riksrevisionen framhåller betydelsen av en klar styrning av de statliga b</w:t>
      </w:r>
      <w:r w:rsidRPr="00072C8B">
        <w:t>o</w:t>
      </w:r>
      <w:r w:rsidRPr="00072C8B">
        <w:t>lagen. Om formerna för styrningen brister i tydlighet och transparens kan a</w:t>
      </w:r>
      <w:r w:rsidRPr="00072C8B">
        <w:t>n</w:t>
      </w:r>
      <w:r w:rsidR="00C40F3E" w:rsidRPr="00072C8B">
        <w:softHyphen/>
      </w:r>
      <w:r w:rsidRPr="00072C8B">
        <w:t>svars</w:t>
      </w:r>
      <w:r w:rsidR="00C40F3E" w:rsidRPr="00072C8B">
        <w:softHyphen/>
      </w:r>
      <w:r w:rsidRPr="00072C8B">
        <w:t>förhållandena bli oklara. Därmed försvåras också möjligheterna för riks</w:t>
      </w:r>
      <w:r w:rsidR="00C40F3E" w:rsidRPr="00072C8B">
        <w:softHyphen/>
      </w:r>
      <w:r w:rsidRPr="00072C8B">
        <w:t>da</w:t>
      </w:r>
      <w:r w:rsidR="00C40F3E" w:rsidRPr="00072C8B">
        <w:softHyphen/>
      </w:r>
      <w:r w:rsidRPr="00072C8B">
        <w:t xml:space="preserve">gen att utkräva ansvar av regeringen som förvaltare av det statliga ägandet och i förlängningen av de statliga bolagen. Otydliga styrsignaler medför </w:t>
      </w:r>
      <w:r w:rsidR="005141F1" w:rsidRPr="00072C8B">
        <w:t>des</w:t>
      </w:r>
      <w:r w:rsidR="005141F1" w:rsidRPr="00072C8B">
        <w:t>s</w:t>
      </w:r>
      <w:r w:rsidR="005141F1" w:rsidRPr="00072C8B">
        <w:t>utom</w:t>
      </w:r>
      <w:r w:rsidRPr="00072C8B">
        <w:t xml:space="preserve"> risker för att viktiga samhällsuppdrag inte full</w:t>
      </w:r>
      <w:r w:rsidRPr="00072C8B">
        <w:softHyphen/>
        <w:t xml:space="preserve">följs på </w:t>
      </w:r>
      <w:r w:rsidR="00F6246B" w:rsidRPr="00072C8B">
        <w:t xml:space="preserve">det </w:t>
      </w:r>
      <w:r w:rsidRPr="00072C8B">
        <w:t>sätt som a</w:t>
      </w:r>
      <w:r w:rsidRPr="00072C8B">
        <w:t>v</w:t>
      </w:r>
      <w:r w:rsidRPr="00072C8B">
        <w:t>setts. Otyd</w:t>
      </w:r>
      <w:r w:rsidR="00F6246B" w:rsidRPr="00072C8B">
        <w:softHyphen/>
      </w:r>
      <w:r w:rsidRPr="00072C8B">
        <w:t xml:space="preserve">ligheten kan </w:t>
      </w:r>
      <w:r w:rsidR="005141F1" w:rsidRPr="00072C8B">
        <w:t>även</w:t>
      </w:r>
      <w:r w:rsidRPr="00072C8B">
        <w:t xml:space="preserve"> generellt påverka kvaliteten på ledningsarb</w:t>
      </w:r>
      <w:r w:rsidRPr="00072C8B">
        <w:t>e</w:t>
      </w:r>
      <w:r w:rsidRPr="00072C8B">
        <w:t xml:space="preserve">tet i bolagen negativt så att inte heller de finansiella resultaten når </w:t>
      </w:r>
      <w:r w:rsidR="00BB46A6" w:rsidRPr="00072C8B">
        <w:t xml:space="preserve">upp till det </w:t>
      </w:r>
      <w:r w:rsidRPr="00072C8B">
        <w:t>som a</w:t>
      </w:r>
      <w:r w:rsidRPr="00072C8B">
        <w:t>n</w:t>
      </w:r>
      <w:r w:rsidRPr="00072C8B">
        <w:t xml:space="preserve">nars skulle ha varit möjligt. </w:t>
      </w:r>
    </w:p>
    <w:p w:rsidR="008930BF" w:rsidRPr="00072C8B" w:rsidRDefault="008930BF" w:rsidP="00C40F3E">
      <w:pPr>
        <w:pStyle w:val="Normaltindrag"/>
      </w:pPr>
      <w:r w:rsidRPr="00072C8B">
        <w:t>Riksrevisionen har i samband med sina tidigare granskningar redovisat sin uppfattning att styr</w:t>
      </w:r>
      <w:r w:rsidRPr="00072C8B">
        <w:softHyphen/>
        <w:t>ningen av bolagen bör baseras på aktiebolagsrättsligt bi</w:t>
      </w:r>
      <w:r w:rsidRPr="00072C8B">
        <w:t>n</w:t>
      </w:r>
      <w:r w:rsidRPr="00072C8B">
        <w:t>dande dokument som klart återger uppdrag och mål för verksamheten.  Detta är enligt Riksrevisionen en förutsättning för att styrningen skall vara transp</w:t>
      </w:r>
      <w:r w:rsidRPr="00072C8B">
        <w:t>a</w:t>
      </w:r>
      <w:r w:rsidRPr="00072C8B">
        <w:t>rent och ge möjlighet till rimlig grad av insyn och kontroll. En styrning bas</w:t>
      </w:r>
      <w:r w:rsidRPr="00072C8B">
        <w:t>e</w:t>
      </w:r>
      <w:r w:rsidRPr="00072C8B">
        <w:t>rad på sådana dokument gör det tydligt vilka krav riksdagen och regeringen (som ägare respektive ägarföreträdare) ställer på ett bolag. Det ger därmed också bolaget rimliga förutsättningar att</w:t>
      </w:r>
      <w:r w:rsidR="008B01C5" w:rsidRPr="00072C8B">
        <w:t xml:space="preserve"> genomföra sin verk</w:t>
      </w:r>
      <w:r w:rsidR="008B01C5" w:rsidRPr="00072C8B">
        <w:softHyphen/>
        <w:t xml:space="preserve">samhet och </w:t>
      </w:r>
      <w:r w:rsidRPr="00072C8B">
        <w:t>mö</w:t>
      </w:r>
      <w:r w:rsidRPr="00072C8B">
        <w:t>j</w:t>
      </w:r>
      <w:r w:rsidRPr="00072C8B">
        <w:t>lighet att visa i vilken mån resultaten motsvarar kra</w:t>
      </w:r>
      <w:r w:rsidRPr="00072C8B">
        <w:softHyphen/>
        <w:t xml:space="preserve">ven. </w:t>
      </w:r>
    </w:p>
    <w:p w:rsidR="008930BF" w:rsidRPr="00072C8B" w:rsidRDefault="00FF0D8E" w:rsidP="00BD2506">
      <w:pPr>
        <w:pStyle w:val="Rubrik3"/>
        <w:rPr>
          <w:noProof w:val="0"/>
        </w:rPr>
      </w:pPr>
      <w:bookmarkStart w:id="13" w:name="_Toc145829846"/>
      <w:r w:rsidRPr="00072C8B">
        <w:rPr>
          <w:noProof w:val="0"/>
        </w:rPr>
        <w:t>G</w:t>
      </w:r>
      <w:r w:rsidR="008930BF" w:rsidRPr="00072C8B">
        <w:rPr>
          <w:noProof w:val="0"/>
        </w:rPr>
        <w:t>ranskningen</w:t>
      </w:r>
      <w:r w:rsidRPr="00072C8B">
        <w:rPr>
          <w:noProof w:val="0"/>
        </w:rPr>
        <w:t>s syfte och utgångspunkter</w:t>
      </w:r>
      <w:bookmarkEnd w:id="13"/>
    </w:p>
    <w:p w:rsidR="00D91C8F" w:rsidRPr="00072C8B" w:rsidRDefault="00D91C8F" w:rsidP="00D91C8F">
      <w:r w:rsidRPr="00072C8B">
        <w:t>Riksrevisionen genomförde under år 2005 en förstudie av formerna för styr</w:t>
      </w:r>
      <w:r w:rsidRPr="00072C8B">
        <w:softHyphen/>
        <w:t>ning av statliga bolag med särskilda samhällsintressen (dnr 33-2005-0283). Förstudien visade på brister i enhetlighet i styrningen av bol</w:t>
      </w:r>
      <w:r w:rsidRPr="00072C8B">
        <w:t>a</w:t>
      </w:r>
      <w:r w:rsidRPr="00072C8B">
        <w:t>gen. På ba</w:t>
      </w:r>
      <w:r w:rsidRPr="00072C8B">
        <w:softHyphen/>
        <w:t>sis av förstudien beslutade Riksrevisionen att gå vidare med en mera gen</w:t>
      </w:r>
      <w:r w:rsidRPr="00072C8B">
        <w:t>e</w:t>
      </w:r>
      <w:r w:rsidRPr="00072C8B">
        <w:t xml:space="preserve">rell granskning av formerna för styrning av statliga bolag, inklusive bolag med marknadsmässiga krav.  </w:t>
      </w:r>
    </w:p>
    <w:p w:rsidR="008930BF" w:rsidRPr="00072C8B" w:rsidRDefault="008930BF" w:rsidP="00D91C8F">
      <w:pPr>
        <w:pStyle w:val="Normaltindrag"/>
      </w:pPr>
      <w:r w:rsidRPr="00072C8B">
        <w:t>Syftet med granskningen är att ge en heltäckande bild av hur den doku</w:t>
      </w:r>
      <w:r w:rsidRPr="00072C8B">
        <w:softHyphen/>
        <w:t>men</w:t>
      </w:r>
      <w:r w:rsidRPr="00072C8B">
        <w:softHyphen/>
        <w:t>te</w:t>
      </w:r>
      <w:r w:rsidRPr="00072C8B">
        <w:softHyphen/>
        <w:t>ra</w:t>
      </w:r>
      <w:r w:rsidR="00F6246B" w:rsidRPr="00072C8B">
        <w:softHyphen/>
      </w:r>
      <w:r w:rsidRPr="00072C8B">
        <w:t>de ägarstyrningen av de statliga bolagen är utformad. I detta ingår att gran</w:t>
      </w:r>
      <w:r w:rsidRPr="00072C8B">
        <w:t>s</w:t>
      </w:r>
      <w:r w:rsidRPr="00072C8B">
        <w:t>ka om styrningen är enhetlig, tydlig och till vilken del den är aktie</w:t>
      </w:r>
      <w:r w:rsidRPr="00072C8B">
        <w:softHyphen/>
        <w:t>bo</w:t>
      </w:r>
      <w:r w:rsidR="00F6246B" w:rsidRPr="00072C8B">
        <w:softHyphen/>
      </w:r>
      <w:r w:rsidRPr="00072C8B">
        <w:t>lags</w:t>
      </w:r>
      <w:r w:rsidR="00F6246B" w:rsidRPr="00072C8B">
        <w:softHyphen/>
      </w:r>
      <w:r w:rsidRPr="00072C8B">
        <w:t>rätts</w:t>
      </w:r>
      <w:r w:rsidR="00F6246B" w:rsidRPr="00072C8B">
        <w:softHyphen/>
      </w:r>
      <w:r w:rsidRPr="00072C8B">
        <w:t xml:space="preserve">ligt bindande för bolagen. </w:t>
      </w:r>
      <w:r w:rsidR="00F6246B" w:rsidRPr="00072C8B">
        <w:t>G</w:t>
      </w:r>
      <w:r w:rsidRPr="00072C8B">
        <w:t>ransk</w:t>
      </w:r>
      <w:r w:rsidRPr="00072C8B">
        <w:softHyphen/>
        <w:t xml:space="preserve">ningen </w:t>
      </w:r>
      <w:r w:rsidR="00F6246B" w:rsidRPr="00072C8B">
        <w:t>utgår från f</w:t>
      </w:r>
      <w:r w:rsidRPr="00072C8B">
        <w:t>öl</w:t>
      </w:r>
      <w:r w:rsidR="00F6246B" w:rsidRPr="00072C8B">
        <w:softHyphen/>
      </w:r>
      <w:r w:rsidRPr="00072C8B">
        <w:t>jande</w:t>
      </w:r>
      <w:r w:rsidR="00F6246B" w:rsidRPr="00072C8B">
        <w:t xml:space="preserve"> frågor</w:t>
      </w:r>
      <w:r w:rsidRPr="00072C8B">
        <w:t>:</w:t>
      </w:r>
    </w:p>
    <w:p w:rsidR="008930BF" w:rsidRPr="00072C8B" w:rsidRDefault="008930BF" w:rsidP="00870B23">
      <w:pPr>
        <w:numPr>
          <w:ilvl w:val="0"/>
          <w:numId w:val="5"/>
        </w:numPr>
        <w:tabs>
          <w:tab w:val="clear" w:pos="720"/>
          <w:tab w:val="num" w:pos="360"/>
        </w:tabs>
        <w:spacing w:before="125" w:line="240" w:lineRule="auto"/>
        <w:ind w:left="360"/>
        <w:jc w:val="left"/>
      </w:pPr>
      <w:r w:rsidRPr="00072C8B">
        <w:t>Vilka dokument används för att styra de statliga bolagen?</w:t>
      </w:r>
    </w:p>
    <w:p w:rsidR="008930BF" w:rsidRPr="00072C8B" w:rsidRDefault="008930BF" w:rsidP="008930BF">
      <w:pPr>
        <w:numPr>
          <w:ilvl w:val="0"/>
          <w:numId w:val="5"/>
        </w:numPr>
        <w:tabs>
          <w:tab w:val="clear" w:pos="720"/>
          <w:tab w:val="num" w:pos="360"/>
        </w:tabs>
        <w:spacing w:before="0" w:line="240" w:lineRule="auto"/>
        <w:ind w:left="360"/>
        <w:jc w:val="left"/>
      </w:pPr>
      <w:r w:rsidRPr="00072C8B">
        <w:t>Framgår bolagens uppdrag av styrdokumenten?</w:t>
      </w:r>
    </w:p>
    <w:p w:rsidR="008930BF" w:rsidRPr="00072C8B" w:rsidRDefault="008930BF" w:rsidP="008930BF">
      <w:pPr>
        <w:numPr>
          <w:ilvl w:val="0"/>
          <w:numId w:val="5"/>
        </w:numPr>
        <w:tabs>
          <w:tab w:val="clear" w:pos="720"/>
          <w:tab w:val="num" w:pos="360"/>
        </w:tabs>
        <w:spacing w:before="0" w:line="240" w:lineRule="auto"/>
        <w:ind w:left="360"/>
        <w:jc w:val="left"/>
      </w:pPr>
      <w:r w:rsidRPr="00072C8B">
        <w:t>Styrs de statliga bolagen på ett aktiebolagsrättsligt bindande sätt?</w:t>
      </w:r>
    </w:p>
    <w:p w:rsidR="008930BF" w:rsidRPr="00072C8B" w:rsidRDefault="008930BF" w:rsidP="008930BF">
      <w:r w:rsidRPr="00072C8B">
        <w:t>Granskningen är en dokumentstudie och har riktat sig till så gott som samtliga statliga bolag i vilka staten äger 50 % eller mer av aktierna.</w:t>
      </w:r>
      <w:r w:rsidRPr="00072C8B">
        <w:rPr>
          <w:rStyle w:val="Fotnotsreferens"/>
        </w:rPr>
        <w:footnoteReference w:id="1"/>
      </w:r>
      <w:r w:rsidRPr="00072C8B">
        <w:t xml:space="preserve"> Granskningen avser den situation som rådde vid 2005 års utgång.  </w:t>
      </w:r>
    </w:p>
    <w:p w:rsidR="00646C78" w:rsidRPr="00072C8B" w:rsidRDefault="008930BF" w:rsidP="00F6246B">
      <w:pPr>
        <w:pStyle w:val="Normaltindrag"/>
      </w:pPr>
      <w:r w:rsidRPr="00072C8B">
        <w:t xml:space="preserve">Riksrevisionen har i granskningen velat fånga in </w:t>
      </w:r>
      <w:r w:rsidRPr="00072C8B">
        <w:rPr>
          <w:i/>
        </w:rPr>
        <w:t>bolagens</w:t>
      </w:r>
      <w:r w:rsidRPr="00072C8B">
        <w:t xml:space="preserve"> syn på vad som styr deras verksamhet. Fokus har legat på bolagens verkställande ledning som mottagare av regeringens dokumenterade </w:t>
      </w:r>
      <w:r w:rsidR="00F6246B" w:rsidRPr="00072C8B">
        <w:t>styrning. Granskning</w:t>
      </w:r>
      <w:r w:rsidR="00F6246B" w:rsidRPr="00072C8B">
        <w:softHyphen/>
        <w:t>en har avgrä</w:t>
      </w:r>
      <w:r w:rsidR="00F6246B" w:rsidRPr="00072C8B">
        <w:t>n</w:t>
      </w:r>
      <w:r w:rsidR="00F6246B" w:rsidRPr="00072C8B">
        <w:t>sats till de externa dokument som ledningen för var</w:t>
      </w:r>
      <w:r w:rsidR="00F6246B" w:rsidRPr="00072C8B">
        <w:softHyphen/>
      </w:r>
      <w:r w:rsidR="00F6246B" w:rsidRPr="00072C8B">
        <w:softHyphen/>
        <w:t>je bolag själv anser vara sty</w:t>
      </w:r>
      <w:r w:rsidR="003D235D" w:rsidRPr="00072C8B">
        <w:softHyphen/>
      </w:r>
      <w:r w:rsidR="00F6246B" w:rsidRPr="00072C8B">
        <w:t>rande för verksamheten. Den interna styr</w:t>
      </w:r>
      <w:r w:rsidR="00F6246B" w:rsidRPr="00072C8B">
        <w:softHyphen/>
        <w:t>ning</w:t>
      </w:r>
      <w:r w:rsidR="00F6246B" w:rsidRPr="00072C8B">
        <w:softHyphen/>
        <w:t>en inom bo</w:t>
      </w:r>
      <w:r w:rsidR="00F6246B" w:rsidRPr="00072C8B">
        <w:softHyphen/>
        <w:t>la</w:t>
      </w:r>
      <w:r w:rsidR="00F6246B" w:rsidRPr="00072C8B">
        <w:softHyphen/>
      </w:r>
      <w:r w:rsidR="00F6246B" w:rsidRPr="00072C8B">
        <w:softHyphen/>
        <w:t>gen har inte be</w:t>
      </w:r>
      <w:r w:rsidR="003D235D" w:rsidRPr="00072C8B">
        <w:softHyphen/>
      </w:r>
      <w:r w:rsidR="00F6246B" w:rsidRPr="00072C8B">
        <w:t xml:space="preserve">rörts. </w:t>
      </w:r>
    </w:p>
    <w:p w:rsidR="008930BF" w:rsidRPr="00072C8B" w:rsidRDefault="008930BF" w:rsidP="00FF0D8E">
      <w:pPr>
        <w:pStyle w:val="Normaltindrag"/>
        <w:rPr>
          <w:b/>
        </w:rPr>
      </w:pPr>
      <w:r w:rsidRPr="00072C8B">
        <w:t>Utgångspunkter för Riksrevisionens granskning utgörs av dels det ramverk som finns i aktiebolagslagen, dels erfarenheter från tidigare granskningar</w:t>
      </w:r>
      <w:r w:rsidR="00DC26BF" w:rsidRPr="00072C8B">
        <w:t>, dels</w:t>
      </w:r>
      <w:r w:rsidR="00A4282A" w:rsidRPr="00072C8B">
        <w:t xml:space="preserve"> uttalanden från r</w:t>
      </w:r>
      <w:r w:rsidR="00DC26BF" w:rsidRPr="00072C8B">
        <w:t>ege</w:t>
      </w:r>
      <w:r w:rsidR="00DC26BF" w:rsidRPr="00072C8B">
        <w:softHyphen/>
        <w:t>ringen</w:t>
      </w:r>
      <w:r w:rsidRPr="00072C8B">
        <w:t xml:space="preserve"> och riksd</w:t>
      </w:r>
      <w:r w:rsidRPr="00072C8B">
        <w:t>a</w:t>
      </w:r>
      <w:r w:rsidRPr="00072C8B">
        <w:t xml:space="preserve">gens </w:t>
      </w:r>
      <w:r w:rsidR="00DC26BF" w:rsidRPr="00072C8B">
        <w:t>näringsutskott.</w:t>
      </w:r>
      <w:r w:rsidRPr="00072C8B">
        <w:rPr>
          <w:b/>
        </w:rPr>
        <w:t xml:space="preserve"> </w:t>
      </w:r>
    </w:p>
    <w:p w:rsidR="00CA2234" w:rsidRPr="00072C8B" w:rsidRDefault="00CA2234" w:rsidP="00CA2234">
      <w:pPr>
        <w:pStyle w:val="Normaltindrag"/>
      </w:pPr>
      <w:r w:rsidRPr="00072C8B">
        <w:t>Resultaten av vissa tidigare granskningar som rör styrningen av statliga bo</w:t>
      </w:r>
      <w:r w:rsidR="003D235D" w:rsidRPr="00072C8B">
        <w:softHyphen/>
      </w:r>
      <w:r w:rsidRPr="00072C8B">
        <w:t>lag sammanfattas i Riksrevisionens rapport. Hit hör  Riks</w:t>
      </w:r>
      <w:r w:rsidRPr="00072C8B">
        <w:softHyphen/>
      </w:r>
      <w:r w:rsidRPr="00072C8B">
        <w:softHyphen/>
        <w:t>da</w:t>
      </w:r>
      <w:r w:rsidRPr="00072C8B">
        <w:softHyphen/>
        <w:t>gens revisorers grans</w:t>
      </w:r>
      <w:r w:rsidRPr="00072C8B">
        <w:t>k</w:t>
      </w:r>
      <w:r w:rsidR="003D235D" w:rsidRPr="00072C8B">
        <w:softHyphen/>
      </w:r>
      <w:r w:rsidRPr="00072C8B">
        <w:softHyphen/>
        <w:t>ningar från 1997 och 2002</w:t>
      </w:r>
      <w:r w:rsidRPr="00072C8B">
        <w:rPr>
          <w:rStyle w:val="Fotnotsreferens"/>
        </w:rPr>
        <w:footnoteReference w:id="2"/>
      </w:r>
      <w:r w:rsidRPr="00072C8B">
        <w:t>, Förtroende</w:t>
      </w:r>
      <w:r w:rsidRPr="00072C8B">
        <w:softHyphen/>
        <w:t>kom</w:t>
      </w:r>
      <w:r w:rsidRPr="00072C8B">
        <w:softHyphen/>
        <w:t>mis</w:t>
      </w:r>
      <w:r w:rsidRPr="00072C8B">
        <w:softHyphen/>
        <w:t>sio</w:t>
      </w:r>
      <w:r w:rsidRPr="00072C8B">
        <w:softHyphen/>
        <w:t xml:space="preserve">nens betänkande </w:t>
      </w:r>
      <w:r w:rsidRPr="00072C8B">
        <w:rPr>
          <w:i/>
        </w:rPr>
        <w:t>Näringslivet och förtroe</w:t>
      </w:r>
      <w:r w:rsidRPr="00072C8B">
        <w:rPr>
          <w:i/>
        </w:rPr>
        <w:t>n</w:t>
      </w:r>
      <w:r w:rsidRPr="00072C8B">
        <w:rPr>
          <w:i/>
        </w:rPr>
        <w:t xml:space="preserve">det </w:t>
      </w:r>
      <w:r w:rsidRPr="00072C8B">
        <w:t>från 2004</w:t>
      </w:r>
      <w:r w:rsidRPr="00072C8B">
        <w:rPr>
          <w:rStyle w:val="Fotnotsreferens"/>
        </w:rPr>
        <w:footnoteReference w:id="3"/>
      </w:r>
      <w:r w:rsidRPr="00072C8B">
        <w:t xml:space="preserve"> med tonvikt på den del som avsåg de statliga bolagen, samt Riksrevisionens egna tidigare gransk</w:t>
      </w:r>
      <w:r w:rsidRPr="00072C8B">
        <w:softHyphen/>
        <w:t>ningar.</w:t>
      </w:r>
      <w:r w:rsidRPr="00072C8B">
        <w:rPr>
          <w:rStyle w:val="Fotnotsreferens"/>
        </w:rPr>
        <w:footnoteReference w:id="4"/>
      </w:r>
      <w:r w:rsidRPr="00072C8B">
        <w:t xml:space="preserve"> De erf</w:t>
      </w:r>
      <w:r w:rsidRPr="00072C8B">
        <w:t>a</w:t>
      </w:r>
      <w:r w:rsidRPr="00072C8B">
        <w:t>ren</w:t>
      </w:r>
      <w:r w:rsidR="003D235D" w:rsidRPr="00072C8B">
        <w:softHyphen/>
      </w:r>
      <w:r w:rsidRPr="00072C8B">
        <w:t xml:space="preserve">heter och synpunkter som redovisas </w:t>
      </w:r>
      <w:r w:rsidR="00DC26BF" w:rsidRPr="00072C8B">
        <w:t xml:space="preserve">i dessa källor </w:t>
      </w:r>
      <w:r w:rsidRPr="00072C8B">
        <w:t>är viktiga som kompl</w:t>
      </w:r>
      <w:r w:rsidRPr="00072C8B">
        <w:t>e</w:t>
      </w:r>
      <w:r w:rsidRPr="00072C8B">
        <w:t>ment och bakgrund till den aktuella grans</w:t>
      </w:r>
      <w:r w:rsidRPr="00072C8B">
        <w:t>k</w:t>
      </w:r>
      <w:r w:rsidRPr="00072C8B">
        <w:t xml:space="preserve">ningen. </w:t>
      </w:r>
    </w:p>
    <w:p w:rsidR="008930BF" w:rsidRPr="00072C8B" w:rsidRDefault="008930BF" w:rsidP="00BD2506">
      <w:pPr>
        <w:pStyle w:val="Rubrik3"/>
        <w:rPr>
          <w:noProof w:val="0"/>
        </w:rPr>
      </w:pPr>
      <w:bookmarkStart w:id="14" w:name="_Toc145829847"/>
      <w:r w:rsidRPr="00072C8B">
        <w:rPr>
          <w:noProof w:val="0"/>
        </w:rPr>
        <w:t>Aktiebolagslagen</w:t>
      </w:r>
      <w:bookmarkEnd w:id="14"/>
      <w:r w:rsidRPr="00072C8B">
        <w:rPr>
          <w:noProof w:val="0"/>
        </w:rPr>
        <w:t xml:space="preserve"> </w:t>
      </w:r>
    </w:p>
    <w:p w:rsidR="008930BF" w:rsidRPr="00072C8B" w:rsidRDefault="008930BF" w:rsidP="008930BF">
      <w:r w:rsidRPr="00072C8B">
        <w:t>Ett aktiebolag är en juridisk person. De grundläggande förutsättningarna för bolagen regleras i aktiebolagslagen (ABL).</w:t>
      </w:r>
      <w:r w:rsidRPr="00072C8B">
        <w:rPr>
          <w:rStyle w:val="Fotnotsreferens"/>
        </w:rPr>
        <w:footnoteReference w:id="5"/>
      </w:r>
      <w:r w:rsidRPr="00072C8B">
        <w:t xml:space="preserve"> Detta gäller statliga bolag lika</w:t>
      </w:r>
      <w:r w:rsidRPr="00072C8B">
        <w:softHyphen/>
        <w:t>väl som privata.  Några särskilda regle</w:t>
      </w:r>
      <w:r w:rsidRPr="00072C8B">
        <w:softHyphen/>
        <w:t>ringar därutöver, motsvarande t</w:t>
      </w:r>
      <w:r w:rsidR="00A61F60" w:rsidRPr="00072C8B">
        <w:t>.</w:t>
      </w:r>
      <w:r w:rsidRPr="00072C8B">
        <w:t xml:space="preserve"> ex</w:t>
      </w:r>
      <w:r w:rsidR="00A61F60" w:rsidRPr="00072C8B">
        <w:t>.</w:t>
      </w:r>
      <w:r w:rsidRPr="00072C8B">
        <w:t xml:space="preserve"> förord</w:t>
      </w:r>
      <w:r w:rsidRPr="00072C8B">
        <w:softHyphen/>
        <w:t>ning</w:t>
      </w:r>
      <w:r w:rsidR="003D235D" w:rsidRPr="00072C8B">
        <w:softHyphen/>
      </w:r>
      <w:r w:rsidRPr="00072C8B">
        <w:softHyphen/>
        <w:t xml:space="preserve">ar för statliga myndigheter, finns inte för de statliga bolagen. </w:t>
      </w:r>
    </w:p>
    <w:p w:rsidR="008930BF" w:rsidRPr="00072C8B" w:rsidRDefault="008930BF" w:rsidP="00BD2506">
      <w:pPr>
        <w:pStyle w:val="Normaltindrag"/>
      </w:pPr>
      <w:r w:rsidRPr="00072C8B">
        <w:t>Som företrädare för statens ägande av bolag lyder regeringen under samma regler som andra aktieägare. ABL innehåller bl.a. bestämmelser om vad b</w:t>
      </w:r>
      <w:r w:rsidRPr="00072C8B">
        <w:t>o</w:t>
      </w:r>
      <w:r w:rsidRPr="00072C8B">
        <w:t>lags</w:t>
      </w:r>
      <w:r w:rsidRPr="00072C8B">
        <w:softHyphen/>
        <w:t>ordningen ska innehålla och hur en bolagsstämma genomförs. Bo</w:t>
      </w:r>
      <w:r w:rsidRPr="00072C8B">
        <w:softHyphen/>
        <w:t>lags</w:t>
      </w:r>
      <w:r w:rsidRPr="00072C8B">
        <w:softHyphen/>
      </w:r>
      <w:r w:rsidRPr="00072C8B">
        <w:softHyphen/>
      </w:r>
      <w:r w:rsidRPr="00072C8B">
        <w:softHyphen/>
        <w:t>ordningen är det principiellt viktigaste styrinstrumentet för bolaget.  Bo</w:t>
      </w:r>
      <w:r w:rsidRPr="00072C8B">
        <w:softHyphen/>
        <w:t>lags</w:t>
      </w:r>
      <w:r w:rsidRPr="00072C8B">
        <w:softHyphen/>
        <w:t>stäm</w:t>
      </w:r>
      <w:r w:rsidR="00BD2506" w:rsidRPr="00072C8B">
        <w:softHyphen/>
      </w:r>
      <w:r w:rsidRPr="00072C8B">
        <w:t>man är bolagets högsta beslu</w:t>
      </w:r>
      <w:r w:rsidRPr="00072C8B">
        <w:softHyphen/>
        <w:t>tande organ och aktieägarnas forum för att fatta beslut om bolagets ange</w:t>
      </w:r>
      <w:r w:rsidRPr="00072C8B">
        <w:softHyphen/>
        <w:t>lä</w:t>
      </w:r>
      <w:r w:rsidRPr="00072C8B">
        <w:softHyphen/>
        <w:t>genhe</w:t>
      </w:r>
      <w:r w:rsidRPr="00072C8B">
        <w:softHyphen/>
        <w:t>ter. Bolagsstämman kan ge stäm</w:t>
      </w:r>
      <w:r w:rsidRPr="00072C8B">
        <w:softHyphen/>
        <w:t>mo</w:t>
      </w:r>
      <w:r w:rsidRPr="00072C8B">
        <w:softHyphen/>
        <w:t>anvisningar, eller s.k. ägardirektiv, till styrelsen och den verkstäl</w:t>
      </w:r>
      <w:r w:rsidRPr="00072C8B">
        <w:softHyphen/>
        <w:t>lan</w:t>
      </w:r>
      <w:r w:rsidRPr="00072C8B">
        <w:softHyphen/>
        <w:t>de dire</w:t>
      </w:r>
      <w:r w:rsidRPr="00072C8B">
        <w:t>k</w:t>
      </w:r>
      <w:r w:rsidRPr="00072C8B">
        <w:t>tören. Om dessa beslutas av bolags</w:t>
      </w:r>
      <w:r w:rsidRPr="00072C8B">
        <w:softHyphen/>
        <w:t>stämman är de otvetydigt aktie</w:t>
      </w:r>
      <w:r w:rsidRPr="00072C8B">
        <w:softHyphen/>
        <w:t>bo</w:t>
      </w:r>
      <w:r w:rsidR="00BD2506" w:rsidRPr="00072C8B">
        <w:softHyphen/>
      </w:r>
      <w:r w:rsidRPr="00072C8B">
        <w:t>lags</w:t>
      </w:r>
      <w:r w:rsidR="00BD2506" w:rsidRPr="00072C8B">
        <w:softHyphen/>
      </w:r>
      <w:r w:rsidRPr="00072C8B">
        <w:t>rättsligt bindande, vilket innebär att styrelsen måste följa deras inne</w:t>
      </w:r>
      <w:r w:rsidRPr="00072C8B">
        <w:softHyphen/>
        <w:t xml:space="preserve">håll om det inte strider mot bolagsordning eller lagstiftning.  </w:t>
      </w:r>
    </w:p>
    <w:p w:rsidR="008930BF" w:rsidRPr="00072C8B" w:rsidRDefault="00DC26BF" w:rsidP="00BD2506">
      <w:pPr>
        <w:pStyle w:val="Rubrik3"/>
        <w:rPr>
          <w:noProof w:val="0"/>
        </w:rPr>
      </w:pPr>
      <w:bookmarkStart w:id="15" w:name="_Toc145829848"/>
      <w:r w:rsidRPr="00072C8B">
        <w:rPr>
          <w:noProof w:val="0"/>
        </w:rPr>
        <w:t>R</w:t>
      </w:r>
      <w:r w:rsidR="00FF0D8E" w:rsidRPr="00072C8B">
        <w:rPr>
          <w:noProof w:val="0"/>
        </w:rPr>
        <w:t>egering</w:t>
      </w:r>
      <w:r w:rsidRPr="00072C8B">
        <w:rPr>
          <w:noProof w:val="0"/>
        </w:rPr>
        <w:t xml:space="preserve">ens </w:t>
      </w:r>
      <w:r w:rsidR="00802DDF" w:rsidRPr="00072C8B">
        <w:rPr>
          <w:noProof w:val="0"/>
        </w:rPr>
        <w:t xml:space="preserve">och riksdagens </w:t>
      </w:r>
      <w:r w:rsidRPr="00072C8B">
        <w:rPr>
          <w:noProof w:val="0"/>
        </w:rPr>
        <w:t>syn på styrningen</w:t>
      </w:r>
      <w:bookmarkEnd w:id="15"/>
      <w:r w:rsidR="00FF0D8E" w:rsidRPr="00072C8B">
        <w:rPr>
          <w:noProof w:val="0"/>
        </w:rPr>
        <w:t xml:space="preserve"> </w:t>
      </w:r>
    </w:p>
    <w:p w:rsidR="00164451" w:rsidRPr="00072C8B" w:rsidRDefault="00164451" w:rsidP="00164451">
      <w:r w:rsidRPr="00072C8B">
        <w:t>B</w:t>
      </w:r>
      <w:r w:rsidR="00802DDF" w:rsidRPr="00072C8B">
        <w:t>ehovet av tydlighet och tran</w:t>
      </w:r>
      <w:r w:rsidR="00802DDF" w:rsidRPr="00072C8B">
        <w:t>s</w:t>
      </w:r>
      <w:r w:rsidR="00802DDF" w:rsidRPr="00072C8B">
        <w:t>parens i styrningen av statliga bolag</w:t>
      </w:r>
      <w:r w:rsidRPr="00072C8B">
        <w:t xml:space="preserve"> betonas såväl i regeringens propositioner som i betänkanden från riksdagens näring</w:t>
      </w:r>
      <w:r w:rsidRPr="00072C8B">
        <w:t>s</w:t>
      </w:r>
      <w:r w:rsidRPr="00072C8B">
        <w:t>utskott.</w:t>
      </w:r>
      <w:r w:rsidR="008930BF" w:rsidRPr="00072C8B">
        <w:t xml:space="preserve"> </w:t>
      </w:r>
    </w:p>
    <w:p w:rsidR="00164451" w:rsidRPr="00072C8B" w:rsidRDefault="00802DDF" w:rsidP="00164451">
      <w:pPr>
        <w:pStyle w:val="Normaltindrag"/>
      </w:pPr>
      <w:r w:rsidRPr="00072C8B">
        <w:t xml:space="preserve">När det gäller vilka </w:t>
      </w:r>
      <w:r w:rsidR="008930BF" w:rsidRPr="00072C8B">
        <w:t>styr</w:t>
      </w:r>
      <w:r w:rsidR="008930BF" w:rsidRPr="00072C8B">
        <w:softHyphen/>
        <w:t>doku</w:t>
      </w:r>
      <w:r w:rsidR="008930BF" w:rsidRPr="00072C8B">
        <w:softHyphen/>
        <w:t xml:space="preserve">ment från ägarföreträdaren </w:t>
      </w:r>
      <w:r w:rsidRPr="00072C8B">
        <w:t xml:space="preserve">som </w:t>
      </w:r>
      <w:r w:rsidR="008930BF" w:rsidRPr="00072C8B">
        <w:t>ska användas i relation till de statliga bola</w:t>
      </w:r>
      <w:r w:rsidR="008930BF" w:rsidRPr="00072C8B">
        <w:softHyphen/>
        <w:t>gen</w:t>
      </w:r>
      <w:r w:rsidRPr="00072C8B">
        <w:t xml:space="preserve"> föreligger enligt Riksrevisionen olika up</w:t>
      </w:r>
      <w:r w:rsidRPr="00072C8B">
        <w:t>p</w:t>
      </w:r>
      <w:r w:rsidRPr="00072C8B">
        <w:t>fattningar mellan regeringen och Riksrevisionen</w:t>
      </w:r>
      <w:r w:rsidR="008930BF" w:rsidRPr="00072C8B">
        <w:t xml:space="preserve">. </w:t>
      </w:r>
      <w:r w:rsidR="00164451" w:rsidRPr="00072C8B">
        <w:t xml:space="preserve"> I </w:t>
      </w:r>
      <w:r w:rsidRPr="00072C8B">
        <w:t>budgetpropositionen för år 2006</w:t>
      </w:r>
      <w:r w:rsidR="00164451" w:rsidRPr="00072C8B">
        <w:t xml:space="preserve"> gav regeringen uttryck för sin syn på </w:t>
      </w:r>
      <w:r w:rsidRPr="00072C8B">
        <w:t>formlös styrning av bolagen. E</w:t>
      </w:r>
      <w:r w:rsidRPr="00072C8B">
        <w:t>n</w:t>
      </w:r>
      <w:r w:rsidRPr="00072C8B">
        <w:t>ligt Riks</w:t>
      </w:r>
      <w:r w:rsidRPr="00072C8B">
        <w:softHyphen/>
        <w:t>re</w:t>
      </w:r>
      <w:r w:rsidRPr="00072C8B">
        <w:softHyphen/>
        <w:t>visionen synes regeringen för</w:t>
      </w:r>
      <w:r w:rsidRPr="00072C8B">
        <w:t>e</w:t>
      </w:r>
      <w:r w:rsidRPr="00072C8B">
        <w:t>träda uppfattningen att det, utöver bolags</w:t>
      </w:r>
      <w:r w:rsidRPr="00072C8B">
        <w:softHyphen/>
        <w:t>ordningen, är tillräckligt att regeringen informerar bol</w:t>
      </w:r>
      <w:r w:rsidRPr="00072C8B">
        <w:t>a</w:t>
      </w:r>
      <w:r w:rsidRPr="00072C8B">
        <w:t>gen om rele</w:t>
      </w:r>
      <w:r w:rsidRPr="00072C8B">
        <w:softHyphen/>
        <w:t>van</w:t>
      </w:r>
      <w:r w:rsidRPr="00072C8B">
        <w:softHyphen/>
        <w:t>ta riksdags</w:t>
      </w:r>
      <w:r w:rsidRPr="00072C8B">
        <w:softHyphen/>
        <w:t>beslut i stället för att styra bolagen på ett aktie</w:t>
      </w:r>
      <w:r w:rsidRPr="00072C8B">
        <w:softHyphen/>
        <w:t>bolags</w:t>
      </w:r>
      <w:r w:rsidRPr="00072C8B">
        <w:softHyphen/>
      </w:r>
      <w:r w:rsidRPr="00072C8B">
        <w:softHyphen/>
        <w:t>rättsligt bin</w:t>
      </w:r>
      <w:r w:rsidRPr="00072C8B">
        <w:softHyphen/>
        <w:t xml:space="preserve">dande sätt. </w:t>
      </w:r>
    </w:p>
    <w:p w:rsidR="008930BF" w:rsidRPr="00072C8B" w:rsidRDefault="008930BF" w:rsidP="00164451">
      <w:pPr>
        <w:pStyle w:val="Normaltindrag"/>
      </w:pPr>
      <w:r w:rsidRPr="00072C8B">
        <w:t>Riksrevisionen noterar även att rege</w:t>
      </w:r>
      <w:r w:rsidRPr="00072C8B">
        <w:t>r</w:t>
      </w:r>
      <w:r w:rsidRPr="00072C8B">
        <w:t>ingen i februari 2006 be</w:t>
      </w:r>
      <w:r w:rsidR="00085AAC" w:rsidRPr="00072C8B">
        <w:softHyphen/>
      </w:r>
      <w:r w:rsidR="00F94593" w:rsidRPr="00072C8B">
        <w:softHyphen/>
      </w:r>
      <w:r w:rsidRPr="00072C8B">
        <w:t>slutat att göra en översyn av Regeringskansliets fö</w:t>
      </w:r>
      <w:r w:rsidRPr="00072C8B">
        <w:t>r</w:t>
      </w:r>
      <w:r w:rsidRPr="00072C8B">
        <w:t>valt</w:t>
      </w:r>
      <w:r w:rsidRPr="00072C8B">
        <w:softHyphen/>
        <w:t xml:space="preserve">ning av statliga bolag. </w:t>
      </w:r>
    </w:p>
    <w:p w:rsidR="008930BF" w:rsidRPr="00072C8B" w:rsidRDefault="008930BF" w:rsidP="00BD2506">
      <w:pPr>
        <w:pStyle w:val="Rubrik2"/>
      </w:pPr>
      <w:bookmarkStart w:id="16" w:name="_Toc145829849"/>
      <w:r w:rsidRPr="00072C8B">
        <w:t>Två typer av bolag</w:t>
      </w:r>
      <w:bookmarkEnd w:id="16"/>
      <w:r w:rsidRPr="00072C8B">
        <w:t xml:space="preserve"> </w:t>
      </w:r>
    </w:p>
    <w:p w:rsidR="008930BF" w:rsidRPr="00072C8B" w:rsidRDefault="008930BF" w:rsidP="008930BF">
      <w:r w:rsidRPr="00072C8B">
        <w:t>Regeringen gör i sin styrning och rapportering av bolagens resultat en up</w:t>
      </w:r>
      <w:r w:rsidRPr="00072C8B">
        <w:t>p</w:t>
      </w:r>
      <w:r w:rsidRPr="00072C8B">
        <w:t>del</w:t>
      </w:r>
      <w:r w:rsidR="00085AAC" w:rsidRPr="00072C8B">
        <w:softHyphen/>
      </w:r>
      <w:r w:rsidRPr="00072C8B">
        <w:t>ning mellan statliga bolag med särskilda samhällsintressen (S-bolag) och bolag med marknadsmässiga krav (M-bolag).</w:t>
      </w:r>
    </w:p>
    <w:p w:rsidR="00117653" w:rsidRPr="00072C8B" w:rsidRDefault="00117653" w:rsidP="00117653">
      <w:pPr>
        <w:pStyle w:val="Rubrik3"/>
        <w:rPr>
          <w:noProof w:val="0"/>
        </w:rPr>
      </w:pPr>
      <w:bookmarkStart w:id="17" w:name="_Toc145829850"/>
      <w:r w:rsidRPr="00072C8B">
        <w:rPr>
          <w:noProof w:val="0"/>
        </w:rPr>
        <w:t>Företag med särskilda samhällsintressen (S-bolag)</w:t>
      </w:r>
      <w:bookmarkEnd w:id="17"/>
    </w:p>
    <w:p w:rsidR="008930BF" w:rsidRPr="00072C8B" w:rsidRDefault="008930BF" w:rsidP="00117653">
      <w:r w:rsidRPr="00072C8B">
        <w:t>Företag med särskilda samhällsintressen (S-bolag) kännetecknas enligt rege</w:t>
      </w:r>
      <w:r w:rsidRPr="00072C8B">
        <w:t>r</w:t>
      </w:r>
      <w:r w:rsidRPr="00072C8B">
        <w:t xml:space="preserve">ingen av minst ett av följande kriterier: </w:t>
      </w:r>
    </w:p>
    <w:p w:rsidR="008930BF" w:rsidRPr="00072C8B" w:rsidRDefault="008930BF" w:rsidP="00E01DD4">
      <w:pPr>
        <w:numPr>
          <w:ilvl w:val="0"/>
          <w:numId w:val="13"/>
        </w:numPr>
        <w:spacing w:before="125"/>
      </w:pPr>
      <w:r w:rsidRPr="00072C8B">
        <w:t>Ägaren, staten, styr verksamheten på ett påtagligt och direkt sätt.</w:t>
      </w:r>
    </w:p>
    <w:p w:rsidR="008930BF" w:rsidRPr="00072C8B" w:rsidRDefault="008930BF" w:rsidP="00E01DD4">
      <w:pPr>
        <w:numPr>
          <w:ilvl w:val="0"/>
          <w:numId w:val="13"/>
        </w:numPr>
      </w:pPr>
      <w:r w:rsidRPr="00072C8B">
        <w:t xml:space="preserve">Företagen verkar på en marknad med särskilda förbehåll. </w:t>
      </w:r>
    </w:p>
    <w:p w:rsidR="008930BF" w:rsidRPr="00072C8B" w:rsidRDefault="008930BF" w:rsidP="008930BF">
      <w:r w:rsidRPr="00072C8B">
        <w:t>De bolag som räknas till kategorin S-bolag framgår av tabell 1. Gruppen om</w:t>
      </w:r>
      <w:r w:rsidR="00085AAC" w:rsidRPr="00072C8B">
        <w:softHyphen/>
      </w:r>
      <w:r w:rsidRPr="00072C8B">
        <w:t>fat</w:t>
      </w:r>
      <w:r w:rsidR="00085AAC" w:rsidRPr="00072C8B">
        <w:softHyphen/>
      </w:r>
      <w:r w:rsidRPr="00072C8B">
        <w:t>tar 26 bolag som sammanlagt har närmare 50 000 anställda, varav den helt övervägande delen i Sverige. En del av dessa företag verkar helt eller del</w:t>
      </w:r>
      <w:r w:rsidR="00BD2506" w:rsidRPr="00072C8B">
        <w:softHyphen/>
      </w:r>
      <w:r w:rsidRPr="00072C8B">
        <w:t>vis utan konkurrens, andra är enligt regeringen fullt konkurrensutsatta. S-bo</w:t>
      </w:r>
      <w:r w:rsidR="00BD2506" w:rsidRPr="00072C8B">
        <w:softHyphen/>
      </w:r>
      <w:r w:rsidRPr="00072C8B">
        <w:t>la</w:t>
      </w:r>
      <w:r w:rsidR="00BD2506" w:rsidRPr="00072C8B">
        <w:softHyphen/>
      </w:r>
      <w:r w:rsidRPr="00072C8B">
        <w:t>gen svarar för 32 % av de statliga bolagens omsättning.</w:t>
      </w:r>
    </w:p>
    <w:p w:rsidR="00117653" w:rsidRPr="00072C8B" w:rsidRDefault="00117653" w:rsidP="00117653">
      <w:pPr>
        <w:pStyle w:val="Rubrik3"/>
        <w:rPr>
          <w:noProof w:val="0"/>
        </w:rPr>
      </w:pPr>
      <w:bookmarkStart w:id="18" w:name="_Toc145829851"/>
      <w:r w:rsidRPr="00072C8B">
        <w:rPr>
          <w:noProof w:val="0"/>
        </w:rPr>
        <w:t>Företag med marknadsmässiga krav (M-bolag)</w:t>
      </w:r>
      <w:bookmarkEnd w:id="18"/>
    </w:p>
    <w:p w:rsidR="00085AAC" w:rsidRPr="00072C8B" w:rsidRDefault="00085AAC" w:rsidP="00117653">
      <w:r w:rsidRPr="00072C8B">
        <w:t>Företag med marknadsmässiga krav (s.k. M-bolag) kännetecknas enligt rege</w:t>
      </w:r>
      <w:r w:rsidRPr="00072C8B">
        <w:t>r</w:t>
      </w:r>
      <w:r w:rsidRPr="00072C8B">
        <w:t xml:space="preserve">ingen av minst ett av följande kriterier: </w:t>
      </w:r>
    </w:p>
    <w:p w:rsidR="00085AAC" w:rsidRPr="00072C8B" w:rsidRDefault="00085AAC" w:rsidP="00E01DD4">
      <w:pPr>
        <w:numPr>
          <w:ilvl w:val="0"/>
          <w:numId w:val="14"/>
        </w:numPr>
        <w:spacing w:before="125"/>
      </w:pPr>
      <w:r w:rsidRPr="00072C8B">
        <w:t>De verkar på en marknad med full konkurrens.</w:t>
      </w:r>
    </w:p>
    <w:p w:rsidR="00085AAC" w:rsidRPr="00072C8B" w:rsidRDefault="00085AAC" w:rsidP="00E01DD4">
      <w:pPr>
        <w:numPr>
          <w:ilvl w:val="0"/>
          <w:numId w:val="14"/>
        </w:numPr>
      </w:pPr>
      <w:r w:rsidRPr="00072C8B">
        <w:t>Ägaren, staten, ställer marknadsmässiga krav på resultat och avkas</w:t>
      </w:r>
      <w:r w:rsidRPr="00072C8B">
        <w:t>t</w:t>
      </w:r>
      <w:r w:rsidRPr="00072C8B">
        <w:t>ning base</w:t>
      </w:r>
      <w:r w:rsidR="004036BE" w:rsidRPr="00072C8B">
        <w:softHyphen/>
      </w:r>
      <w:r w:rsidRPr="00072C8B">
        <w:t xml:space="preserve">rat på riskprofil. </w:t>
      </w:r>
    </w:p>
    <w:p w:rsidR="00085AAC" w:rsidRPr="00072C8B" w:rsidRDefault="00085AAC" w:rsidP="00085AAC">
      <w:r w:rsidRPr="00072C8B">
        <w:t xml:space="preserve">Gruppen omfattar 27 bolag som sammanlagt har närmare 150 000 anställda, varav omkring 70 000 utomlands. Totalt sett svarar M-bolagen för 68 % av den totala omsättningen och 81 % av den totala vinsten i de statliga bolagen. En förteckning över de direktägda statliga bolagen i denna kategori finns i tabell 2. </w:t>
      </w:r>
    </w:p>
    <w:p w:rsidR="001517B3" w:rsidRPr="00072C8B" w:rsidRDefault="001517B3" w:rsidP="001517B3">
      <w:pPr>
        <w:pStyle w:val="Normaltindrag"/>
      </w:pPr>
    </w:p>
    <w:p w:rsidR="008930BF" w:rsidRPr="00072C8B" w:rsidRDefault="008930BF" w:rsidP="008930BF"/>
    <w:p w:rsidR="009B1212" w:rsidRPr="00072C8B" w:rsidRDefault="00FF0D8E" w:rsidP="009B1212">
      <w:pPr>
        <w:rPr>
          <w:b/>
          <w:sz w:val="20"/>
        </w:rPr>
      </w:pPr>
      <w:r w:rsidRPr="00072C8B">
        <w:br w:type="page"/>
      </w:r>
      <w:r w:rsidR="009B1212" w:rsidRPr="00072C8B">
        <w:rPr>
          <w:b/>
          <w:sz w:val="20"/>
        </w:rPr>
        <w:t>Tabell 1</w:t>
      </w:r>
      <w:r w:rsidR="009B1212" w:rsidRPr="00072C8B">
        <w:rPr>
          <w:b/>
          <w:sz w:val="20"/>
        </w:rPr>
        <w:tab/>
        <w:t>Bolag med samhällsintressen (s.k. S-bolag)</w:t>
      </w:r>
    </w:p>
    <w:tbl>
      <w:tblPr>
        <w:tblStyle w:val="Moderntabell"/>
        <w:tblW w:w="0" w:type="auto"/>
        <w:tblLook w:val="01E0" w:firstRow="1" w:lastRow="1" w:firstColumn="1" w:lastColumn="1" w:noHBand="0" w:noVBand="0"/>
      </w:tblPr>
      <w:tblGrid>
        <w:gridCol w:w="882"/>
        <w:gridCol w:w="5071"/>
      </w:tblGrid>
      <w:tr w:rsidR="009B1212" w:rsidRPr="00072C8B" w:rsidTr="009B1212">
        <w:trPr>
          <w:cnfStyle w:val="100000000000" w:firstRow="1" w:lastRow="0" w:firstColumn="0" w:lastColumn="0" w:oddVBand="0" w:evenVBand="0" w:oddHBand="0"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 xml:space="preserve">Ingår i </w:t>
            </w:r>
          </w:p>
          <w:p w:rsidR="009B1212" w:rsidRPr="00072C8B" w:rsidRDefault="009B1212" w:rsidP="009B1212">
            <w:pPr>
              <w:rPr>
                <w:sz w:val="18"/>
                <w:szCs w:val="18"/>
              </w:rPr>
            </w:pPr>
            <w:r w:rsidRPr="00072C8B">
              <w:rPr>
                <w:sz w:val="18"/>
                <w:szCs w:val="18"/>
              </w:rPr>
              <w:t>gransk-</w:t>
            </w:r>
          </w:p>
          <w:p w:rsidR="009B1212" w:rsidRPr="00072C8B" w:rsidRDefault="009B1212" w:rsidP="009B1212">
            <w:pPr>
              <w:rPr>
                <w:sz w:val="18"/>
                <w:szCs w:val="18"/>
              </w:rPr>
            </w:pPr>
            <w:r w:rsidRPr="00072C8B">
              <w:rPr>
                <w:sz w:val="18"/>
                <w:szCs w:val="18"/>
              </w:rPr>
              <w:t>ningen</w:t>
            </w:r>
          </w:p>
        </w:tc>
        <w:tc>
          <w:tcPr>
            <w:tcW w:w="5283" w:type="dxa"/>
          </w:tcPr>
          <w:p w:rsidR="009B1212" w:rsidRPr="00072C8B" w:rsidRDefault="009B1212" w:rsidP="009B1212">
            <w:pPr>
              <w:rPr>
                <w:sz w:val="18"/>
                <w:szCs w:val="18"/>
              </w:rPr>
            </w:pP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A-Banan Projekt AB</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Almi Företagspartner AB</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 xml:space="preserve">* </w:t>
            </w:r>
          </w:p>
        </w:tc>
        <w:tc>
          <w:tcPr>
            <w:tcW w:w="5283" w:type="dxa"/>
          </w:tcPr>
          <w:p w:rsidR="009B1212" w:rsidRPr="00072C8B" w:rsidRDefault="009B1212" w:rsidP="009B1212">
            <w:pPr>
              <w:rPr>
                <w:sz w:val="18"/>
                <w:szCs w:val="18"/>
              </w:rPr>
            </w:pPr>
            <w:r w:rsidRPr="00072C8B">
              <w:rPr>
                <w:sz w:val="18"/>
                <w:szCs w:val="18"/>
              </w:rPr>
              <w:t>Apoteket AB</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p>
        </w:tc>
        <w:tc>
          <w:tcPr>
            <w:tcW w:w="5283" w:type="dxa"/>
          </w:tcPr>
          <w:p w:rsidR="009B1212" w:rsidRPr="00072C8B" w:rsidRDefault="009B1212" w:rsidP="009B1212">
            <w:pPr>
              <w:rPr>
                <w:sz w:val="18"/>
                <w:szCs w:val="18"/>
              </w:rPr>
            </w:pPr>
            <w:r w:rsidRPr="00072C8B">
              <w:rPr>
                <w:sz w:val="18"/>
                <w:szCs w:val="18"/>
              </w:rPr>
              <w:t>AB Bostadsgaranti</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Statens Bostadsomvandling AB (f.d. Bothia Garanti AB)</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AB Göta kanalbolag</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IRECO Holding AB (55 %)</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Kungl. Dramatiska Teatern AB</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Kungl. Operan AB</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p>
        </w:tc>
        <w:tc>
          <w:tcPr>
            <w:tcW w:w="5283" w:type="dxa"/>
          </w:tcPr>
          <w:p w:rsidR="009B1212" w:rsidRPr="00072C8B" w:rsidRDefault="009B1212" w:rsidP="009B1212">
            <w:pPr>
              <w:rPr>
                <w:sz w:val="18"/>
                <w:szCs w:val="18"/>
              </w:rPr>
            </w:pPr>
            <w:r w:rsidRPr="00072C8B">
              <w:rPr>
                <w:sz w:val="18"/>
                <w:szCs w:val="18"/>
              </w:rPr>
              <w:t>Norrlands Center AB (33,3 %)</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Samhall AB</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p>
        </w:tc>
        <w:tc>
          <w:tcPr>
            <w:tcW w:w="5283" w:type="dxa"/>
          </w:tcPr>
          <w:p w:rsidR="009B1212" w:rsidRPr="00072C8B" w:rsidRDefault="009B1212" w:rsidP="009B1212">
            <w:pPr>
              <w:rPr>
                <w:sz w:val="18"/>
                <w:szCs w:val="18"/>
              </w:rPr>
            </w:pPr>
            <w:r w:rsidRPr="00072C8B">
              <w:rPr>
                <w:sz w:val="18"/>
                <w:szCs w:val="18"/>
              </w:rPr>
              <w:t>SIS Miljömärkning AB (10 %)</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SOS Alarm Sverige AB (50 %)</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SP Sveriges Provnings- och Forskningsinstitut</w:t>
            </w:r>
            <w:r w:rsidR="00503BFA" w:rsidRPr="00072C8B">
              <w:rPr>
                <w:sz w:val="18"/>
                <w:szCs w:val="18"/>
              </w:rPr>
              <w:t xml:space="preserve"> AB</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Statens Väg- och Baninvest</w:t>
            </w:r>
            <w:r w:rsidR="00503BFA" w:rsidRPr="00072C8B">
              <w:rPr>
                <w:sz w:val="18"/>
                <w:szCs w:val="18"/>
              </w:rPr>
              <w:t xml:space="preserve"> AB</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Swedfund International</w:t>
            </w:r>
            <w:r w:rsidR="00503BFA" w:rsidRPr="00072C8B">
              <w:rPr>
                <w:sz w:val="18"/>
                <w:szCs w:val="18"/>
              </w:rPr>
              <w:t xml:space="preserve"> AB</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AB Svensk Bilprovning (52 %)</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Svensk-Danska Broförbindelsen SVEDAB AB</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Svenska Miljöstyrningsrådet (85 %)</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AB Svenska Spel</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 xml:space="preserve">* </w:t>
            </w:r>
          </w:p>
        </w:tc>
        <w:tc>
          <w:tcPr>
            <w:tcW w:w="5283" w:type="dxa"/>
          </w:tcPr>
          <w:p w:rsidR="009B1212" w:rsidRPr="00072C8B" w:rsidRDefault="009B1212" w:rsidP="009B1212">
            <w:pPr>
              <w:rPr>
                <w:sz w:val="18"/>
                <w:szCs w:val="18"/>
              </w:rPr>
            </w:pPr>
            <w:r w:rsidRPr="00072C8B">
              <w:rPr>
                <w:sz w:val="18"/>
                <w:szCs w:val="18"/>
              </w:rPr>
              <w:t>Sveriges Rese- och Turistråd (50</w:t>
            </w:r>
            <w:r w:rsidR="00503BFA" w:rsidRPr="00072C8B">
              <w:rPr>
                <w:sz w:val="18"/>
                <w:szCs w:val="18"/>
              </w:rPr>
              <w:t xml:space="preserve"> </w:t>
            </w:r>
            <w:r w:rsidRPr="00072C8B">
              <w:rPr>
                <w:sz w:val="18"/>
                <w:szCs w:val="18"/>
              </w:rPr>
              <w:t>%)</w:t>
            </w:r>
          </w:p>
        </w:tc>
      </w:tr>
      <w:tr w:rsidR="009B1212" w:rsidRPr="00072C8B" w:rsidTr="009B1212">
        <w:trPr>
          <w:cnfStyle w:val="000000010000" w:firstRow="0" w:lastRow="0" w:firstColumn="0" w:lastColumn="0" w:oddVBand="0" w:evenVBand="0" w:oddHBand="0" w:evenHBand="1" w:firstRowFirstColumn="0" w:firstRowLastColumn="0" w:lastRowFirstColumn="0" w:lastRowLastColumn="0"/>
        </w:trPr>
        <w:tc>
          <w:tcPr>
            <w:tcW w:w="886" w:type="dxa"/>
          </w:tcPr>
          <w:p w:rsidR="009B1212" w:rsidRPr="00072C8B" w:rsidRDefault="009B1212" w:rsidP="009B1212">
            <w:pPr>
              <w:rPr>
                <w:sz w:val="18"/>
                <w:szCs w:val="18"/>
              </w:rPr>
            </w:pPr>
            <w:r w:rsidRPr="00072C8B">
              <w:rPr>
                <w:sz w:val="18"/>
                <w:szCs w:val="18"/>
              </w:rPr>
              <w:t>*</w:t>
            </w:r>
          </w:p>
        </w:tc>
        <w:tc>
          <w:tcPr>
            <w:tcW w:w="5283" w:type="dxa"/>
          </w:tcPr>
          <w:p w:rsidR="009B1212" w:rsidRPr="00072C8B" w:rsidRDefault="009B1212" w:rsidP="009B1212">
            <w:pPr>
              <w:rPr>
                <w:sz w:val="18"/>
                <w:szCs w:val="18"/>
              </w:rPr>
            </w:pPr>
            <w:r w:rsidRPr="00072C8B">
              <w:rPr>
                <w:sz w:val="18"/>
                <w:szCs w:val="18"/>
              </w:rPr>
              <w:t>Systembolaget AB</w:t>
            </w:r>
          </w:p>
        </w:tc>
      </w:tr>
      <w:tr w:rsidR="009B1212" w:rsidRPr="00072C8B" w:rsidTr="009B1212">
        <w:trPr>
          <w:cnfStyle w:val="000000100000" w:firstRow="0" w:lastRow="0" w:firstColumn="0" w:lastColumn="0" w:oddVBand="0" w:evenVBand="0" w:oddHBand="1" w:evenHBand="0" w:firstRowFirstColumn="0" w:firstRowLastColumn="0" w:lastRowFirstColumn="0" w:lastRowLastColumn="0"/>
        </w:trPr>
        <w:tc>
          <w:tcPr>
            <w:tcW w:w="886" w:type="dxa"/>
          </w:tcPr>
          <w:p w:rsidR="009B1212" w:rsidRPr="00072C8B" w:rsidRDefault="009B1212" w:rsidP="009B1212">
            <w:pPr>
              <w:rPr>
                <w:sz w:val="18"/>
                <w:szCs w:val="18"/>
              </w:rPr>
            </w:pPr>
          </w:p>
        </w:tc>
        <w:tc>
          <w:tcPr>
            <w:tcW w:w="5283" w:type="dxa"/>
          </w:tcPr>
          <w:p w:rsidR="009B1212" w:rsidRPr="00072C8B" w:rsidRDefault="009B1212" w:rsidP="009B1212">
            <w:pPr>
              <w:rPr>
                <w:sz w:val="18"/>
                <w:szCs w:val="18"/>
              </w:rPr>
            </w:pPr>
            <w:r w:rsidRPr="00072C8B">
              <w:rPr>
                <w:sz w:val="18"/>
                <w:szCs w:val="18"/>
              </w:rPr>
              <w:t>Voksenåsen A/S</w:t>
            </w:r>
          </w:p>
        </w:tc>
      </w:tr>
    </w:tbl>
    <w:p w:rsidR="009B1212" w:rsidRPr="00072C8B" w:rsidRDefault="009B1212" w:rsidP="009B1212">
      <w:pPr>
        <w:rPr>
          <w:sz w:val="18"/>
          <w:szCs w:val="18"/>
        </w:rPr>
      </w:pPr>
      <w:r w:rsidRPr="00072C8B">
        <w:rPr>
          <w:sz w:val="18"/>
          <w:szCs w:val="18"/>
        </w:rPr>
        <w:t>Källa: Riksrevisionens rapport RiR 2006:11</w:t>
      </w:r>
    </w:p>
    <w:p w:rsidR="008930BF" w:rsidRPr="00072C8B" w:rsidRDefault="009B1212" w:rsidP="008930BF">
      <w:pPr>
        <w:rPr>
          <w:b/>
          <w:sz w:val="20"/>
        </w:rPr>
      </w:pPr>
      <w:r w:rsidRPr="00072C8B">
        <w:br w:type="page"/>
      </w:r>
      <w:r w:rsidR="008930BF" w:rsidRPr="00072C8B">
        <w:rPr>
          <w:b/>
          <w:sz w:val="20"/>
        </w:rPr>
        <w:t>Tabell 2</w:t>
      </w:r>
      <w:r w:rsidR="008930BF" w:rsidRPr="00072C8B">
        <w:rPr>
          <w:b/>
          <w:sz w:val="20"/>
        </w:rPr>
        <w:tab/>
        <w:t>Bolag med marknadsmässiga krav (M-bolag)</w:t>
      </w:r>
    </w:p>
    <w:tbl>
      <w:tblPr>
        <w:tblStyle w:val="Moderntabell"/>
        <w:tblW w:w="0" w:type="auto"/>
        <w:tblLook w:val="01E0" w:firstRow="1" w:lastRow="1" w:firstColumn="1" w:lastColumn="1" w:noHBand="0" w:noVBand="0"/>
      </w:tblPr>
      <w:tblGrid>
        <w:gridCol w:w="879"/>
        <w:gridCol w:w="5074"/>
      </w:tblGrid>
      <w:tr w:rsidR="008930BF" w:rsidRPr="00072C8B" w:rsidTr="00BD2506">
        <w:trPr>
          <w:cnfStyle w:val="100000000000" w:firstRow="1" w:lastRow="0" w:firstColumn="0" w:lastColumn="0" w:oddVBand="0" w:evenVBand="0" w:oddHBand="0"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 xml:space="preserve">Ingår i </w:t>
            </w:r>
          </w:p>
          <w:p w:rsidR="008930BF" w:rsidRPr="00072C8B" w:rsidRDefault="008930BF" w:rsidP="008930BF">
            <w:pPr>
              <w:rPr>
                <w:sz w:val="18"/>
                <w:szCs w:val="18"/>
              </w:rPr>
            </w:pPr>
            <w:r w:rsidRPr="00072C8B">
              <w:rPr>
                <w:sz w:val="18"/>
                <w:szCs w:val="18"/>
              </w:rPr>
              <w:t>gransk-</w:t>
            </w:r>
          </w:p>
          <w:p w:rsidR="008930BF" w:rsidRPr="00072C8B" w:rsidRDefault="008930BF" w:rsidP="008930BF">
            <w:pPr>
              <w:rPr>
                <w:sz w:val="18"/>
                <w:szCs w:val="18"/>
              </w:rPr>
            </w:pPr>
            <w:r w:rsidRPr="00072C8B">
              <w:rPr>
                <w:sz w:val="18"/>
                <w:szCs w:val="18"/>
              </w:rPr>
              <w:t>ningen</w:t>
            </w:r>
          </w:p>
        </w:tc>
        <w:tc>
          <w:tcPr>
            <w:tcW w:w="5286" w:type="dxa"/>
          </w:tcPr>
          <w:p w:rsidR="008930BF" w:rsidRPr="00072C8B" w:rsidRDefault="008930BF" w:rsidP="008930BF">
            <w:pPr>
              <w:rPr>
                <w:sz w:val="18"/>
                <w:szCs w:val="18"/>
              </w:rPr>
            </w:pPr>
            <w:r w:rsidRPr="00072C8B">
              <w:rPr>
                <w:sz w:val="18"/>
                <w:szCs w:val="18"/>
              </w:rPr>
              <w:t>Bolag</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Akademiska Hus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p>
        </w:tc>
        <w:tc>
          <w:tcPr>
            <w:tcW w:w="5286" w:type="dxa"/>
          </w:tcPr>
          <w:p w:rsidR="008930BF" w:rsidRPr="00072C8B" w:rsidRDefault="008930BF" w:rsidP="008930BF">
            <w:pPr>
              <w:rPr>
                <w:sz w:val="18"/>
                <w:szCs w:val="18"/>
              </w:rPr>
            </w:pPr>
            <w:r w:rsidRPr="00072C8B">
              <w:rPr>
                <w:sz w:val="18"/>
                <w:szCs w:val="18"/>
              </w:rPr>
              <w:t>A/O Dom Shvetsii (36</w:t>
            </w:r>
            <w:r w:rsidR="00ED4EC6" w:rsidRPr="00072C8B">
              <w:rPr>
                <w:sz w:val="18"/>
                <w:szCs w:val="18"/>
              </w:rPr>
              <w:t xml:space="preserve"> </w:t>
            </w:r>
            <w:r w:rsidRPr="00072C8B">
              <w:rPr>
                <w:sz w:val="18"/>
                <w:szCs w:val="18"/>
              </w:rPr>
              <w:t>%)</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p>
        </w:tc>
        <w:tc>
          <w:tcPr>
            <w:tcW w:w="5286" w:type="dxa"/>
          </w:tcPr>
          <w:p w:rsidR="008930BF" w:rsidRPr="00072C8B" w:rsidRDefault="008930BF" w:rsidP="008930BF">
            <w:pPr>
              <w:rPr>
                <w:sz w:val="18"/>
                <w:szCs w:val="18"/>
              </w:rPr>
            </w:pPr>
            <w:r w:rsidRPr="00072C8B">
              <w:rPr>
                <w:sz w:val="18"/>
                <w:szCs w:val="18"/>
              </w:rPr>
              <w:t>Förvaltningsaktiebolaget Stattum</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Green Cargo 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Imego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Kasernen Fasighets 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Lernia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Luossavaara-Kirunavaara AB, LKAB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Posten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p>
        </w:tc>
        <w:tc>
          <w:tcPr>
            <w:tcW w:w="5286" w:type="dxa"/>
          </w:tcPr>
          <w:p w:rsidR="008930BF" w:rsidRPr="00072C8B" w:rsidRDefault="008930BF" w:rsidP="008930BF">
            <w:pPr>
              <w:rPr>
                <w:sz w:val="18"/>
                <w:szCs w:val="18"/>
              </w:rPr>
            </w:pPr>
            <w:r w:rsidRPr="00072C8B">
              <w:rPr>
                <w:sz w:val="18"/>
                <w:szCs w:val="18"/>
              </w:rPr>
              <w:t>SAS AB (21,4 %)</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SJ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 xml:space="preserve">* </w:t>
            </w:r>
          </w:p>
        </w:tc>
        <w:tc>
          <w:tcPr>
            <w:tcW w:w="5286" w:type="dxa"/>
          </w:tcPr>
          <w:p w:rsidR="008930BF" w:rsidRPr="00072C8B" w:rsidRDefault="008930BF" w:rsidP="008930BF">
            <w:pPr>
              <w:rPr>
                <w:sz w:val="18"/>
                <w:szCs w:val="18"/>
              </w:rPr>
            </w:pPr>
            <w:r w:rsidRPr="00072C8B">
              <w:rPr>
                <w:sz w:val="18"/>
                <w:szCs w:val="18"/>
              </w:rPr>
              <w:t xml:space="preserve">Specialfastigheter Sverige </w:t>
            </w:r>
            <w:r w:rsidR="00ED4EC6" w:rsidRPr="00072C8B">
              <w:rPr>
                <w:sz w:val="18"/>
                <w:szCs w:val="18"/>
              </w:rPr>
              <w:t>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Sveaskog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Swedcarrier 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Swedesurvey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 xml:space="preserve">* </w:t>
            </w:r>
          </w:p>
        </w:tc>
        <w:tc>
          <w:tcPr>
            <w:tcW w:w="5286" w:type="dxa"/>
          </w:tcPr>
          <w:p w:rsidR="008930BF" w:rsidRPr="00072C8B" w:rsidRDefault="008930BF" w:rsidP="008930BF">
            <w:pPr>
              <w:rPr>
                <w:sz w:val="18"/>
                <w:szCs w:val="18"/>
              </w:rPr>
            </w:pPr>
            <w:smartTag w:uri="urn:schemas-microsoft-com:office:smarttags" w:element="address">
              <w:smartTag w:uri="urn:schemas-microsoft-com:office:smarttags" w:element="Street">
                <w:r w:rsidRPr="00072C8B">
                  <w:rPr>
                    <w:sz w:val="18"/>
                    <w:szCs w:val="18"/>
                  </w:rPr>
                  <w:t>Swedish National Road</w:t>
                </w:r>
              </w:smartTag>
            </w:smartTag>
            <w:r w:rsidRPr="00072C8B">
              <w:rPr>
                <w:sz w:val="18"/>
                <w:szCs w:val="18"/>
              </w:rPr>
              <w:t xml:space="preserve"> Consulting 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AB Svensk Exportkredit</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 xml:space="preserve">Svenska </w:t>
            </w:r>
            <w:r w:rsidR="00ED4EC6" w:rsidRPr="00072C8B">
              <w:rPr>
                <w:sz w:val="18"/>
                <w:szCs w:val="18"/>
              </w:rPr>
              <w:t>r</w:t>
            </w:r>
            <w:r w:rsidRPr="00072C8B">
              <w:rPr>
                <w:sz w:val="18"/>
                <w:szCs w:val="18"/>
              </w:rPr>
              <w:t>ymdaktiebolaget</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p>
        </w:tc>
        <w:tc>
          <w:tcPr>
            <w:tcW w:w="5286" w:type="dxa"/>
          </w:tcPr>
          <w:p w:rsidR="008930BF" w:rsidRPr="00072C8B" w:rsidRDefault="008930BF" w:rsidP="008930BF">
            <w:pPr>
              <w:rPr>
                <w:sz w:val="18"/>
                <w:szCs w:val="18"/>
              </w:rPr>
            </w:pPr>
            <w:r w:rsidRPr="00072C8B">
              <w:rPr>
                <w:sz w:val="18"/>
                <w:szCs w:val="18"/>
              </w:rPr>
              <w:t>Svenska Skeppshypotekskassan</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Sveriges Bostadsfinansieringsaktiebolag, SBAB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p>
        </w:tc>
        <w:tc>
          <w:tcPr>
            <w:tcW w:w="5286" w:type="dxa"/>
          </w:tcPr>
          <w:p w:rsidR="008930BF" w:rsidRPr="00072C8B" w:rsidRDefault="008930BF" w:rsidP="008930BF">
            <w:pPr>
              <w:rPr>
                <w:sz w:val="18"/>
                <w:szCs w:val="18"/>
              </w:rPr>
            </w:pPr>
            <w:r w:rsidRPr="00072C8B">
              <w:rPr>
                <w:sz w:val="18"/>
                <w:szCs w:val="18"/>
              </w:rPr>
              <w:t>Telia Sonera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Teracom 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V&amp;S Vin &amp; Sprit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smartTag w:uri="urn:schemas-microsoft-com:office:smarttags" w:element="place">
              <w:smartTag w:uri="urn:schemas-microsoft-com:office:smarttags" w:element="City">
                <w:r w:rsidRPr="00072C8B">
                  <w:rPr>
                    <w:sz w:val="18"/>
                    <w:szCs w:val="18"/>
                  </w:rPr>
                  <w:t>Vasakronan</w:t>
                </w:r>
              </w:smartTag>
              <w:r w:rsidRPr="00072C8B">
                <w:rPr>
                  <w:sz w:val="18"/>
                  <w:szCs w:val="18"/>
                </w:rPr>
                <w:t xml:space="preserve"> </w:t>
              </w:r>
              <w:smartTag w:uri="urn:schemas-microsoft-com:office:smarttags" w:element="State">
                <w:r w:rsidRPr="00072C8B">
                  <w:rPr>
                    <w:sz w:val="18"/>
                    <w:szCs w:val="18"/>
                  </w:rPr>
                  <w:t>AB</w:t>
                </w:r>
              </w:smartTag>
            </w:smartTag>
            <w:r w:rsidRPr="00072C8B">
              <w:rPr>
                <w:sz w:val="18"/>
                <w:szCs w:val="18"/>
              </w:rPr>
              <w:t xml:space="preserve"> (Civitas Holding 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Vasallen AB</w:t>
            </w:r>
          </w:p>
        </w:tc>
      </w:tr>
      <w:tr w:rsidR="008930BF" w:rsidRPr="00072C8B" w:rsidTr="00BD2506">
        <w:trPr>
          <w:cnfStyle w:val="000000010000" w:firstRow="0" w:lastRow="0" w:firstColumn="0" w:lastColumn="0" w:oddVBand="0" w:evenVBand="0" w:oddHBand="0" w:evenHBand="1"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w:t>
            </w:r>
          </w:p>
        </w:tc>
        <w:tc>
          <w:tcPr>
            <w:tcW w:w="5286" w:type="dxa"/>
          </w:tcPr>
          <w:p w:rsidR="008930BF" w:rsidRPr="00072C8B" w:rsidRDefault="008930BF" w:rsidP="008930BF">
            <w:pPr>
              <w:rPr>
                <w:sz w:val="18"/>
                <w:szCs w:val="18"/>
              </w:rPr>
            </w:pPr>
            <w:r w:rsidRPr="00072C8B">
              <w:rPr>
                <w:sz w:val="18"/>
                <w:szCs w:val="18"/>
              </w:rPr>
              <w:t>Vattenfall AB</w:t>
            </w:r>
          </w:p>
        </w:tc>
      </w:tr>
      <w:tr w:rsidR="008930BF" w:rsidRPr="00072C8B" w:rsidTr="00BD2506">
        <w:trPr>
          <w:cnfStyle w:val="000000100000" w:firstRow="0" w:lastRow="0" w:firstColumn="0" w:lastColumn="0" w:oddVBand="0" w:evenVBand="0" w:oddHBand="1" w:evenHBand="0" w:firstRowFirstColumn="0" w:firstRowLastColumn="0" w:lastRowFirstColumn="0" w:lastRowLastColumn="0"/>
        </w:trPr>
        <w:tc>
          <w:tcPr>
            <w:tcW w:w="883" w:type="dxa"/>
          </w:tcPr>
          <w:p w:rsidR="008930BF" w:rsidRPr="00072C8B" w:rsidRDefault="008930BF" w:rsidP="008930BF">
            <w:pPr>
              <w:rPr>
                <w:sz w:val="18"/>
                <w:szCs w:val="18"/>
              </w:rPr>
            </w:pPr>
            <w:r w:rsidRPr="00072C8B">
              <w:rPr>
                <w:sz w:val="18"/>
                <w:szCs w:val="18"/>
              </w:rPr>
              <w:t xml:space="preserve">* </w:t>
            </w:r>
          </w:p>
        </w:tc>
        <w:tc>
          <w:tcPr>
            <w:tcW w:w="5286" w:type="dxa"/>
          </w:tcPr>
          <w:p w:rsidR="008930BF" w:rsidRPr="00072C8B" w:rsidRDefault="008930BF" w:rsidP="008930BF">
            <w:pPr>
              <w:rPr>
                <w:sz w:val="18"/>
                <w:szCs w:val="18"/>
              </w:rPr>
            </w:pPr>
            <w:r w:rsidRPr="00072C8B">
              <w:rPr>
                <w:sz w:val="18"/>
                <w:szCs w:val="18"/>
              </w:rPr>
              <w:t xml:space="preserve">Venantius </w:t>
            </w:r>
            <w:r w:rsidR="00ED4EC6" w:rsidRPr="00072C8B">
              <w:rPr>
                <w:sz w:val="18"/>
                <w:szCs w:val="18"/>
              </w:rPr>
              <w:t>AB</w:t>
            </w:r>
          </w:p>
        </w:tc>
      </w:tr>
    </w:tbl>
    <w:p w:rsidR="008930BF" w:rsidRPr="00072C8B" w:rsidRDefault="008930BF" w:rsidP="008930BF">
      <w:pPr>
        <w:rPr>
          <w:sz w:val="18"/>
          <w:szCs w:val="18"/>
        </w:rPr>
      </w:pPr>
      <w:r w:rsidRPr="00072C8B">
        <w:rPr>
          <w:sz w:val="18"/>
          <w:szCs w:val="18"/>
        </w:rPr>
        <w:t>Källa: Riksrevisionens rapport RiR 2006:11</w:t>
      </w:r>
    </w:p>
    <w:p w:rsidR="001517B3" w:rsidRPr="00072C8B" w:rsidRDefault="001517B3" w:rsidP="007F4DAF">
      <w:pPr>
        <w:pStyle w:val="Normaltindrag"/>
      </w:pPr>
    </w:p>
    <w:p w:rsidR="007D58C9" w:rsidRPr="00072C8B" w:rsidRDefault="007D58C9" w:rsidP="007D58C9">
      <w:pPr>
        <w:pStyle w:val="Rubrik2"/>
      </w:pPr>
      <w:bookmarkStart w:id="19" w:name="_Toc145829852"/>
      <w:r w:rsidRPr="00072C8B">
        <w:t>Iakttagelser och slutsatser</w:t>
      </w:r>
      <w:bookmarkEnd w:id="19"/>
    </w:p>
    <w:p w:rsidR="007D58C9" w:rsidRPr="00072C8B" w:rsidRDefault="007D58C9" w:rsidP="007D58C9">
      <w:pPr>
        <w:pStyle w:val="Rubrik3"/>
        <w:rPr>
          <w:noProof w:val="0"/>
        </w:rPr>
      </w:pPr>
      <w:bookmarkStart w:id="20" w:name="_Toc145829853"/>
      <w:r w:rsidRPr="00072C8B">
        <w:rPr>
          <w:noProof w:val="0"/>
        </w:rPr>
        <w:t>Betydande variationer i vilka styrdokument som används</w:t>
      </w:r>
      <w:bookmarkEnd w:id="20"/>
    </w:p>
    <w:p w:rsidR="007D58C9" w:rsidRPr="00072C8B" w:rsidRDefault="007D58C9" w:rsidP="007D58C9">
      <w:r w:rsidRPr="00072C8B">
        <w:t>Granskningen visar på betydande variationer i vilka styrdokument som a</w:t>
      </w:r>
      <w:r w:rsidRPr="00072C8B">
        <w:t>n</w:t>
      </w:r>
      <w:r w:rsidRPr="00072C8B">
        <w:t>vänts för olika bolag. Det finns också skillnader mellan grupperna. Den grupp bo</w:t>
      </w:r>
      <w:r w:rsidRPr="00072C8B">
        <w:softHyphen/>
        <w:t>lag som har marknadsmässiga krav (M-bolagen) styrs på ett mera enhetligt sätt än den grupp  bolag som har särskilda samhällsintre</w:t>
      </w:r>
      <w:r w:rsidRPr="00072C8B">
        <w:t>s</w:t>
      </w:r>
      <w:r w:rsidRPr="00072C8B">
        <w:t>sen (S-bolagen).</w:t>
      </w:r>
    </w:p>
    <w:p w:rsidR="009B1212" w:rsidRPr="00072C8B" w:rsidRDefault="009B1212" w:rsidP="009B1212">
      <w:pPr>
        <w:pStyle w:val="Normaltindrag"/>
      </w:pPr>
      <w:r w:rsidRPr="00072C8B">
        <w:t>Av granskningen framgår tydliga skillnader i styrningens utformning mel</w:t>
      </w:r>
      <w:r w:rsidRPr="00072C8B">
        <w:softHyphen/>
        <w:t>lan de departement som ansvarar för regeringens styrning. Social</w:t>
      </w:r>
      <w:r w:rsidRPr="00072C8B">
        <w:softHyphen/>
        <w:t>de</w:t>
      </w:r>
      <w:r w:rsidRPr="00072C8B">
        <w:softHyphen/>
        <w:t>parte</w:t>
      </w:r>
      <w:r w:rsidRPr="00072C8B">
        <w:softHyphen/>
        <w:t>men</w:t>
      </w:r>
      <w:r w:rsidRPr="00072C8B">
        <w:softHyphen/>
        <w:t>tet styr t.ex. Apoteket och Systembolaget med direktiv som beslutats av b</w:t>
      </w:r>
      <w:r w:rsidRPr="00072C8B">
        <w:t>o</w:t>
      </w:r>
      <w:r w:rsidRPr="00072C8B">
        <w:t>lags</w:t>
      </w:r>
      <w:r w:rsidRPr="00072C8B">
        <w:softHyphen/>
        <w:t>stämma. Näringsdepartementet däremot överlämnar s.k. ägarmappar som ”information” till flertalet bolag inom sitt ansvars</w:t>
      </w:r>
      <w:r w:rsidRPr="00072C8B">
        <w:softHyphen/>
        <w:t>område. Utbildnings- och kul</w:t>
      </w:r>
      <w:r w:rsidRPr="00072C8B">
        <w:softHyphen/>
      </w:r>
      <w:r w:rsidRPr="00072C8B">
        <w:softHyphen/>
        <w:t>turdepartementen styr i sin tur Operan och Dramaten med detaljerade reg</w:t>
      </w:r>
      <w:r w:rsidRPr="00072C8B">
        <w:softHyphen/>
        <w:t>le</w:t>
      </w:r>
      <w:r w:rsidRPr="00072C8B">
        <w:softHyphen/>
        <w:t xml:space="preserve">ringsbrevsliknande dokument. </w:t>
      </w:r>
    </w:p>
    <w:p w:rsidR="008930BF" w:rsidRPr="00072C8B" w:rsidRDefault="008930BF" w:rsidP="007F4DAF">
      <w:pPr>
        <w:pStyle w:val="Normaltindrag"/>
      </w:pPr>
      <w:r w:rsidRPr="00072C8B">
        <w:t>Enligt Näringsdepartementet kan det finnas flera förklaringar till varia</w:t>
      </w:r>
      <w:r w:rsidRPr="00072C8B">
        <w:softHyphen/>
        <w:t>tio</w:t>
      </w:r>
      <w:r w:rsidRPr="00072C8B">
        <w:softHyphen/>
        <w:t>ner</w:t>
      </w:r>
      <w:r w:rsidRPr="00072C8B">
        <w:softHyphen/>
        <w:t>na. Bolagens olika uppdrag och skilda verksamhets</w:t>
      </w:r>
      <w:r w:rsidRPr="00072C8B">
        <w:softHyphen/>
        <w:t>förutsättningar kan ha medverkat till att olika styrdokument ansetts vara ändamålsenliga. Skillna</w:t>
      </w:r>
      <w:r w:rsidRPr="00072C8B">
        <w:softHyphen/>
        <w:t>der kan även bero på historiska omständigheter samt praxisbildning vid de olika departement som ansvarar för ägarförvaltningen.</w:t>
      </w:r>
    </w:p>
    <w:p w:rsidR="008930BF" w:rsidRPr="00072C8B" w:rsidRDefault="008930BF" w:rsidP="007F4DAF">
      <w:pPr>
        <w:pStyle w:val="Normaltindrag"/>
      </w:pPr>
      <w:r w:rsidRPr="00072C8B">
        <w:t>De typer av styrdokument som riktats till M-bolagen är relativt likartade. De 18 M-bolag som förvaltas av Näringsdepartementet uppvisar stora likheter i fråga om den statliga styrningen. Till samtliga bolag har snarlika s.k. ägar</w:t>
      </w:r>
      <w:r w:rsidRPr="00072C8B">
        <w:softHyphen/>
        <w:t>mappar överlämnats. För några av M-bolagen används även styrnings</w:t>
      </w:r>
      <w:r w:rsidRPr="00072C8B">
        <w:softHyphen/>
        <w:t>avtal.</w:t>
      </w:r>
    </w:p>
    <w:p w:rsidR="008930BF" w:rsidRPr="00072C8B" w:rsidRDefault="008930BF" w:rsidP="007F4DAF">
      <w:pPr>
        <w:pStyle w:val="Normaltindrag"/>
      </w:pPr>
      <w:r w:rsidRPr="00072C8B">
        <w:t>Granskningen har således visat på en stor variation i använda styrdok</w:t>
      </w:r>
      <w:r w:rsidRPr="00072C8B">
        <w:t>u</w:t>
      </w:r>
      <w:r w:rsidRPr="00072C8B">
        <w:t>ment. Olika förklaringar har lämnats till dessa variationer, men någon entydig fö</w:t>
      </w:r>
      <w:r w:rsidRPr="00072C8B">
        <w:t>r</w:t>
      </w:r>
      <w:r w:rsidRPr="00072C8B">
        <w:t>klaring är svår att finna. Riksrevisionen anser att variationer kan vara lämp</w:t>
      </w:r>
      <w:r w:rsidR="007F4DAF" w:rsidRPr="00072C8B">
        <w:softHyphen/>
      </w:r>
      <w:r w:rsidRPr="00072C8B">
        <w:t>liga, men att de bör vara motiverade utifrån skill</w:t>
      </w:r>
      <w:r w:rsidRPr="00072C8B">
        <w:softHyphen/>
        <w:t>na</w:t>
      </w:r>
      <w:r w:rsidRPr="00072C8B">
        <w:softHyphen/>
        <w:t>der i bolagens ver</w:t>
      </w:r>
      <w:r w:rsidRPr="00072C8B">
        <w:t>k</w:t>
      </w:r>
      <w:r w:rsidRPr="00072C8B">
        <w:t>samhet.</w:t>
      </w:r>
    </w:p>
    <w:p w:rsidR="008930BF" w:rsidRPr="00072C8B" w:rsidRDefault="008930BF" w:rsidP="007F4DAF">
      <w:pPr>
        <w:pStyle w:val="Rubrik3"/>
        <w:rPr>
          <w:noProof w:val="0"/>
        </w:rPr>
      </w:pPr>
      <w:bookmarkStart w:id="21" w:name="_Toc145829854"/>
      <w:r w:rsidRPr="00072C8B">
        <w:rPr>
          <w:noProof w:val="0"/>
        </w:rPr>
        <w:t>Bolagens samhällsuppdrag är sällan konkreta i styrdokumenten</w:t>
      </w:r>
      <w:bookmarkEnd w:id="21"/>
    </w:p>
    <w:p w:rsidR="008930BF" w:rsidRPr="00072C8B" w:rsidRDefault="008930BF" w:rsidP="008930BF">
      <w:r w:rsidRPr="00072C8B">
        <w:t>De statliga bolagens samhällsuppdrag är ofta otydliga, enligt den genom</w:t>
      </w:r>
      <w:r w:rsidRPr="00072C8B">
        <w:softHyphen/>
        <w:t>gång som gjorts av Riksrevisionen. För flertalet av de statliga bolagen är samhäll</w:t>
      </w:r>
      <w:r w:rsidRPr="00072C8B">
        <w:t>s</w:t>
      </w:r>
      <w:r w:rsidRPr="00072C8B">
        <w:t xml:space="preserve">uppdragen inte tydligt preciserade i de styrdokument som bolagen hänvisar till. </w:t>
      </w:r>
    </w:p>
    <w:p w:rsidR="008930BF" w:rsidRPr="00072C8B" w:rsidRDefault="00996C27" w:rsidP="007F4DAF">
      <w:pPr>
        <w:pStyle w:val="Normaltindrag"/>
      </w:pPr>
      <w:r w:rsidRPr="00072C8B">
        <w:t>Samtliga S-bolag och flera av M-bolagen har n</w:t>
      </w:r>
      <w:r w:rsidR="008930BF" w:rsidRPr="00072C8B">
        <w:t>ågon form av samhällsup</w:t>
      </w:r>
      <w:r w:rsidR="008930BF" w:rsidRPr="00072C8B">
        <w:t>p</w:t>
      </w:r>
      <w:r w:rsidR="008930BF" w:rsidRPr="00072C8B">
        <w:t xml:space="preserve">drag </w:t>
      </w:r>
      <w:r w:rsidRPr="00072C8B">
        <w:t xml:space="preserve">som </w:t>
      </w:r>
      <w:r w:rsidR="008930BF" w:rsidRPr="00072C8B">
        <w:t>formulera</w:t>
      </w:r>
      <w:r w:rsidRPr="00072C8B">
        <w:t>t</w:t>
      </w:r>
      <w:r w:rsidR="008930BF" w:rsidRPr="00072C8B">
        <w:t>s i bolagsordningen eller andra styrdokument</w:t>
      </w:r>
      <w:r w:rsidRPr="00072C8B">
        <w:t>.</w:t>
      </w:r>
      <w:r w:rsidR="008930BF" w:rsidRPr="00072C8B">
        <w:t xml:space="preserve"> Det är dock enbart för ungefär hälften av S-bola</w:t>
      </w:r>
      <w:r w:rsidR="008930BF" w:rsidRPr="00072C8B">
        <w:softHyphen/>
        <w:t>gen som Riksrevisionen gör b</w:t>
      </w:r>
      <w:r w:rsidR="008930BF" w:rsidRPr="00072C8B">
        <w:t>e</w:t>
      </w:r>
      <w:r w:rsidR="008930BF" w:rsidRPr="00072C8B">
        <w:t>döm</w:t>
      </w:r>
      <w:r w:rsidR="008930BF" w:rsidRPr="00072C8B">
        <w:softHyphen/>
        <w:t>ningen att samhällsuppdraget konkre</w:t>
      </w:r>
      <w:r w:rsidR="008930BF" w:rsidRPr="00072C8B">
        <w:softHyphen/>
        <w:t>ti</w:t>
      </w:r>
      <w:r w:rsidR="008930BF" w:rsidRPr="00072C8B">
        <w:softHyphen/>
        <w:t>seras i form av någorlunda tydl</w:t>
      </w:r>
      <w:r w:rsidR="008930BF" w:rsidRPr="00072C8B">
        <w:t>i</w:t>
      </w:r>
      <w:r w:rsidR="008930BF" w:rsidRPr="00072C8B">
        <w:t>ga mål</w:t>
      </w:r>
      <w:r w:rsidRPr="00072C8B">
        <w:softHyphen/>
      </w:r>
      <w:r w:rsidR="008930BF" w:rsidRPr="00072C8B">
        <w:t>sätt</w:t>
      </w:r>
      <w:r w:rsidRPr="00072C8B">
        <w:softHyphen/>
      </w:r>
      <w:r w:rsidR="008930BF" w:rsidRPr="00072C8B">
        <w:t>ningar. Inte heller i dessa fall är samhällsmålen så tydl</w:t>
      </w:r>
      <w:r w:rsidR="008930BF" w:rsidRPr="00072C8B">
        <w:t>i</w:t>
      </w:r>
      <w:r w:rsidR="008930BF" w:rsidRPr="00072C8B">
        <w:t>ga att de, utan yt</w:t>
      </w:r>
      <w:r w:rsidRPr="00072C8B">
        <w:softHyphen/>
      </w:r>
      <w:r w:rsidR="008930BF" w:rsidRPr="00072C8B">
        <w:t>ter</w:t>
      </w:r>
      <w:r w:rsidRPr="00072C8B">
        <w:softHyphen/>
      </w:r>
      <w:r w:rsidR="008930BF" w:rsidRPr="00072C8B">
        <w:t>ligare precisering, kan a</w:t>
      </w:r>
      <w:r w:rsidR="008930BF" w:rsidRPr="00072C8B">
        <w:t>n</w:t>
      </w:r>
      <w:r w:rsidR="008930BF" w:rsidRPr="00072C8B">
        <w:t xml:space="preserve">vändas som grund för att styra bolagen. </w:t>
      </w:r>
    </w:p>
    <w:p w:rsidR="008930BF" w:rsidRPr="00072C8B" w:rsidRDefault="008930BF" w:rsidP="007F4DAF">
      <w:pPr>
        <w:pStyle w:val="Normaltindrag"/>
      </w:pPr>
      <w:r w:rsidRPr="00072C8B">
        <w:t>Det finns en stor variation mellan bolagen när det gäller hur väl bol</w:t>
      </w:r>
      <w:r w:rsidRPr="00072C8B">
        <w:t>a</w:t>
      </w:r>
      <w:r w:rsidRPr="00072C8B">
        <w:t>gens sam</w:t>
      </w:r>
      <w:r w:rsidR="00E54510" w:rsidRPr="00072C8B">
        <w:softHyphen/>
      </w:r>
      <w:r w:rsidRPr="00072C8B">
        <w:t>hällsuppdrag är konkretiserade. De finansiella målen är vanligen me</w:t>
      </w:r>
      <w:r w:rsidR="00996C27" w:rsidRPr="00072C8B">
        <w:softHyphen/>
      </w:r>
      <w:r w:rsidRPr="00072C8B">
        <w:t>ra en</w:t>
      </w:r>
      <w:r w:rsidR="00DA65C5" w:rsidRPr="00072C8B">
        <w:softHyphen/>
      </w:r>
      <w:r w:rsidRPr="00072C8B">
        <w:t>ty</w:t>
      </w:r>
      <w:r w:rsidR="00E54510" w:rsidRPr="00072C8B">
        <w:softHyphen/>
      </w:r>
      <w:r w:rsidRPr="00072C8B">
        <w:t>diga. För nästan alla M-bolag och några av S-bolagen ställs det tydliga fi</w:t>
      </w:r>
      <w:r w:rsidR="00DA65C5" w:rsidRPr="00072C8B">
        <w:softHyphen/>
      </w:r>
      <w:r w:rsidRPr="00072C8B">
        <w:t>nan</w:t>
      </w:r>
      <w:r w:rsidR="00DA65C5" w:rsidRPr="00072C8B">
        <w:softHyphen/>
      </w:r>
      <w:r w:rsidR="00DA65C5" w:rsidRPr="00072C8B">
        <w:softHyphen/>
      </w:r>
      <w:r w:rsidRPr="00072C8B">
        <w:softHyphen/>
        <w:t>siella mål i form av avkastningskrav. För fyra S-bolag är det å andra sidan tydligt angivet att bolagen inte har till syfte att gå med vinst.</w:t>
      </w:r>
    </w:p>
    <w:p w:rsidR="008930BF" w:rsidRPr="00072C8B" w:rsidRDefault="008930BF" w:rsidP="007F4DAF">
      <w:pPr>
        <w:pStyle w:val="Normaltindrag"/>
      </w:pPr>
      <w:r w:rsidRPr="00072C8B">
        <w:t xml:space="preserve"> Sam</w:t>
      </w:r>
      <w:r w:rsidRPr="00072C8B">
        <w:softHyphen/>
        <w:t>manfattningsvis anser Riksrevisionen att tydligheten brister i den d</w:t>
      </w:r>
      <w:r w:rsidRPr="00072C8B">
        <w:t>o</w:t>
      </w:r>
      <w:r w:rsidRPr="00072C8B">
        <w:t>ku</w:t>
      </w:r>
      <w:r w:rsidRPr="00072C8B">
        <w:softHyphen/>
        <w:t>menterade ägarstyrningen av de statliga bolagen, i synnerhet när det gäller bolagens sam</w:t>
      </w:r>
      <w:r w:rsidRPr="00072C8B">
        <w:softHyphen/>
        <w:t>hälls</w:t>
      </w:r>
      <w:r w:rsidRPr="00072C8B">
        <w:softHyphen/>
      </w:r>
      <w:r w:rsidRPr="00072C8B">
        <w:softHyphen/>
        <w:t>uppdrag. I de fall bolagen har såväl samhälls</w:t>
      </w:r>
      <w:r w:rsidRPr="00072C8B">
        <w:softHyphen/>
        <w:t>upp</w:t>
      </w:r>
      <w:r w:rsidRPr="00072C8B">
        <w:softHyphen/>
        <w:t>drag som finansiella mål framgår det vanligen inte hur avvägningen mellan dessa ska göras. Eftersom sam</w:t>
      </w:r>
      <w:r w:rsidRPr="00072C8B">
        <w:softHyphen/>
        <w:t>hälls</w:t>
      </w:r>
      <w:r w:rsidRPr="00072C8B">
        <w:softHyphen/>
        <w:t>uppdraget ofta är otydligt medan de finansi</w:t>
      </w:r>
      <w:r w:rsidRPr="00072C8B">
        <w:softHyphen/>
        <w:t>ella mål</w:t>
      </w:r>
      <w:r w:rsidRPr="00072C8B">
        <w:softHyphen/>
        <w:t>sättningarna är preciserade finns det enligt Riksrevisionen en uppen</w:t>
      </w:r>
      <w:r w:rsidRPr="00072C8B">
        <w:softHyphen/>
        <w:t>bar risk för att de finan</w:t>
      </w:r>
      <w:r w:rsidRPr="00072C8B">
        <w:softHyphen/>
        <w:t>siella målen prioriteras på bekostnad av sam</w:t>
      </w:r>
      <w:r w:rsidRPr="00072C8B">
        <w:softHyphen/>
        <w:t>hälls</w:t>
      </w:r>
      <w:r w:rsidRPr="00072C8B">
        <w:softHyphen/>
        <w:t>upp</w:t>
      </w:r>
      <w:r w:rsidRPr="00072C8B">
        <w:softHyphen/>
        <w:t>dra</w:t>
      </w:r>
      <w:r w:rsidRPr="00072C8B">
        <w:softHyphen/>
        <w:t xml:space="preserve">gen.  </w:t>
      </w:r>
    </w:p>
    <w:p w:rsidR="008930BF" w:rsidRPr="00072C8B" w:rsidRDefault="008930BF" w:rsidP="007F4DAF">
      <w:pPr>
        <w:pStyle w:val="Rubrik3"/>
        <w:rPr>
          <w:noProof w:val="0"/>
        </w:rPr>
      </w:pPr>
      <w:bookmarkStart w:id="22" w:name="_Toc145829855"/>
      <w:r w:rsidRPr="00072C8B">
        <w:rPr>
          <w:noProof w:val="0"/>
        </w:rPr>
        <w:t>Styrdokument – förutom bolagsordningen – har normalt inte beslutats av bolagsstämma</w:t>
      </w:r>
      <w:bookmarkEnd w:id="22"/>
    </w:p>
    <w:p w:rsidR="008930BF" w:rsidRPr="00072C8B" w:rsidRDefault="008930BF" w:rsidP="008930BF">
      <w:r w:rsidRPr="00072C8B">
        <w:t>De olika dokument som bolagsledningarna hänvisat till som styrande för verk</w:t>
      </w:r>
      <w:r w:rsidRPr="00072C8B">
        <w:softHyphen/>
        <w:t>samheten har i de allra flesta fall inte beslutats av bolagsstämman. De är därmed inte aktiebolagsrättsligt bindande. Undantaget är bolagsordningen som är ett obligatoriskt dokument vid bild</w:t>
      </w:r>
      <w:r w:rsidR="00A855B0" w:rsidRPr="00072C8B">
        <w:t xml:space="preserve">andet av ett aktiebolag. </w:t>
      </w:r>
      <w:r w:rsidRPr="00072C8B">
        <w:t xml:space="preserve"> </w:t>
      </w:r>
      <w:r w:rsidR="00A855B0" w:rsidRPr="00072C8B">
        <w:t>E</w:t>
      </w:r>
      <w:r w:rsidRPr="00072C8B">
        <w:t>n</w:t>
      </w:r>
      <w:r w:rsidRPr="00072C8B">
        <w:t xml:space="preserve">dast för två S-bolag, Apoteket och Systembolaget, </w:t>
      </w:r>
      <w:r w:rsidR="00A855B0" w:rsidRPr="00072C8B">
        <w:t xml:space="preserve">har bolagsstämman </w:t>
      </w:r>
      <w:r w:rsidRPr="00072C8B">
        <w:t>fat</w:t>
      </w:r>
      <w:r w:rsidR="00A855B0" w:rsidRPr="00072C8B">
        <w:softHyphen/>
      </w:r>
      <w:r w:rsidRPr="00072C8B">
        <w:t>tat beslut om att anta till bolagsordningen kompletterande styr</w:t>
      </w:r>
      <w:r w:rsidRPr="00072C8B">
        <w:softHyphen/>
        <w:t>dokument</w:t>
      </w:r>
      <w:r w:rsidR="00A855B0" w:rsidRPr="00072C8B">
        <w:t>.</w:t>
      </w:r>
      <w:r w:rsidRPr="00072C8B">
        <w:t xml:space="preserve"> </w:t>
      </w:r>
      <w:r w:rsidR="00A855B0" w:rsidRPr="00072C8B">
        <w:t xml:space="preserve">När det gäller </w:t>
      </w:r>
      <w:r w:rsidRPr="00072C8B">
        <w:t>de ägarmappar som delats ut till flera S-bolag och majorit</w:t>
      </w:r>
      <w:r w:rsidRPr="00072C8B">
        <w:t>e</w:t>
      </w:r>
      <w:r w:rsidRPr="00072C8B">
        <w:t xml:space="preserve">ten av M-bolagen </w:t>
      </w:r>
      <w:r w:rsidR="00A855B0" w:rsidRPr="00072C8B">
        <w:t xml:space="preserve">framhåller Riksrevisionen att det vanligen </w:t>
      </w:r>
      <w:r w:rsidRPr="00072C8B">
        <w:t>finns noteringar i stäm</w:t>
      </w:r>
      <w:r w:rsidRPr="00072C8B">
        <w:softHyphen/>
        <w:t>mo</w:t>
      </w:r>
      <w:r w:rsidRPr="00072C8B">
        <w:softHyphen/>
        <w:t>pro</w:t>
      </w:r>
      <w:r w:rsidR="00A855B0" w:rsidRPr="00072C8B">
        <w:softHyphen/>
      </w:r>
      <w:r w:rsidRPr="00072C8B">
        <w:t>to</w:t>
      </w:r>
      <w:r w:rsidR="00A855B0" w:rsidRPr="00072C8B">
        <w:softHyphen/>
      </w:r>
      <w:r w:rsidRPr="00072C8B">
        <w:t>kol</w:t>
      </w:r>
      <w:r w:rsidR="00A855B0" w:rsidRPr="00072C8B">
        <w:softHyphen/>
      </w:r>
      <w:r w:rsidRPr="00072C8B">
        <w:t>len att de överlämnats, men stä</w:t>
      </w:r>
      <w:r w:rsidRPr="00072C8B">
        <w:t>m</w:t>
      </w:r>
      <w:r w:rsidRPr="00072C8B">
        <w:t>man har inte tagit ställ</w:t>
      </w:r>
      <w:r w:rsidRPr="00072C8B">
        <w:softHyphen/>
        <w:t>ning till doku</w:t>
      </w:r>
      <w:r w:rsidRPr="00072C8B">
        <w:softHyphen/>
        <w:t>menten.</w:t>
      </w:r>
    </w:p>
    <w:p w:rsidR="008930BF" w:rsidRPr="00072C8B" w:rsidRDefault="008930BF" w:rsidP="007F4DAF">
      <w:pPr>
        <w:pStyle w:val="Normaltindrag"/>
      </w:pPr>
      <w:r w:rsidRPr="00072C8B">
        <w:t>Riksrevisionens bedömning är att regeringen i styrningen av de statliga bo</w:t>
      </w:r>
      <w:r w:rsidRPr="00072C8B">
        <w:softHyphen/>
        <w:t>la</w:t>
      </w:r>
      <w:r w:rsidRPr="00072C8B">
        <w:softHyphen/>
        <w:t>gen inte utnyttjar de möjligheter till styrning som aktie</w:t>
      </w:r>
      <w:r w:rsidRPr="00072C8B">
        <w:softHyphen/>
        <w:t>bolagslagen faktiskt ger</w:t>
      </w:r>
      <w:r w:rsidR="00DA65C5" w:rsidRPr="00072C8B">
        <w:t>.</w:t>
      </w:r>
      <w:r w:rsidRPr="00072C8B">
        <w:t xml:space="preserve"> </w:t>
      </w:r>
      <w:r w:rsidR="00DA65C5" w:rsidRPr="00072C8B">
        <w:t>S</w:t>
      </w:r>
      <w:r w:rsidRPr="00072C8B">
        <w:t xml:space="preserve">tyrningen sker </w:t>
      </w:r>
      <w:r w:rsidR="00DA65C5" w:rsidRPr="00072C8B">
        <w:t xml:space="preserve">inte </w:t>
      </w:r>
      <w:r w:rsidRPr="00072C8B">
        <w:t>på ett aktie</w:t>
      </w:r>
      <w:r w:rsidRPr="00072C8B">
        <w:softHyphen/>
        <w:t>bolags</w:t>
      </w:r>
      <w:r w:rsidRPr="00072C8B">
        <w:softHyphen/>
        <w:t>rättsligt bindan</w:t>
      </w:r>
      <w:r w:rsidRPr="00072C8B">
        <w:softHyphen/>
        <w:t xml:space="preserve">de sätt </w:t>
      </w:r>
      <w:r w:rsidR="00DA65C5" w:rsidRPr="00072C8B">
        <w:t>och b</w:t>
      </w:r>
      <w:r w:rsidRPr="00072C8B">
        <w:t>ol</w:t>
      </w:r>
      <w:r w:rsidRPr="00072C8B">
        <w:t>a</w:t>
      </w:r>
      <w:r w:rsidRPr="00072C8B">
        <w:t>gen är dä</w:t>
      </w:r>
      <w:r w:rsidRPr="00072C8B">
        <w:t>r</w:t>
      </w:r>
      <w:r w:rsidRPr="00072C8B">
        <w:t>för inte rättsligt bundna att följa de styrsignaler de får.</w:t>
      </w:r>
    </w:p>
    <w:p w:rsidR="008930BF" w:rsidRPr="00072C8B" w:rsidRDefault="008930BF" w:rsidP="007F4DAF">
      <w:pPr>
        <w:pStyle w:val="Rubrik3"/>
        <w:rPr>
          <w:noProof w:val="0"/>
        </w:rPr>
      </w:pPr>
      <w:bookmarkStart w:id="23" w:name="_Toc145829856"/>
      <w:r w:rsidRPr="00072C8B">
        <w:rPr>
          <w:noProof w:val="0"/>
        </w:rPr>
        <w:t>Riksrevisionens sammanfattande bedömning</w:t>
      </w:r>
      <w:bookmarkEnd w:id="23"/>
    </w:p>
    <w:p w:rsidR="008930BF" w:rsidRPr="00072C8B" w:rsidRDefault="008930BF" w:rsidP="008930BF">
      <w:r w:rsidRPr="00072C8B">
        <w:t>Regeringens styrning av de statliga bolagen baseras, enligt granskningen, på do</w:t>
      </w:r>
      <w:r w:rsidR="00E1523A" w:rsidRPr="00072C8B">
        <w:softHyphen/>
      </w:r>
      <w:r w:rsidRPr="00072C8B">
        <w:t xml:space="preserve">kument vars innehåll är otydligt och vars rättsliga status är oklar. En följd av dessa oklarheter </w:t>
      </w:r>
      <w:r w:rsidR="006A2AED" w:rsidRPr="00072C8B">
        <w:t xml:space="preserve">är </w:t>
      </w:r>
      <w:r w:rsidRPr="00072C8B">
        <w:t>att det blir svårare för riks</w:t>
      </w:r>
      <w:r w:rsidR="006A2AED" w:rsidRPr="00072C8B">
        <w:softHyphen/>
      </w:r>
      <w:r w:rsidRPr="00072C8B">
        <w:t>da</w:t>
      </w:r>
      <w:r w:rsidRPr="00072C8B">
        <w:softHyphen/>
        <w:t>gen att utkräva a</w:t>
      </w:r>
      <w:r w:rsidRPr="00072C8B">
        <w:t>n</w:t>
      </w:r>
      <w:r w:rsidRPr="00072C8B">
        <w:t>svar av re</w:t>
      </w:r>
      <w:r w:rsidR="00E1523A" w:rsidRPr="00072C8B">
        <w:softHyphen/>
      </w:r>
      <w:r w:rsidRPr="00072C8B">
        <w:t>geringen som förvaltare av bolagen. Det blir ock</w:t>
      </w:r>
      <w:r w:rsidRPr="00072C8B">
        <w:softHyphen/>
        <w:t>så svårare för r</w:t>
      </w:r>
      <w:r w:rsidRPr="00072C8B">
        <w:t>e</w:t>
      </w:r>
      <w:r w:rsidRPr="00072C8B">
        <w:t>geringen att som ägar</w:t>
      </w:r>
      <w:r w:rsidRPr="00072C8B">
        <w:softHyphen/>
        <w:t>företrädare utkrä</w:t>
      </w:r>
      <w:r w:rsidRPr="00072C8B">
        <w:softHyphen/>
        <w:t>va ansvar av bola</w:t>
      </w:r>
      <w:r w:rsidRPr="00072C8B">
        <w:softHyphen/>
        <w:t>gen i de fall styrsign</w:t>
      </w:r>
      <w:r w:rsidRPr="00072C8B">
        <w:t>a</w:t>
      </w:r>
      <w:r w:rsidRPr="00072C8B">
        <w:t>lerna inte har följts. Bolagen å sin sida riskerar, i de fall man följer styrsign</w:t>
      </w:r>
      <w:r w:rsidRPr="00072C8B">
        <w:t>a</w:t>
      </w:r>
      <w:r w:rsidRPr="00072C8B">
        <w:t>ler som inte är aktie</w:t>
      </w:r>
      <w:r w:rsidRPr="00072C8B">
        <w:softHyphen/>
        <w:t>bolagsrättsligt bi</w:t>
      </w:r>
      <w:r w:rsidRPr="00072C8B">
        <w:t>n</w:t>
      </w:r>
      <w:r w:rsidRPr="00072C8B">
        <w:t>dande, att själva få bära hela ansvaret för de åtgärder som utgår från dessa signaler.</w:t>
      </w:r>
    </w:p>
    <w:p w:rsidR="008930BF" w:rsidRPr="00072C8B" w:rsidRDefault="008930BF" w:rsidP="007F4DAF">
      <w:pPr>
        <w:pStyle w:val="Rubrik2"/>
      </w:pPr>
      <w:bookmarkStart w:id="24" w:name="_Toc145829857"/>
      <w:r w:rsidRPr="00072C8B">
        <w:t>Riksrevisionens rekommendationer</w:t>
      </w:r>
      <w:bookmarkEnd w:id="24"/>
    </w:p>
    <w:p w:rsidR="008930BF" w:rsidRPr="00072C8B" w:rsidRDefault="008930BF" w:rsidP="008930BF">
      <w:r w:rsidRPr="00072C8B">
        <w:t>Riksrevisionen framhåller att det är regeringen i rollen som ägarföreträdare som har ansvaret för att säkerställa att bolagens samhällsuppdrag blir tydligt definierade. Regeringen har också ansvar för att klargöra hur avvägningen mellan olika mål, t.ex. mellan samhällsuppdrag och finansiella mål, ska göras.</w:t>
      </w:r>
    </w:p>
    <w:p w:rsidR="008930BF" w:rsidRPr="00072C8B" w:rsidRDefault="008930BF" w:rsidP="007F4DAF">
      <w:pPr>
        <w:pStyle w:val="Normaltindrag"/>
      </w:pPr>
      <w:r w:rsidRPr="00072C8B">
        <w:t>Vidare påpekar Riksrevisionen att bolagen själva också har ett ansvar för att se till att otydliga uppdrag görs så tydliga att de kan tjäna som underlag för beslut i verksamheten. Detta kan göras endera genom att bola</w:t>
      </w:r>
      <w:r w:rsidRPr="00072C8B">
        <w:softHyphen/>
        <w:t>gets styrelse begär ett förtydligande från ägarföreträdare eller genom att bolaget själv</w:t>
      </w:r>
      <w:r w:rsidR="008B669E" w:rsidRPr="00072C8B">
        <w:t>t</w:t>
      </w:r>
      <w:r w:rsidRPr="00072C8B">
        <w:t xml:space="preserve"> för</w:t>
      </w:r>
      <w:r w:rsidRPr="00072C8B">
        <w:softHyphen/>
        <w:t>sö</w:t>
      </w:r>
      <w:r w:rsidRPr="00072C8B">
        <w:softHyphen/>
        <w:t>ker tolka och förtydliga uppdraget för att därefter begära ägarföre</w:t>
      </w:r>
      <w:r w:rsidRPr="00072C8B">
        <w:softHyphen/>
        <w:t>trä</w:t>
      </w:r>
      <w:r w:rsidRPr="00072C8B">
        <w:softHyphen/>
        <w:t>da</w:t>
      </w:r>
      <w:r w:rsidRPr="00072C8B">
        <w:softHyphen/>
        <w:t xml:space="preserve">rens ställningstagande till detta.  </w:t>
      </w:r>
    </w:p>
    <w:p w:rsidR="008930BF" w:rsidRPr="00072C8B" w:rsidRDefault="008930BF" w:rsidP="007F4DAF">
      <w:pPr>
        <w:pStyle w:val="Normaltindrag"/>
      </w:pPr>
      <w:r w:rsidRPr="00072C8B">
        <w:t>Riksrevisionen lämnar följande rekommendationer med anledning av de iakttagelser som gjorts i granskningen.</w:t>
      </w:r>
    </w:p>
    <w:p w:rsidR="008930BF" w:rsidRPr="00072C8B" w:rsidRDefault="008930BF" w:rsidP="007F4DAF">
      <w:pPr>
        <w:pStyle w:val="Rubrik3"/>
        <w:rPr>
          <w:noProof w:val="0"/>
        </w:rPr>
      </w:pPr>
      <w:bookmarkStart w:id="25" w:name="_Toc145829858"/>
      <w:r w:rsidRPr="00072C8B">
        <w:rPr>
          <w:noProof w:val="0"/>
        </w:rPr>
        <w:t>Rekommendationer riktade till regeringen</w:t>
      </w:r>
      <w:bookmarkEnd w:id="25"/>
      <w:r w:rsidRPr="00072C8B">
        <w:rPr>
          <w:noProof w:val="0"/>
        </w:rPr>
        <w:t xml:space="preserve"> </w:t>
      </w:r>
    </w:p>
    <w:p w:rsidR="008930BF" w:rsidRPr="00072C8B" w:rsidRDefault="008930BF" w:rsidP="008930BF">
      <w:r w:rsidRPr="00072C8B">
        <w:t xml:space="preserve">Regeringen bör enligt Riksrevisionen överväga att </w:t>
      </w:r>
    </w:p>
    <w:p w:rsidR="008930BF" w:rsidRPr="00072C8B" w:rsidRDefault="008930BF" w:rsidP="008B669E">
      <w:pPr>
        <w:numPr>
          <w:ilvl w:val="0"/>
          <w:numId w:val="16"/>
        </w:numPr>
        <w:spacing w:before="125"/>
      </w:pPr>
      <w:r w:rsidRPr="00072C8B">
        <w:t xml:space="preserve">säkerställa att styrningen av varje bolags verksamhetsinriktning grundar sig på aktiebolagsrättsligt bindande dokument, </w:t>
      </w:r>
    </w:p>
    <w:p w:rsidR="008930BF" w:rsidRPr="00072C8B" w:rsidRDefault="008930BF" w:rsidP="008B669E">
      <w:pPr>
        <w:numPr>
          <w:ilvl w:val="0"/>
          <w:numId w:val="16"/>
        </w:numPr>
      </w:pPr>
      <w:r w:rsidRPr="00072C8B">
        <w:t xml:space="preserve">göra bolagens samhällsuppdrag så tydliga att uppdragen kan användas för bolagens styrning av verksamheten, </w:t>
      </w:r>
    </w:p>
    <w:p w:rsidR="008930BF" w:rsidRPr="00072C8B" w:rsidRDefault="008930BF" w:rsidP="008B669E">
      <w:pPr>
        <w:numPr>
          <w:ilvl w:val="0"/>
          <w:numId w:val="16"/>
        </w:numPr>
      </w:pPr>
      <w:r w:rsidRPr="00072C8B">
        <w:t xml:space="preserve">i de fall det finns flera målsättningar för ett bolag, vid behov tydliggöra hur avvägningen mellan dessa ska göras, </w:t>
      </w:r>
    </w:p>
    <w:p w:rsidR="008930BF" w:rsidRPr="00072C8B" w:rsidRDefault="008930BF" w:rsidP="008B669E">
      <w:pPr>
        <w:numPr>
          <w:ilvl w:val="0"/>
          <w:numId w:val="16"/>
        </w:numPr>
      </w:pPr>
      <w:r w:rsidRPr="00072C8B">
        <w:t>se över vilka dokument som bör användas i styrningen av de statliga bo</w:t>
      </w:r>
      <w:r w:rsidR="007F4DAF" w:rsidRPr="00072C8B">
        <w:softHyphen/>
      </w:r>
      <w:r w:rsidRPr="00072C8B">
        <w:t>lagen. Variationer kan givetvis vara lämpliga, men bör vara motiverade utifrån skillnader i bolagens verksamhet.</w:t>
      </w:r>
    </w:p>
    <w:p w:rsidR="008930BF" w:rsidRPr="00072C8B" w:rsidRDefault="008930BF" w:rsidP="007F4DAF">
      <w:pPr>
        <w:pStyle w:val="Rubrik3"/>
        <w:rPr>
          <w:noProof w:val="0"/>
        </w:rPr>
      </w:pPr>
      <w:bookmarkStart w:id="26" w:name="_Toc145829859"/>
      <w:r w:rsidRPr="00072C8B">
        <w:rPr>
          <w:noProof w:val="0"/>
        </w:rPr>
        <w:t>Rekommendationer riktade till bolagens styrelser</w:t>
      </w:r>
      <w:bookmarkEnd w:id="26"/>
    </w:p>
    <w:p w:rsidR="008930BF" w:rsidRPr="00072C8B" w:rsidRDefault="008930BF" w:rsidP="008930BF">
      <w:r w:rsidRPr="00072C8B">
        <w:t>Bolagens styrelser bör enligt Riksrevisionen överväga att</w:t>
      </w:r>
    </w:p>
    <w:p w:rsidR="008930BF" w:rsidRPr="00072C8B" w:rsidRDefault="008930BF" w:rsidP="008B669E">
      <w:pPr>
        <w:numPr>
          <w:ilvl w:val="0"/>
          <w:numId w:val="18"/>
        </w:numPr>
        <w:spacing w:before="125"/>
      </w:pPr>
      <w:r w:rsidRPr="00072C8B">
        <w:t>vidta de åtgärder som krävs för att försäkra sig om att bolagets uppdrag och målsättningar är tillräckligt tydliga och preciserade för att tjäna som unde</w:t>
      </w:r>
      <w:r w:rsidRPr="00072C8B">
        <w:t>r</w:t>
      </w:r>
      <w:r w:rsidRPr="00072C8B">
        <w:t xml:space="preserve">lag för styrning och rapportering av bolagets verksamhet, </w:t>
      </w:r>
    </w:p>
    <w:p w:rsidR="008930BF" w:rsidRPr="00072C8B" w:rsidRDefault="008930BF" w:rsidP="008B669E">
      <w:pPr>
        <w:numPr>
          <w:ilvl w:val="0"/>
          <w:numId w:val="18"/>
        </w:numPr>
      </w:pPr>
      <w:r w:rsidRPr="00072C8B">
        <w:t>ta nödvändiga initiativ till att uppdraget förtydligas i de fall det bedöms vara otydligt eller innehålla svårförenliga mål,</w:t>
      </w:r>
    </w:p>
    <w:p w:rsidR="008930BF" w:rsidRPr="00072C8B" w:rsidRDefault="008930BF" w:rsidP="008B669E">
      <w:pPr>
        <w:numPr>
          <w:ilvl w:val="0"/>
          <w:numId w:val="18"/>
        </w:numPr>
      </w:pPr>
      <w:r w:rsidRPr="00072C8B">
        <w:t>se till att bolagets externa rapportering utgår från uppdraget.</w:t>
      </w:r>
    </w:p>
    <w:p w:rsidR="00E7566B" w:rsidRPr="00072C8B" w:rsidRDefault="00E7566B" w:rsidP="00E7566B"/>
    <w:p w:rsidR="00E7566B" w:rsidRPr="00072C8B" w:rsidRDefault="00E7566B" w:rsidP="00E7566B">
      <w:pPr>
        <w:pStyle w:val="Normaltindrag"/>
        <w:sectPr w:rsidR="00E7566B" w:rsidRPr="00072C8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7566B" w:rsidRPr="00072C8B" w:rsidRDefault="00E7566B" w:rsidP="00E7566B">
      <w:pPr>
        <w:pStyle w:val="Rubrik1"/>
        <w:rPr>
          <w:noProof w:val="0"/>
        </w:rPr>
      </w:pPr>
      <w:bookmarkStart w:id="27" w:name="_Toc145829860"/>
      <w:r w:rsidRPr="00072C8B">
        <w:rPr>
          <w:noProof w:val="0"/>
        </w:rPr>
        <w:t>Styrelsens överväganden</w:t>
      </w:r>
      <w:bookmarkEnd w:id="27"/>
    </w:p>
    <w:p w:rsidR="00512723" w:rsidRPr="00072C8B" w:rsidRDefault="00512723" w:rsidP="00512723">
      <w:r w:rsidRPr="00072C8B">
        <w:t xml:space="preserve">Styrelsen har funnit att slutsatserna av den granskning som Riksrevisionen redovisat i rapporten </w:t>
      </w:r>
      <w:r w:rsidR="002B49D3" w:rsidRPr="00072C8B">
        <w:rPr>
          <w:i/>
        </w:rPr>
        <w:t>Vad och vem styr de statl</w:t>
      </w:r>
      <w:r w:rsidR="002B49D3" w:rsidRPr="00072C8B">
        <w:rPr>
          <w:i/>
        </w:rPr>
        <w:t>i</w:t>
      </w:r>
      <w:r w:rsidR="002B49D3" w:rsidRPr="00072C8B">
        <w:rPr>
          <w:i/>
        </w:rPr>
        <w:t xml:space="preserve">ga bolagen? </w:t>
      </w:r>
      <w:r w:rsidR="002B49D3" w:rsidRPr="00072C8B">
        <w:t>(RiR 2006:11)</w:t>
      </w:r>
      <w:r w:rsidRPr="00072C8B">
        <w:t xml:space="preserve"> </w:t>
      </w:r>
      <w:r w:rsidR="002B49D3" w:rsidRPr="00072C8B">
        <w:t>b</w:t>
      </w:r>
      <w:r w:rsidRPr="00072C8B">
        <w:t>ör överlämnas till riksdagen i form av en redogörelse. I anslu</w:t>
      </w:r>
      <w:r w:rsidRPr="00072C8B">
        <w:t>t</w:t>
      </w:r>
      <w:r w:rsidRPr="00072C8B">
        <w:t xml:space="preserve">ning härtill vill styrelsen anföra följande. </w:t>
      </w:r>
    </w:p>
    <w:p w:rsidR="00AF0924" w:rsidRPr="00072C8B" w:rsidRDefault="007F12F1" w:rsidP="007F12F1">
      <w:pPr>
        <w:pStyle w:val="Normaltindrag"/>
      </w:pPr>
      <w:r w:rsidRPr="00072C8B">
        <w:t>Riksrev</w:t>
      </w:r>
      <w:r w:rsidR="00D254E8" w:rsidRPr="00072C8B">
        <w:t xml:space="preserve">isionens granskning </w:t>
      </w:r>
      <w:r w:rsidR="00790A2F" w:rsidRPr="00072C8B">
        <w:t>be</w:t>
      </w:r>
      <w:r w:rsidR="00D254E8" w:rsidRPr="00072C8B">
        <w:t xml:space="preserve">handlar </w:t>
      </w:r>
      <w:r w:rsidR="00790A2F" w:rsidRPr="00072C8B">
        <w:t>r</w:t>
      </w:r>
      <w:r w:rsidR="00D254E8" w:rsidRPr="00072C8B">
        <w:t>egeringens styrning av den mycket omfattande verksamhet som bedrivs av de statliga bolagen. Rapporten inn</w:t>
      </w:r>
      <w:r w:rsidR="00D254E8" w:rsidRPr="00072C8B">
        <w:t>e</w:t>
      </w:r>
      <w:r w:rsidR="00D254E8" w:rsidRPr="00072C8B">
        <w:t>håller en sammanfattande analys som bygger på iakttagelser från Riksrevisi</w:t>
      </w:r>
      <w:r w:rsidR="00D254E8" w:rsidRPr="00072C8B">
        <w:t>o</w:t>
      </w:r>
      <w:r w:rsidR="00D254E8" w:rsidRPr="00072C8B">
        <w:t>nens tidigare granskningar tillsammans med en syst</w:t>
      </w:r>
      <w:r w:rsidR="00D254E8" w:rsidRPr="00072C8B">
        <w:t>e</w:t>
      </w:r>
      <w:r w:rsidR="00D254E8" w:rsidRPr="00072C8B">
        <w:t xml:space="preserve">matisk genomgång av nytt material. </w:t>
      </w:r>
      <w:r w:rsidR="00F86441" w:rsidRPr="00072C8B">
        <w:t xml:space="preserve">Det nya underlaget visar bolagens syn på </w:t>
      </w:r>
      <w:r w:rsidR="00D71888" w:rsidRPr="00072C8B">
        <w:t xml:space="preserve">vilka dokument från ägaren som är styrande för verksamheten </w:t>
      </w:r>
      <w:r w:rsidR="00790A2F" w:rsidRPr="00072C8B">
        <w:t>och omfattar i det närmaste sam</w:t>
      </w:r>
      <w:r w:rsidR="00790A2F" w:rsidRPr="00072C8B">
        <w:t>t</w:t>
      </w:r>
      <w:r w:rsidR="00790A2F" w:rsidRPr="00072C8B">
        <w:t>liga bolag i vilka staten äger större delen av akt</w:t>
      </w:r>
      <w:r w:rsidR="00790A2F" w:rsidRPr="00072C8B">
        <w:t>i</w:t>
      </w:r>
      <w:r w:rsidR="00790A2F" w:rsidRPr="00072C8B">
        <w:t>erna</w:t>
      </w:r>
      <w:r w:rsidR="00F86441" w:rsidRPr="00072C8B">
        <w:t>.</w:t>
      </w:r>
    </w:p>
    <w:p w:rsidR="00BF0F05" w:rsidRPr="00072C8B" w:rsidRDefault="00BF0F05" w:rsidP="007F12F1">
      <w:pPr>
        <w:pStyle w:val="Normaltindrag"/>
      </w:pPr>
      <w:r w:rsidRPr="00072C8B">
        <w:t>Riksrevisionen har i sin granskning visat att re</w:t>
      </w:r>
      <w:r w:rsidR="00AB0EB1" w:rsidRPr="00072C8B">
        <w:t>geringens styrning av bol</w:t>
      </w:r>
      <w:r w:rsidR="00AB0EB1" w:rsidRPr="00072C8B">
        <w:t>a</w:t>
      </w:r>
      <w:r w:rsidR="00AB0EB1" w:rsidRPr="00072C8B">
        <w:t>gen baseras på dokument vars innehåll är otydligt och vars rätt</w:t>
      </w:r>
      <w:r w:rsidR="00AB0EB1" w:rsidRPr="00072C8B">
        <w:t>s</w:t>
      </w:r>
      <w:r w:rsidR="00AB0EB1" w:rsidRPr="00072C8B">
        <w:t xml:space="preserve">liga status är oklar. </w:t>
      </w:r>
      <w:r w:rsidRPr="00072C8B">
        <w:t>V</w:t>
      </w:r>
      <w:r w:rsidR="00AF0924" w:rsidRPr="00072C8B">
        <w:t>ilk</w:t>
      </w:r>
      <w:r w:rsidRPr="00072C8B">
        <w:t>en typ av</w:t>
      </w:r>
      <w:r w:rsidR="00AF0924" w:rsidRPr="00072C8B">
        <w:t xml:space="preserve"> styrdokument som används för att styra bola</w:t>
      </w:r>
      <w:r w:rsidRPr="00072C8B">
        <w:t>gen varierar på ett sätt som enligt Riksrevisionen är svårt att förklara utifrån skilln</w:t>
      </w:r>
      <w:r w:rsidRPr="00072C8B">
        <w:t>a</w:t>
      </w:r>
      <w:r w:rsidRPr="00072C8B">
        <w:t>der i bolagens verksamhet.</w:t>
      </w:r>
      <w:r w:rsidR="00AF0924" w:rsidRPr="00072C8B">
        <w:t xml:space="preserve"> </w:t>
      </w:r>
      <w:r w:rsidR="00B06AF6" w:rsidRPr="00072C8B">
        <w:t>De s</w:t>
      </w:r>
      <w:r w:rsidR="00AB0EB1" w:rsidRPr="00072C8B">
        <w:t xml:space="preserve">tyrdokument </w:t>
      </w:r>
      <w:r w:rsidR="00B06AF6" w:rsidRPr="00072C8B">
        <w:t>som används</w:t>
      </w:r>
      <w:r w:rsidR="00053C1C" w:rsidRPr="00072C8B">
        <w:t>,</w:t>
      </w:r>
      <w:r w:rsidR="00B06AF6" w:rsidRPr="00072C8B">
        <w:t xml:space="preserve"> </w:t>
      </w:r>
      <w:r w:rsidR="00AB0EB1" w:rsidRPr="00072C8B">
        <w:t>vid sidan av bolagsor</w:t>
      </w:r>
      <w:r w:rsidR="00AB0EB1" w:rsidRPr="00072C8B">
        <w:t>d</w:t>
      </w:r>
      <w:r w:rsidR="00AB0EB1" w:rsidRPr="00072C8B">
        <w:t>ningen</w:t>
      </w:r>
      <w:r w:rsidR="00053C1C" w:rsidRPr="00072C8B">
        <w:t>,</w:t>
      </w:r>
      <w:r w:rsidR="00AB0EB1" w:rsidRPr="00072C8B">
        <w:t xml:space="preserve"> har vanligen inte beslutats av bolagsstämma. Bolagen är alltså inte rätts</w:t>
      </w:r>
      <w:r w:rsidR="00053C1C" w:rsidRPr="00072C8B">
        <w:softHyphen/>
      </w:r>
      <w:r w:rsidR="00AB0EB1" w:rsidRPr="00072C8B">
        <w:t>ligt bundna att följa de styrsignaler de får</w:t>
      </w:r>
      <w:r w:rsidR="000638CE" w:rsidRPr="00072C8B">
        <w:t xml:space="preserve"> via dessa dokument</w:t>
      </w:r>
      <w:r w:rsidR="00AB0EB1" w:rsidRPr="00072C8B">
        <w:t xml:space="preserve">. </w:t>
      </w:r>
      <w:r w:rsidR="00B06AF6" w:rsidRPr="00072C8B">
        <w:t>Dessutom finns oklarheter i doku</w:t>
      </w:r>
      <w:r w:rsidR="00053C1C" w:rsidRPr="00072C8B">
        <w:softHyphen/>
      </w:r>
      <w:r w:rsidR="00B06AF6" w:rsidRPr="00072C8B">
        <w:t>mentens innehåll. Detta gäller framför allt b</w:t>
      </w:r>
      <w:r w:rsidR="00F86441" w:rsidRPr="00072C8B">
        <w:t>olagens samhällsup</w:t>
      </w:r>
      <w:r w:rsidR="00F86441" w:rsidRPr="00072C8B">
        <w:t>p</w:t>
      </w:r>
      <w:r w:rsidR="00F86441" w:rsidRPr="00072C8B">
        <w:t xml:space="preserve">drag </w:t>
      </w:r>
      <w:r w:rsidR="00B06AF6" w:rsidRPr="00072C8B">
        <w:t xml:space="preserve">som </w:t>
      </w:r>
      <w:r w:rsidR="00F86441" w:rsidRPr="00072C8B">
        <w:t xml:space="preserve">ofta </w:t>
      </w:r>
      <w:r w:rsidR="00AB0EB1" w:rsidRPr="00072C8B">
        <w:t xml:space="preserve">är </w:t>
      </w:r>
      <w:r w:rsidR="00F86441" w:rsidRPr="00072C8B">
        <w:t>otydliga</w:t>
      </w:r>
      <w:r w:rsidR="00B06AF6" w:rsidRPr="00072C8B">
        <w:t>,</w:t>
      </w:r>
      <w:r w:rsidR="00AB0EB1" w:rsidRPr="00072C8B">
        <w:t xml:space="preserve"> medan de finansiella målsättningarna är </w:t>
      </w:r>
      <w:r w:rsidR="00B06AF6" w:rsidRPr="00072C8B">
        <w:t xml:space="preserve">mera </w:t>
      </w:r>
      <w:r w:rsidR="00AB0EB1" w:rsidRPr="00072C8B">
        <w:t>pr</w:t>
      </w:r>
      <w:r w:rsidR="00AB0EB1" w:rsidRPr="00072C8B">
        <w:t>e</w:t>
      </w:r>
      <w:r w:rsidR="00AB0EB1" w:rsidRPr="00072C8B">
        <w:t>ciserade</w:t>
      </w:r>
      <w:r w:rsidR="00B06AF6" w:rsidRPr="00072C8B">
        <w:t>.</w:t>
      </w:r>
      <w:r w:rsidR="00AB0EB1" w:rsidRPr="00072C8B">
        <w:t xml:space="preserve"> </w:t>
      </w:r>
      <w:r w:rsidR="00B06AF6" w:rsidRPr="00072C8B">
        <w:t>D</w:t>
      </w:r>
      <w:r w:rsidR="00AB0EB1" w:rsidRPr="00072C8B">
        <w:t>et är oklart hur avvägningen mellan finansiella mål och samhäll</w:t>
      </w:r>
      <w:r w:rsidR="00AB0EB1" w:rsidRPr="00072C8B">
        <w:t>s</w:t>
      </w:r>
      <w:r w:rsidR="00AB0EB1" w:rsidRPr="00072C8B">
        <w:t>uppdrag ska göras. Det</w:t>
      </w:r>
      <w:r w:rsidR="00F86441" w:rsidRPr="00072C8B">
        <w:t xml:space="preserve"> </w:t>
      </w:r>
      <w:r w:rsidR="00AB0EB1" w:rsidRPr="00072C8B">
        <w:t xml:space="preserve">finns därför </w:t>
      </w:r>
      <w:r w:rsidR="00F86441" w:rsidRPr="00072C8B">
        <w:t xml:space="preserve">enligt Riksrevisionen en risk för att </w:t>
      </w:r>
      <w:r w:rsidR="00AB0EB1" w:rsidRPr="00072C8B">
        <w:t xml:space="preserve">bolagen prioriterar </w:t>
      </w:r>
      <w:r w:rsidR="00F86441" w:rsidRPr="00072C8B">
        <w:t>de finansiella målen på bekostnad av samhällsuppdr</w:t>
      </w:r>
      <w:r w:rsidR="00F86441" w:rsidRPr="00072C8B">
        <w:t>a</w:t>
      </w:r>
      <w:r w:rsidR="00F86441" w:rsidRPr="00072C8B">
        <w:t>gen.</w:t>
      </w:r>
      <w:r w:rsidR="00B06AF6" w:rsidRPr="00072C8B">
        <w:t xml:space="preserve"> </w:t>
      </w:r>
    </w:p>
    <w:p w:rsidR="00F86441" w:rsidRPr="00072C8B" w:rsidRDefault="00B06AF6" w:rsidP="007F12F1">
      <w:pPr>
        <w:pStyle w:val="Normaltindrag"/>
      </w:pPr>
      <w:r w:rsidRPr="00072C8B">
        <w:t>De oklarheter som finns medför enligt R</w:t>
      </w:r>
      <w:r w:rsidR="00053C1C" w:rsidRPr="00072C8B">
        <w:t>i</w:t>
      </w:r>
      <w:r w:rsidRPr="00072C8B">
        <w:t>ksrevisionen att det blir svårare för regeringen att som ägarföreträd</w:t>
      </w:r>
      <w:r w:rsidRPr="00072C8B">
        <w:t>a</w:t>
      </w:r>
      <w:r w:rsidRPr="00072C8B">
        <w:t>re utkräva ansvar av bolagen i de fall styrsignalerna inte har följts. Det blir också svårare för riksdagen att utkräva ansvar av regeringen som förvaltare av bol</w:t>
      </w:r>
      <w:r w:rsidRPr="00072C8B">
        <w:t>a</w:t>
      </w:r>
      <w:r w:rsidRPr="00072C8B">
        <w:t xml:space="preserve">gen. </w:t>
      </w:r>
      <w:r w:rsidR="00F86441" w:rsidRPr="00072C8B">
        <w:t xml:space="preserve"> </w:t>
      </w:r>
    </w:p>
    <w:p w:rsidR="00E20B02" w:rsidRPr="00072C8B" w:rsidRDefault="007F12F1" w:rsidP="00E20B02">
      <w:pPr>
        <w:pStyle w:val="Normaltindrag"/>
      </w:pPr>
      <w:r w:rsidRPr="00072C8B">
        <w:t>Styrelsen anser att</w:t>
      </w:r>
      <w:r w:rsidR="00AF0924" w:rsidRPr="00072C8B">
        <w:t xml:space="preserve"> Riksrevisionens </w:t>
      </w:r>
      <w:r w:rsidR="00702903" w:rsidRPr="00072C8B">
        <w:t xml:space="preserve">iakttagelser </w:t>
      </w:r>
      <w:r w:rsidR="00AF0924" w:rsidRPr="00072C8B">
        <w:t xml:space="preserve">är </w:t>
      </w:r>
      <w:r w:rsidR="00702903" w:rsidRPr="00072C8B">
        <w:t xml:space="preserve">väsentliga </w:t>
      </w:r>
      <w:r w:rsidR="00AF0924" w:rsidRPr="00072C8B">
        <w:t>och att resu</w:t>
      </w:r>
      <w:r w:rsidR="00AF0924" w:rsidRPr="00072C8B">
        <w:t>l</w:t>
      </w:r>
      <w:r w:rsidR="00AF0924" w:rsidRPr="00072C8B">
        <w:t xml:space="preserve">taten bör beaktas av riksdagen. </w:t>
      </w:r>
      <w:r w:rsidR="00960A0E" w:rsidRPr="00072C8B">
        <w:t>R</w:t>
      </w:r>
      <w:r w:rsidR="00BF0F05" w:rsidRPr="00072C8B">
        <w:t>esultat</w:t>
      </w:r>
      <w:r w:rsidR="00960A0E" w:rsidRPr="00072C8B">
        <w:t>en</w:t>
      </w:r>
      <w:r w:rsidR="00BF0F05" w:rsidRPr="00072C8B">
        <w:t xml:space="preserve"> överensstämmer väl med tidig</w:t>
      </w:r>
      <w:r w:rsidR="00BF0F05" w:rsidRPr="00072C8B">
        <w:t>a</w:t>
      </w:r>
      <w:r w:rsidR="00BF0F05" w:rsidRPr="00072C8B">
        <w:t xml:space="preserve">re granskningar som har föranlett framställningar </w:t>
      </w:r>
      <w:r w:rsidR="00960A0E" w:rsidRPr="00072C8B">
        <w:t xml:space="preserve">från styrelsen </w:t>
      </w:r>
      <w:r w:rsidR="00BF0F05" w:rsidRPr="00072C8B">
        <w:t>till riksdagen</w:t>
      </w:r>
      <w:r w:rsidR="00702903" w:rsidRPr="00072C8B">
        <w:t xml:space="preserve"> </w:t>
      </w:r>
      <w:r w:rsidR="00960A0E" w:rsidRPr="00072C8B">
        <w:t xml:space="preserve"> </w:t>
      </w:r>
      <w:r w:rsidR="002A653C" w:rsidRPr="00072C8B">
        <w:t xml:space="preserve">(se </w:t>
      </w:r>
      <w:r w:rsidR="00046536" w:rsidRPr="00072C8B">
        <w:t>2004/05:RRS18</w:t>
      </w:r>
      <w:r w:rsidR="00702903" w:rsidRPr="00072C8B">
        <w:t xml:space="preserve"> respektive 2005/06:RRS19</w:t>
      </w:r>
      <w:r w:rsidR="00046536" w:rsidRPr="00072C8B">
        <w:t>).</w:t>
      </w:r>
      <w:r w:rsidR="00BF0F05" w:rsidRPr="00072C8B">
        <w:t xml:space="preserve"> </w:t>
      </w:r>
      <w:r w:rsidR="002A653C" w:rsidRPr="00072C8B">
        <w:t xml:space="preserve">De </w:t>
      </w:r>
      <w:r w:rsidR="002069B8" w:rsidRPr="00072C8B">
        <w:t xml:space="preserve">tidigare </w:t>
      </w:r>
      <w:r w:rsidR="002A653C" w:rsidRPr="00072C8B">
        <w:t>försl</w:t>
      </w:r>
      <w:r w:rsidR="002A653C" w:rsidRPr="00072C8B">
        <w:t>a</w:t>
      </w:r>
      <w:r w:rsidR="002A653C" w:rsidRPr="00072C8B">
        <w:t>g</w:t>
      </w:r>
      <w:r w:rsidR="002069B8" w:rsidRPr="00072C8B">
        <w:t>en h</w:t>
      </w:r>
      <w:r w:rsidR="002A653C" w:rsidRPr="00072C8B">
        <w:t>ar en</w:t>
      </w:r>
      <w:r w:rsidR="00D44C49" w:rsidRPr="00072C8B">
        <w:softHyphen/>
      </w:r>
      <w:r w:rsidR="002A653C" w:rsidRPr="00072C8B">
        <w:t>ligt styrelsens bedömning fått ytterligare stöd genom den nya grans</w:t>
      </w:r>
      <w:r w:rsidR="002A653C" w:rsidRPr="00072C8B">
        <w:t>k</w:t>
      </w:r>
      <w:r w:rsidR="002A653C" w:rsidRPr="00072C8B">
        <w:t xml:space="preserve">ningen. </w:t>
      </w:r>
      <w:r w:rsidR="00AF0924" w:rsidRPr="00072C8B">
        <w:t>Sty</w:t>
      </w:r>
      <w:r w:rsidR="00D44C49" w:rsidRPr="00072C8B">
        <w:softHyphen/>
      </w:r>
      <w:r w:rsidR="00AF0924" w:rsidRPr="00072C8B">
        <w:t xml:space="preserve">relsen noterar </w:t>
      </w:r>
      <w:r w:rsidR="00F67A62" w:rsidRPr="00072C8B">
        <w:t>s</w:t>
      </w:r>
      <w:r w:rsidR="00AF0924" w:rsidRPr="00072C8B">
        <w:t xml:space="preserve">amtidigt att regeringen i februari 2006 har </w:t>
      </w:r>
      <w:r w:rsidR="00F67A62" w:rsidRPr="00072C8B">
        <w:t>beslutat om e</w:t>
      </w:r>
      <w:r w:rsidR="00AF0924" w:rsidRPr="00072C8B">
        <w:t>n översyn av Regeringskansliets förvaltning av statliga bolag. Övers</w:t>
      </w:r>
      <w:r w:rsidR="00AF0924" w:rsidRPr="00072C8B">
        <w:t>y</w:t>
      </w:r>
      <w:r w:rsidR="00F67A62" w:rsidRPr="00072C8B">
        <w:t>nen ska</w:t>
      </w:r>
      <w:r w:rsidR="00AF0924" w:rsidRPr="00072C8B">
        <w:t xml:space="preserve"> vara</w:t>
      </w:r>
      <w:r w:rsidR="002A653C" w:rsidRPr="00072C8B">
        <w:t xml:space="preserve"> klar till den 31 oktober 2006.</w:t>
      </w:r>
      <w:r w:rsidR="00E20B02" w:rsidRPr="00072C8B">
        <w:t xml:space="preserve"> Mot denna ba</w:t>
      </w:r>
      <w:r w:rsidR="00E20B02" w:rsidRPr="00072C8B">
        <w:t>k</w:t>
      </w:r>
      <w:r w:rsidR="00E20B02" w:rsidRPr="00072C8B">
        <w:t>grund, och med hänsyn till att styrelsens framställning rörande statliga bolags årsredo</w:t>
      </w:r>
      <w:r w:rsidR="00E20B02" w:rsidRPr="00072C8B">
        <w:softHyphen/>
        <w:t>visningar (2005/06: RRS19) ännu inte har behandlats av riksdagen, över</w:t>
      </w:r>
      <w:r w:rsidR="00053C1C" w:rsidRPr="00072C8B">
        <w:softHyphen/>
      </w:r>
      <w:r w:rsidR="00053C1C" w:rsidRPr="00072C8B">
        <w:softHyphen/>
      </w:r>
      <w:r w:rsidR="00E20B02" w:rsidRPr="00072C8B">
        <w:t>lämnar styre</w:t>
      </w:r>
      <w:r w:rsidR="00E20B02" w:rsidRPr="00072C8B">
        <w:t>l</w:t>
      </w:r>
      <w:r w:rsidR="00E20B02" w:rsidRPr="00072C8B">
        <w:t>sen denna redogörelse till riksd</w:t>
      </w:r>
      <w:r w:rsidR="00E20B02" w:rsidRPr="00072C8B">
        <w:t>a</w:t>
      </w:r>
      <w:r w:rsidR="00E20B02" w:rsidRPr="00072C8B">
        <w:t xml:space="preserve">gen.  </w:t>
      </w:r>
    </w:p>
    <w:p w:rsidR="007C747E" w:rsidRPr="00072C8B" w:rsidRDefault="007C747E" w:rsidP="007C747E">
      <w:pPr>
        <w:pStyle w:val="Tryckort"/>
        <w:framePr w:wrap="around"/>
      </w:pPr>
      <w:r w:rsidRPr="00072C8B">
        <w:t>Elanders Gotab, Stockholm  2006</w:t>
      </w:r>
    </w:p>
    <w:p w:rsidR="000C6E9C" w:rsidRPr="00072C8B" w:rsidRDefault="000C6E9C" w:rsidP="009223A3">
      <w:pPr>
        <w:pStyle w:val="Normaltindrag"/>
        <w:spacing w:line="20" w:lineRule="exact"/>
      </w:pPr>
    </w:p>
    <w:sectPr w:rsidR="000C6E9C" w:rsidRPr="00072C8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05C" w:rsidRPr="00072C8B" w:rsidRDefault="00F8705C">
      <w:r w:rsidRPr="00072C8B">
        <w:separator/>
      </w:r>
    </w:p>
  </w:endnote>
  <w:endnote w:type="continuationSeparator" w:id="0">
    <w:p w:rsidR="00F8705C" w:rsidRPr="00072C8B" w:rsidRDefault="00F8705C">
      <w:r w:rsidRPr="00072C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t>2</w:t>
    </w:r>
    <w:r w:rsidRPr="00072C8B">
      <w:fldChar w:fldCharType="end"/>
    </w:r>
  </w:p>
  <w:p w:rsidR="00837E87" w:rsidRPr="00072C8B" w:rsidRDefault="00837E8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00F754F5" w:rsidRPr="00072C8B">
      <w:t>12</w:t>
    </w:r>
    <w:r w:rsidRPr="00072C8B">
      <w:fldChar w:fldCharType="end"/>
    </w:r>
  </w:p>
  <w:p w:rsidR="00837E87" w:rsidRPr="00072C8B" w:rsidRDefault="00837E8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H"/>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00F754F5" w:rsidRPr="00072C8B">
      <w:t>11</w:t>
    </w:r>
    <w:r w:rsidRPr="00072C8B">
      <w:fldChar w:fldCharType="end"/>
    </w:r>
  </w:p>
  <w:p w:rsidR="00837E87" w:rsidRPr="00072C8B" w:rsidRDefault="00837E8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if </w:instrText>
    </w:r>
    <w:r w:rsidRPr="00072C8B">
      <w:fldChar w:fldCharType="begin" w:fldLock="1"/>
    </w:r>
    <w:r w:rsidRPr="00072C8B">
      <w:instrText xml:space="preserve"> = </w:instrText>
    </w:r>
    <w:r w:rsidRPr="00072C8B">
      <w:fldChar w:fldCharType="begin" w:fldLock="1"/>
    </w:r>
    <w:r w:rsidRPr="00072C8B">
      <w:instrText xml:space="preserve"> = </w:instrText>
    </w:r>
    <w:r w:rsidRPr="00072C8B">
      <w:fldChar w:fldCharType="begin" w:fldLock="1"/>
    </w:r>
    <w:r w:rsidRPr="00072C8B">
      <w:instrText xml:space="preserve"> page</w:instrText>
    </w:r>
    <w:r w:rsidRPr="00072C8B">
      <w:fldChar w:fldCharType="separate"/>
    </w:r>
    <w:r w:rsidR="00F754F5" w:rsidRPr="00072C8B">
      <w:instrText>4</w:instrText>
    </w:r>
    <w:r w:rsidRPr="00072C8B">
      <w:fldChar w:fldCharType="end"/>
    </w:r>
    <w:r w:rsidRPr="00072C8B">
      <w:instrText xml:space="preserve">/2 </w:instrText>
    </w:r>
    <w:r w:rsidRPr="00072C8B">
      <w:fldChar w:fldCharType="separate"/>
    </w:r>
    <w:r w:rsidR="00F754F5" w:rsidRPr="00072C8B">
      <w:instrText>2</w:instrText>
    </w:r>
    <w:r w:rsidRPr="00072C8B">
      <w:fldChar w:fldCharType="end"/>
    </w:r>
    <w:r w:rsidRPr="00072C8B">
      <w:instrText xml:space="preserve"> - </w:instrText>
    </w:r>
    <w:r w:rsidRPr="00072C8B">
      <w:fldChar w:fldCharType="begin" w:fldLock="1"/>
    </w:r>
    <w:r w:rsidRPr="00072C8B">
      <w:instrText xml:space="preserve"> = int(</w:instrText>
    </w:r>
    <w:r w:rsidRPr="00072C8B">
      <w:fldChar w:fldCharType="begin" w:fldLock="1"/>
    </w:r>
    <w:r w:rsidRPr="00072C8B">
      <w:instrText xml:space="preserve"> page</w:instrText>
    </w:r>
    <w:r w:rsidRPr="00072C8B">
      <w:fldChar w:fldCharType="separate"/>
    </w:r>
    <w:r w:rsidR="00F754F5" w:rsidRPr="00072C8B">
      <w:instrText>4</w:instrText>
    </w:r>
    <w:r w:rsidRPr="00072C8B">
      <w:fldChar w:fldCharType="end"/>
    </w:r>
    <w:r w:rsidRPr="00072C8B">
      <w:instrText xml:space="preserve">/2) </w:instrText>
    </w:r>
    <w:r w:rsidRPr="00072C8B">
      <w:fldChar w:fldCharType="separate"/>
    </w:r>
    <w:r w:rsidR="00F754F5" w:rsidRPr="00072C8B">
      <w:instrText>2</w:instrText>
    </w:r>
    <w:r w:rsidRPr="00072C8B">
      <w:fldChar w:fldCharType="end"/>
    </w:r>
    <w:r w:rsidRPr="00072C8B">
      <w:fldChar w:fldCharType="separate"/>
    </w:r>
    <w:r w:rsidR="00F754F5" w:rsidRPr="00072C8B">
      <w:instrText>0</w:instrText>
    </w:r>
    <w:r w:rsidRPr="00072C8B">
      <w:fldChar w:fldCharType="end"/>
    </w:r>
    <w:r w:rsidRPr="00072C8B">
      <w:instrText xml:space="preserve"> = 0 "</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00F754F5" w:rsidRPr="00072C8B">
      <w:instrText>4</w:instrText>
    </w:r>
    <w:r w:rsidRPr="00072C8B">
      <w:fldChar w:fldCharType="end"/>
    </w:r>
  </w:p>
  <w:p w:rsidR="00F754F5" w:rsidRPr="00072C8B" w:rsidRDefault="00837E87">
    <w:pPr>
      <w:pStyle w:val="SidfotV"/>
      <w:framePr w:w="8732" w:h="284" w:hRule="exact" w:hSpace="0" w:vSpace="0" w:wrap="around" w:xAlign="inside" w:y="13042" w:anchorLock="0"/>
    </w:pPr>
    <w:r w:rsidRPr="00072C8B">
      <w:instrText>""</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instrText>1</w:instrText>
    </w:r>
    <w:r w:rsidRPr="00072C8B">
      <w:fldChar w:fldCharType="end"/>
    </w:r>
    <w:r w:rsidRPr="00072C8B">
      <w:instrText>"</w:instrText>
    </w:r>
    <w:r w:rsidRPr="00072C8B">
      <w:fldChar w:fldCharType="separate"/>
    </w:r>
    <w:r w:rsidR="00F754F5" w:rsidRPr="00072C8B">
      <w:t>4</w:t>
    </w:r>
  </w:p>
  <w:p w:rsidR="00837E87" w:rsidRPr="00072C8B" w:rsidRDefault="00837E87">
    <w:pPr>
      <w:pStyle w:val="SidfotH"/>
      <w:framePr w:w="8732" w:h="284" w:hRule="exact" w:hSpace="0" w:vSpace="0" w:wrap="around" w:xAlign="inside" w:y="13042" w:anchorLock="0"/>
    </w:pPr>
    <w:r w:rsidRPr="00072C8B">
      <w:fldChar w:fldCharType="end"/>
    </w:r>
  </w:p>
  <w:p w:rsidR="00837E87" w:rsidRPr="00072C8B" w:rsidRDefault="00837E8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t>14</w:t>
    </w:r>
    <w:r w:rsidRPr="00072C8B">
      <w:fldChar w:fldCharType="end"/>
    </w:r>
  </w:p>
  <w:p w:rsidR="00837E87" w:rsidRPr="00072C8B" w:rsidRDefault="00837E8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H"/>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t>15</w:t>
    </w:r>
    <w:r w:rsidRPr="00072C8B">
      <w:fldChar w:fldCharType="end"/>
    </w:r>
  </w:p>
  <w:p w:rsidR="00837E87" w:rsidRPr="00072C8B" w:rsidRDefault="00837E8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if </w:instrText>
    </w:r>
    <w:r w:rsidRPr="00072C8B">
      <w:fldChar w:fldCharType="begin" w:fldLock="1"/>
    </w:r>
    <w:r w:rsidRPr="00072C8B">
      <w:instrText xml:space="preserve"> = </w:instrText>
    </w:r>
    <w:r w:rsidRPr="00072C8B">
      <w:fldChar w:fldCharType="begin" w:fldLock="1"/>
    </w:r>
    <w:r w:rsidRPr="00072C8B">
      <w:instrText xml:space="preserve"> = </w:instrText>
    </w:r>
    <w:r w:rsidRPr="00072C8B">
      <w:fldChar w:fldCharType="begin" w:fldLock="1"/>
    </w:r>
    <w:r w:rsidRPr="00072C8B">
      <w:instrText xml:space="preserve"> page</w:instrText>
    </w:r>
    <w:r w:rsidRPr="00072C8B">
      <w:fldChar w:fldCharType="separate"/>
    </w:r>
    <w:r w:rsidR="00F754F5" w:rsidRPr="00072C8B">
      <w:instrText>13</w:instrText>
    </w:r>
    <w:r w:rsidRPr="00072C8B">
      <w:fldChar w:fldCharType="end"/>
    </w:r>
    <w:r w:rsidRPr="00072C8B">
      <w:instrText xml:space="preserve">/2 </w:instrText>
    </w:r>
    <w:r w:rsidRPr="00072C8B">
      <w:fldChar w:fldCharType="separate"/>
    </w:r>
    <w:r w:rsidR="00F754F5" w:rsidRPr="00072C8B">
      <w:instrText>6,5</w:instrText>
    </w:r>
    <w:r w:rsidRPr="00072C8B">
      <w:fldChar w:fldCharType="end"/>
    </w:r>
    <w:r w:rsidRPr="00072C8B">
      <w:instrText xml:space="preserve"> - </w:instrText>
    </w:r>
    <w:r w:rsidRPr="00072C8B">
      <w:fldChar w:fldCharType="begin" w:fldLock="1"/>
    </w:r>
    <w:r w:rsidRPr="00072C8B">
      <w:instrText xml:space="preserve"> = int(</w:instrText>
    </w:r>
    <w:r w:rsidRPr="00072C8B">
      <w:fldChar w:fldCharType="begin" w:fldLock="1"/>
    </w:r>
    <w:r w:rsidRPr="00072C8B">
      <w:instrText xml:space="preserve"> page</w:instrText>
    </w:r>
    <w:r w:rsidRPr="00072C8B">
      <w:fldChar w:fldCharType="separate"/>
    </w:r>
    <w:r w:rsidR="00F754F5" w:rsidRPr="00072C8B">
      <w:instrText>13</w:instrText>
    </w:r>
    <w:r w:rsidRPr="00072C8B">
      <w:fldChar w:fldCharType="end"/>
    </w:r>
    <w:r w:rsidRPr="00072C8B">
      <w:instrText xml:space="preserve">/2) </w:instrText>
    </w:r>
    <w:r w:rsidRPr="00072C8B">
      <w:fldChar w:fldCharType="separate"/>
    </w:r>
    <w:r w:rsidR="00F754F5" w:rsidRPr="00072C8B">
      <w:instrText>6</w:instrText>
    </w:r>
    <w:r w:rsidRPr="00072C8B">
      <w:fldChar w:fldCharType="end"/>
    </w:r>
    <w:r w:rsidRPr="00072C8B">
      <w:fldChar w:fldCharType="separate"/>
    </w:r>
    <w:r w:rsidR="00F754F5" w:rsidRPr="00072C8B">
      <w:instrText>0,5</w:instrText>
    </w:r>
    <w:r w:rsidRPr="00072C8B">
      <w:fldChar w:fldCharType="end"/>
    </w:r>
    <w:r w:rsidRPr="00072C8B">
      <w:instrText xml:space="preserve"> = 0 "</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instrText>14</w:instrText>
    </w:r>
    <w:r w:rsidRPr="00072C8B">
      <w:fldChar w:fldCharType="end"/>
    </w:r>
  </w:p>
  <w:p w:rsidR="00837E87" w:rsidRPr="00072C8B" w:rsidRDefault="00837E87">
    <w:pPr>
      <w:pStyle w:val="SidfotH"/>
      <w:framePr w:w="8732" w:h="284" w:hRule="exact" w:hSpace="0" w:vSpace="0" w:wrap="around" w:xAlign="inside" w:y="13042" w:anchorLock="0"/>
    </w:pPr>
    <w:r w:rsidRPr="00072C8B">
      <w:instrText>""</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00F754F5" w:rsidRPr="00072C8B">
      <w:instrText>13</w:instrText>
    </w:r>
    <w:r w:rsidRPr="00072C8B">
      <w:fldChar w:fldCharType="end"/>
    </w:r>
    <w:r w:rsidRPr="00072C8B">
      <w:instrText>"</w:instrText>
    </w:r>
    <w:r w:rsidRPr="00072C8B">
      <w:fldChar w:fldCharType="separate"/>
    </w:r>
    <w:r w:rsidR="00F754F5" w:rsidRPr="00072C8B">
      <w:t>13</w:t>
    </w:r>
    <w:r w:rsidRPr="00072C8B">
      <w:fldChar w:fldCharType="end"/>
    </w:r>
  </w:p>
  <w:p w:rsidR="00837E87" w:rsidRPr="00072C8B" w:rsidRDefault="00837E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H"/>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t>3</w:t>
    </w:r>
    <w:r w:rsidRPr="00072C8B">
      <w:fldChar w:fldCharType="end"/>
    </w:r>
  </w:p>
  <w:p w:rsidR="00837E87" w:rsidRPr="00072C8B" w:rsidRDefault="00837E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if </w:instrText>
    </w:r>
    <w:r w:rsidRPr="00072C8B">
      <w:fldChar w:fldCharType="begin" w:fldLock="1"/>
    </w:r>
    <w:r w:rsidRPr="00072C8B">
      <w:instrText xml:space="preserve"> = </w:instrText>
    </w:r>
    <w:r w:rsidRPr="00072C8B">
      <w:fldChar w:fldCharType="begin" w:fldLock="1"/>
    </w:r>
    <w:r w:rsidRPr="00072C8B">
      <w:instrText xml:space="preserve"> = </w:instrText>
    </w:r>
    <w:r w:rsidRPr="00072C8B">
      <w:fldChar w:fldCharType="begin" w:fldLock="1"/>
    </w:r>
    <w:r w:rsidRPr="00072C8B">
      <w:instrText xml:space="preserve"> page</w:instrText>
    </w:r>
    <w:r w:rsidRPr="00072C8B">
      <w:fldChar w:fldCharType="separate"/>
    </w:r>
    <w:r w:rsidR="00072C8B">
      <w:rPr>
        <w:noProof/>
      </w:rPr>
      <w:instrText>1</w:instrText>
    </w:r>
    <w:r w:rsidRPr="00072C8B">
      <w:fldChar w:fldCharType="end"/>
    </w:r>
    <w:r w:rsidRPr="00072C8B">
      <w:instrText xml:space="preserve">/2 </w:instrText>
    </w:r>
    <w:r w:rsidRPr="00072C8B">
      <w:fldChar w:fldCharType="separate"/>
    </w:r>
    <w:r w:rsidR="00072C8B">
      <w:rPr>
        <w:noProof/>
      </w:rPr>
      <w:instrText>0,5</w:instrText>
    </w:r>
    <w:r w:rsidRPr="00072C8B">
      <w:fldChar w:fldCharType="end"/>
    </w:r>
    <w:r w:rsidRPr="00072C8B">
      <w:instrText xml:space="preserve"> - </w:instrText>
    </w:r>
    <w:r w:rsidRPr="00072C8B">
      <w:fldChar w:fldCharType="begin" w:fldLock="1"/>
    </w:r>
    <w:r w:rsidRPr="00072C8B">
      <w:instrText xml:space="preserve"> = int(</w:instrText>
    </w:r>
    <w:r w:rsidRPr="00072C8B">
      <w:fldChar w:fldCharType="begin" w:fldLock="1"/>
    </w:r>
    <w:r w:rsidRPr="00072C8B">
      <w:instrText xml:space="preserve"> page</w:instrText>
    </w:r>
    <w:r w:rsidRPr="00072C8B">
      <w:fldChar w:fldCharType="separate"/>
    </w:r>
    <w:r w:rsidR="00072C8B">
      <w:rPr>
        <w:noProof/>
      </w:rPr>
      <w:instrText>1</w:instrText>
    </w:r>
    <w:r w:rsidRPr="00072C8B">
      <w:fldChar w:fldCharType="end"/>
    </w:r>
    <w:r w:rsidRPr="00072C8B">
      <w:instrText xml:space="preserve">/2) </w:instrText>
    </w:r>
    <w:r w:rsidRPr="00072C8B">
      <w:fldChar w:fldCharType="separate"/>
    </w:r>
    <w:r w:rsidR="00072C8B">
      <w:rPr>
        <w:noProof/>
      </w:rPr>
      <w:instrText>0</w:instrText>
    </w:r>
    <w:r w:rsidRPr="00072C8B">
      <w:fldChar w:fldCharType="end"/>
    </w:r>
    <w:r w:rsidRPr="00072C8B">
      <w:fldChar w:fldCharType="separate"/>
    </w:r>
    <w:r w:rsidR="00072C8B">
      <w:rPr>
        <w:noProof/>
      </w:rPr>
      <w:instrText>0,5</w:instrText>
    </w:r>
    <w:r w:rsidRPr="00072C8B">
      <w:fldChar w:fldCharType="end"/>
    </w:r>
    <w:r w:rsidRPr="00072C8B">
      <w:instrText xml:space="preserve"> = 0 "</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instrText>14</w:instrText>
    </w:r>
    <w:r w:rsidRPr="00072C8B">
      <w:fldChar w:fldCharType="end"/>
    </w:r>
  </w:p>
  <w:p w:rsidR="00837E87" w:rsidRPr="00072C8B" w:rsidRDefault="00837E87">
    <w:pPr>
      <w:pStyle w:val="SidfotH"/>
      <w:framePr w:w="8732" w:h="284" w:hRule="exact" w:hSpace="0" w:vSpace="0" w:wrap="around" w:xAlign="inside" w:y="13042" w:anchorLock="0"/>
    </w:pPr>
    <w:r w:rsidRPr="00072C8B">
      <w:instrText>""</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00072C8B">
      <w:rPr>
        <w:noProof/>
      </w:rPr>
      <w:instrText>1</w:instrText>
    </w:r>
    <w:r w:rsidRPr="00072C8B">
      <w:fldChar w:fldCharType="end"/>
    </w:r>
    <w:r w:rsidRPr="00072C8B">
      <w:instrText>"</w:instrText>
    </w:r>
    <w:r w:rsidRPr="00072C8B">
      <w:fldChar w:fldCharType="separate"/>
    </w:r>
    <w:r w:rsidR="00072C8B">
      <w:rPr>
        <w:noProof/>
      </w:rPr>
      <w:t>1</w:t>
    </w:r>
    <w:r w:rsidRPr="00072C8B">
      <w:fldChar w:fldCharType="end"/>
    </w:r>
  </w:p>
  <w:p w:rsidR="00837E87" w:rsidRPr="00072C8B" w:rsidRDefault="00837E8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t>2</w:t>
    </w:r>
    <w:r w:rsidRPr="00072C8B">
      <w:fldChar w:fldCharType="end"/>
    </w:r>
  </w:p>
  <w:p w:rsidR="00837E87" w:rsidRPr="00072C8B" w:rsidRDefault="00837E8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H"/>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t>3</w:t>
    </w:r>
    <w:r w:rsidRPr="00072C8B">
      <w:fldChar w:fldCharType="end"/>
    </w:r>
  </w:p>
  <w:p w:rsidR="00837E87" w:rsidRPr="00072C8B" w:rsidRDefault="00837E8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if </w:instrText>
    </w:r>
    <w:r w:rsidRPr="00072C8B">
      <w:fldChar w:fldCharType="begin" w:fldLock="1"/>
    </w:r>
    <w:r w:rsidRPr="00072C8B">
      <w:instrText xml:space="preserve"> = </w:instrText>
    </w:r>
    <w:r w:rsidRPr="00072C8B">
      <w:fldChar w:fldCharType="begin" w:fldLock="1"/>
    </w:r>
    <w:r w:rsidRPr="00072C8B">
      <w:instrText xml:space="preserve"> = </w:instrText>
    </w:r>
    <w:r w:rsidRPr="00072C8B">
      <w:fldChar w:fldCharType="begin" w:fldLock="1"/>
    </w:r>
    <w:r w:rsidRPr="00072C8B">
      <w:instrText xml:space="preserve"> page</w:instrText>
    </w:r>
    <w:r w:rsidRPr="00072C8B">
      <w:fldChar w:fldCharType="separate"/>
    </w:r>
    <w:r w:rsidR="00F754F5" w:rsidRPr="00072C8B">
      <w:instrText>2</w:instrText>
    </w:r>
    <w:r w:rsidRPr="00072C8B">
      <w:fldChar w:fldCharType="end"/>
    </w:r>
    <w:r w:rsidRPr="00072C8B">
      <w:instrText xml:space="preserve">/2 </w:instrText>
    </w:r>
    <w:r w:rsidRPr="00072C8B">
      <w:fldChar w:fldCharType="separate"/>
    </w:r>
    <w:r w:rsidR="00F754F5" w:rsidRPr="00072C8B">
      <w:instrText>1</w:instrText>
    </w:r>
    <w:r w:rsidRPr="00072C8B">
      <w:fldChar w:fldCharType="end"/>
    </w:r>
    <w:r w:rsidRPr="00072C8B">
      <w:instrText xml:space="preserve"> - </w:instrText>
    </w:r>
    <w:r w:rsidRPr="00072C8B">
      <w:fldChar w:fldCharType="begin" w:fldLock="1"/>
    </w:r>
    <w:r w:rsidRPr="00072C8B">
      <w:instrText xml:space="preserve"> = int(</w:instrText>
    </w:r>
    <w:r w:rsidRPr="00072C8B">
      <w:fldChar w:fldCharType="begin" w:fldLock="1"/>
    </w:r>
    <w:r w:rsidRPr="00072C8B">
      <w:instrText xml:space="preserve"> page</w:instrText>
    </w:r>
    <w:r w:rsidRPr="00072C8B">
      <w:fldChar w:fldCharType="separate"/>
    </w:r>
    <w:r w:rsidR="00F754F5" w:rsidRPr="00072C8B">
      <w:instrText>2</w:instrText>
    </w:r>
    <w:r w:rsidRPr="00072C8B">
      <w:fldChar w:fldCharType="end"/>
    </w:r>
    <w:r w:rsidRPr="00072C8B">
      <w:instrText xml:space="preserve">/2) </w:instrText>
    </w:r>
    <w:r w:rsidRPr="00072C8B">
      <w:fldChar w:fldCharType="separate"/>
    </w:r>
    <w:r w:rsidR="00F754F5" w:rsidRPr="00072C8B">
      <w:instrText>1</w:instrText>
    </w:r>
    <w:r w:rsidRPr="00072C8B">
      <w:fldChar w:fldCharType="end"/>
    </w:r>
    <w:r w:rsidRPr="00072C8B">
      <w:fldChar w:fldCharType="separate"/>
    </w:r>
    <w:r w:rsidR="00F754F5" w:rsidRPr="00072C8B">
      <w:instrText>0</w:instrText>
    </w:r>
    <w:r w:rsidRPr="00072C8B">
      <w:fldChar w:fldCharType="end"/>
    </w:r>
    <w:r w:rsidRPr="00072C8B">
      <w:instrText xml:space="preserve"> = 0 "</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00F754F5" w:rsidRPr="00072C8B">
      <w:instrText>2</w:instrText>
    </w:r>
    <w:r w:rsidRPr="00072C8B">
      <w:fldChar w:fldCharType="end"/>
    </w:r>
  </w:p>
  <w:p w:rsidR="00F754F5" w:rsidRPr="00072C8B" w:rsidRDefault="00837E87">
    <w:pPr>
      <w:pStyle w:val="SidfotV"/>
      <w:framePr w:w="8732" w:h="284" w:hRule="exact" w:hSpace="0" w:vSpace="0" w:wrap="around" w:xAlign="inside" w:y="13042" w:anchorLock="0"/>
    </w:pPr>
    <w:r w:rsidRPr="00072C8B">
      <w:instrText>""</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instrText>1</w:instrText>
    </w:r>
    <w:r w:rsidRPr="00072C8B">
      <w:fldChar w:fldCharType="end"/>
    </w:r>
    <w:r w:rsidRPr="00072C8B">
      <w:instrText>"</w:instrText>
    </w:r>
    <w:r w:rsidRPr="00072C8B">
      <w:fldChar w:fldCharType="separate"/>
    </w:r>
    <w:r w:rsidR="00F754F5" w:rsidRPr="00072C8B">
      <w:t>2</w:t>
    </w:r>
  </w:p>
  <w:p w:rsidR="00837E87" w:rsidRPr="00072C8B" w:rsidRDefault="00837E87">
    <w:pPr>
      <w:pStyle w:val="SidfotH"/>
      <w:framePr w:w="8732" w:h="284" w:hRule="exact" w:hSpace="0" w:vSpace="0" w:wrap="around" w:xAlign="inside" w:y="13042" w:anchorLock="0"/>
    </w:pPr>
    <w:r w:rsidRPr="00072C8B">
      <w:fldChar w:fldCharType="end"/>
    </w:r>
  </w:p>
  <w:p w:rsidR="00837E87" w:rsidRPr="00072C8B" w:rsidRDefault="00837E8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t>2</w:t>
    </w:r>
    <w:r w:rsidRPr="00072C8B">
      <w:fldChar w:fldCharType="end"/>
    </w:r>
  </w:p>
  <w:p w:rsidR="00837E87" w:rsidRPr="00072C8B" w:rsidRDefault="00837E8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H"/>
      <w:framePr w:w="8732" w:h="284" w:hRule="exact" w:hSpace="0" w:vSpace="0" w:wrap="around" w:xAlign="inside" w:y="13042" w:anchorLock="0"/>
    </w:pP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t>3</w:t>
    </w:r>
    <w:r w:rsidRPr="00072C8B">
      <w:fldChar w:fldCharType="end"/>
    </w:r>
  </w:p>
  <w:p w:rsidR="00837E87" w:rsidRPr="00072C8B" w:rsidRDefault="00837E8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fotV"/>
      <w:framePr w:w="8732" w:h="284" w:hRule="exact" w:hSpace="0" w:vSpace="0" w:wrap="around" w:xAlign="inside" w:y="13042" w:anchorLock="0"/>
    </w:pPr>
    <w:r w:rsidRPr="00072C8B">
      <w:fldChar w:fldCharType="begin" w:fldLock="1"/>
    </w:r>
    <w:r w:rsidRPr="00072C8B">
      <w:instrText xml:space="preserve"> if </w:instrText>
    </w:r>
    <w:r w:rsidRPr="00072C8B">
      <w:fldChar w:fldCharType="begin" w:fldLock="1"/>
    </w:r>
    <w:r w:rsidRPr="00072C8B">
      <w:instrText xml:space="preserve"> = </w:instrText>
    </w:r>
    <w:r w:rsidRPr="00072C8B">
      <w:fldChar w:fldCharType="begin" w:fldLock="1"/>
    </w:r>
    <w:r w:rsidRPr="00072C8B">
      <w:instrText xml:space="preserve"> = </w:instrText>
    </w:r>
    <w:r w:rsidRPr="00072C8B">
      <w:fldChar w:fldCharType="begin" w:fldLock="1"/>
    </w:r>
    <w:r w:rsidRPr="00072C8B">
      <w:instrText xml:space="preserve"> page</w:instrText>
    </w:r>
    <w:r w:rsidRPr="00072C8B">
      <w:fldChar w:fldCharType="separate"/>
    </w:r>
    <w:r w:rsidR="00F754F5" w:rsidRPr="00072C8B">
      <w:instrText>3</w:instrText>
    </w:r>
    <w:r w:rsidRPr="00072C8B">
      <w:fldChar w:fldCharType="end"/>
    </w:r>
    <w:r w:rsidRPr="00072C8B">
      <w:instrText xml:space="preserve">/2 </w:instrText>
    </w:r>
    <w:r w:rsidRPr="00072C8B">
      <w:fldChar w:fldCharType="separate"/>
    </w:r>
    <w:r w:rsidR="00F754F5" w:rsidRPr="00072C8B">
      <w:instrText>1,5</w:instrText>
    </w:r>
    <w:r w:rsidRPr="00072C8B">
      <w:fldChar w:fldCharType="end"/>
    </w:r>
    <w:r w:rsidRPr="00072C8B">
      <w:instrText xml:space="preserve"> - </w:instrText>
    </w:r>
    <w:r w:rsidRPr="00072C8B">
      <w:fldChar w:fldCharType="begin" w:fldLock="1"/>
    </w:r>
    <w:r w:rsidRPr="00072C8B">
      <w:instrText xml:space="preserve"> = int(</w:instrText>
    </w:r>
    <w:r w:rsidRPr="00072C8B">
      <w:fldChar w:fldCharType="begin" w:fldLock="1"/>
    </w:r>
    <w:r w:rsidRPr="00072C8B">
      <w:instrText xml:space="preserve"> page</w:instrText>
    </w:r>
    <w:r w:rsidRPr="00072C8B">
      <w:fldChar w:fldCharType="separate"/>
    </w:r>
    <w:r w:rsidR="00F754F5" w:rsidRPr="00072C8B">
      <w:instrText>3</w:instrText>
    </w:r>
    <w:r w:rsidRPr="00072C8B">
      <w:fldChar w:fldCharType="end"/>
    </w:r>
    <w:r w:rsidRPr="00072C8B">
      <w:instrText xml:space="preserve">/2) </w:instrText>
    </w:r>
    <w:r w:rsidRPr="00072C8B">
      <w:fldChar w:fldCharType="separate"/>
    </w:r>
    <w:r w:rsidR="00F754F5" w:rsidRPr="00072C8B">
      <w:instrText>1</w:instrText>
    </w:r>
    <w:r w:rsidRPr="00072C8B">
      <w:fldChar w:fldCharType="end"/>
    </w:r>
    <w:r w:rsidRPr="00072C8B">
      <w:fldChar w:fldCharType="separate"/>
    </w:r>
    <w:r w:rsidR="00F754F5" w:rsidRPr="00072C8B">
      <w:instrText>0,5</w:instrText>
    </w:r>
    <w:r w:rsidRPr="00072C8B">
      <w:fldChar w:fldCharType="end"/>
    </w:r>
    <w:r w:rsidRPr="00072C8B">
      <w:instrText xml:space="preserve"> = 0 "</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Pr="00072C8B">
      <w:instrText>2</w:instrText>
    </w:r>
    <w:r w:rsidRPr="00072C8B">
      <w:fldChar w:fldCharType="end"/>
    </w:r>
  </w:p>
  <w:p w:rsidR="00837E87" w:rsidRPr="00072C8B" w:rsidRDefault="00837E87">
    <w:pPr>
      <w:pStyle w:val="SidfotH"/>
      <w:framePr w:w="8732" w:h="284" w:hRule="exact" w:hSpace="0" w:vSpace="0" w:wrap="around" w:xAlign="inside" w:y="13042" w:anchorLock="0"/>
    </w:pPr>
    <w:r w:rsidRPr="00072C8B">
      <w:instrText>""</w:instrText>
    </w:r>
    <w:r w:rsidRPr="00072C8B">
      <w:fldChar w:fldCharType="begin" w:fldLock="1"/>
    </w:r>
    <w:r w:rsidRPr="00072C8B">
      <w:instrText xml:space="preserve"> P</w:instrText>
    </w:r>
    <w:r w:rsidRPr="00072C8B">
      <w:instrText>A</w:instrText>
    </w:r>
    <w:r w:rsidRPr="00072C8B">
      <w:instrText xml:space="preserve">GE </w:instrText>
    </w:r>
    <w:r w:rsidRPr="00072C8B">
      <w:fldChar w:fldCharType="separate"/>
    </w:r>
    <w:r w:rsidR="00F754F5" w:rsidRPr="00072C8B">
      <w:instrText>3</w:instrText>
    </w:r>
    <w:r w:rsidRPr="00072C8B">
      <w:fldChar w:fldCharType="end"/>
    </w:r>
    <w:r w:rsidRPr="00072C8B">
      <w:instrText>"</w:instrText>
    </w:r>
    <w:r w:rsidRPr="00072C8B">
      <w:fldChar w:fldCharType="separate"/>
    </w:r>
    <w:r w:rsidR="00F754F5" w:rsidRPr="00072C8B">
      <w:t>3</w:t>
    </w:r>
    <w:r w:rsidRPr="00072C8B">
      <w:fldChar w:fldCharType="end"/>
    </w:r>
  </w:p>
  <w:p w:rsidR="00837E87" w:rsidRPr="00072C8B" w:rsidRDefault="00837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05C" w:rsidRPr="00072C8B" w:rsidRDefault="00F8705C">
      <w:pPr>
        <w:pStyle w:val="Sidfot"/>
      </w:pPr>
    </w:p>
  </w:footnote>
  <w:footnote w:type="continuationSeparator" w:id="0">
    <w:p w:rsidR="00F8705C" w:rsidRPr="00072C8B" w:rsidRDefault="00F8705C">
      <w:r w:rsidRPr="00072C8B">
        <w:continuationSeparator/>
      </w:r>
    </w:p>
  </w:footnote>
  <w:footnote w:id="1">
    <w:p w:rsidR="00837E87" w:rsidRPr="00072C8B" w:rsidRDefault="00837E87" w:rsidP="00F6246B">
      <w:pPr>
        <w:pStyle w:val="Fotnotstextindrag"/>
        <w:ind w:left="0"/>
      </w:pPr>
      <w:r w:rsidRPr="00072C8B">
        <w:rPr>
          <w:rStyle w:val="Fotnotsreferens"/>
          <w:sz w:val="20"/>
        </w:rPr>
        <w:footnoteRef/>
      </w:r>
      <w:r w:rsidRPr="00072C8B">
        <w:t xml:space="preserve"> I undersökningen ingår 19 av de totalt 21 så kallade S-bolagen (bolag med särskilda sam</w:t>
      </w:r>
      <w:r w:rsidRPr="00072C8B">
        <w:softHyphen/>
        <w:t>hälls</w:t>
      </w:r>
      <w:r w:rsidRPr="00072C8B">
        <w:softHyphen/>
        <w:t>intressen) som bedrivs i aktie</w:t>
      </w:r>
      <w:r w:rsidRPr="00072C8B">
        <w:softHyphen/>
        <w:t>bolags</w:t>
      </w:r>
      <w:r w:rsidRPr="00072C8B">
        <w:softHyphen/>
        <w:t>form och där statens ägarandel uppgår till 50 % el</w:t>
      </w:r>
      <w:r w:rsidRPr="00072C8B">
        <w:softHyphen/>
        <w:t>ler mer. Vidare ingår 22 av de totalt 23 s. k. M-bolagen (bolag med mark</w:t>
      </w:r>
      <w:r w:rsidRPr="00072C8B">
        <w:softHyphen/>
        <w:t>nads</w:t>
      </w:r>
      <w:r w:rsidRPr="00072C8B">
        <w:softHyphen/>
        <w:t>mäs</w:t>
      </w:r>
      <w:r w:rsidRPr="00072C8B">
        <w:softHyphen/>
        <w:t>siga krav) där staten äger hälften eller mer av aktierna.</w:t>
      </w:r>
    </w:p>
    <w:p w:rsidR="00837E87" w:rsidRPr="00072C8B" w:rsidRDefault="00837E87" w:rsidP="00F6246B">
      <w:pPr>
        <w:pStyle w:val="Fotnotstextindrag"/>
      </w:pPr>
    </w:p>
  </w:footnote>
  <w:footnote w:id="2">
    <w:p w:rsidR="00837E87" w:rsidRPr="00072C8B" w:rsidRDefault="00837E87" w:rsidP="00CA2234">
      <w:pPr>
        <w:pStyle w:val="Fotnotstext"/>
      </w:pPr>
      <w:r w:rsidRPr="00072C8B">
        <w:rPr>
          <w:rStyle w:val="Fotnotsreferens"/>
        </w:rPr>
        <w:footnoteRef/>
      </w:r>
      <w:r w:rsidRPr="00072C8B">
        <w:t xml:space="preserve"> Riksdagens revisorers förslag 2002/03:RRR16 Staten som bolagsägare.</w:t>
      </w:r>
    </w:p>
    <w:p w:rsidR="00837E87" w:rsidRPr="00072C8B" w:rsidRDefault="00837E87" w:rsidP="003D235D">
      <w:pPr>
        <w:pStyle w:val="Fotnotstextindrag"/>
      </w:pPr>
    </w:p>
  </w:footnote>
  <w:footnote w:id="3">
    <w:p w:rsidR="00837E87" w:rsidRPr="00072C8B" w:rsidRDefault="00837E87" w:rsidP="00CA2234">
      <w:pPr>
        <w:pStyle w:val="Fotnotstext"/>
      </w:pPr>
      <w:r w:rsidRPr="00072C8B">
        <w:rPr>
          <w:rStyle w:val="Fotnotsreferens"/>
        </w:rPr>
        <w:footnoteRef/>
      </w:r>
      <w:r w:rsidRPr="00072C8B">
        <w:t xml:space="preserve"> SOU 2004:47.</w:t>
      </w:r>
    </w:p>
  </w:footnote>
  <w:footnote w:id="4">
    <w:p w:rsidR="00837E87" w:rsidRPr="00072C8B" w:rsidRDefault="00837E87" w:rsidP="00CA2234">
      <w:pPr>
        <w:pStyle w:val="Fotnotstext"/>
      </w:pPr>
      <w:r w:rsidRPr="00072C8B">
        <w:rPr>
          <w:rStyle w:val="Fotnotsreferens"/>
        </w:rPr>
        <w:footnoteRef/>
      </w:r>
      <w:r w:rsidRPr="00072C8B">
        <w:t xml:space="preserve"> Riksrevisionen har under de senaste två åren gjort ett flertal granskningar som rör statliga bolag. Styrningsfrågor är ett återkommande tema i dessa granskningar. I den här aktuella granskningen hänvisar Riksrevisionen främst till de två tidigare rapporter, nämligen Rege</w:t>
      </w:r>
      <w:r w:rsidRPr="00072C8B">
        <w:softHyphen/>
        <w:t>ringens förvaltning och styrning av sex statliga bolag (RiR 2004:28) samt Statliga bolags årsredovisningar (RiR 2005:29).</w:t>
      </w:r>
    </w:p>
    <w:p w:rsidR="00837E87" w:rsidRPr="00072C8B" w:rsidRDefault="00837E87" w:rsidP="003D235D">
      <w:pPr>
        <w:pStyle w:val="Fotnotstextindrag"/>
      </w:pPr>
    </w:p>
  </w:footnote>
  <w:footnote w:id="5">
    <w:p w:rsidR="00837E87" w:rsidRPr="00072C8B" w:rsidRDefault="00837E87" w:rsidP="00186660">
      <w:pPr>
        <w:pStyle w:val="Fotnotstext"/>
      </w:pPr>
      <w:r w:rsidRPr="00072C8B">
        <w:rPr>
          <w:rStyle w:val="Fotnotsreferens"/>
        </w:rPr>
        <w:footnoteRef/>
      </w:r>
      <w:r w:rsidRPr="00072C8B">
        <w:t xml:space="preserve">Aktiebolagslagen (1975:1385) ersattes den 1 januari 2006 av aktiebolagslagen (2005:551). Ändringen innebär emellertid inga förändringar som är av betydelse för denna granskning. </w:t>
      </w:r>
    </w:p>
    <w:p w:rsidR="00837E87" w:rsidRPr="00072C8B" w:rsidRDefault="00837E87" w:rsidP="00186660">
      <w:pPr>
        <w:pStyle w:val="Fotnotstextindra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Jmn"/>
      <w:framePr w:w="8732" w:h="567" w:hRule="exact" w:vSpace="0" w:wrap="around" w:vAnchor="page" w:y="341" w:anchorLock="0"/>
    </w:pPr>
    <w:r w:rsidRPr="00072C8B">
      <w:rPr>
        <w:rStyle w:val="SidhuvudUtskott"/>
      </w:rPr>
      <w:fldChar w:fldCharType="begin" w:fldLock="1"/>
    </w:r>
    <w:r w:rsidRPr="00072C8B">
      <w:rPr>
        <w:rStyle w:val="SidhuvudUtskott"/>
      </w:rPr>
      <w:instrText xml:space="preserve"> DOCPROPERTY BetänkandeÅr</w:instrText>
    </w:r>
    <w:r w:rsidRPr="00072C8B">
      <w:rPr>
        <w:rStyle w:val="SidhuvudUtskott"/>
      </w:rPr>
      <w:fldChar w:fldCharType="separate"/>
    </w:r>
    <w:r w:rsidRPr="00072C8B">
      <w:rPr>
        <w:rStyle w:val="SidhuvudUtskott"/>
      </w:rPr>
      <w:t>2006/07</w:t>
    </w:r>
    <w:r w:rsidRPr="00072C8B">
      <w:rPr>
        <w:rStyle w:val="SidhuvudUtskott"/>
      </w:rPr>
      <w:fldChar w:fldCharType="end"/>
    </w:r>
    <w:r w:rsidRPr="00072C8B">
      <w:rPr>
        <w:rStyle w:val="SidhuvudUtskott"/>
      </w:rPr>
      <w:t>:</w:t>
    </w:r>
    <w:r w:rsidRPr="00072C8B">
      <w:rPr>
        <w:rStyle w:val="SidhuvudUtskott"/>
      </w:rPr>
      <w:fldChar w:fldCharType="begin" w:fldLock="1"/>
    </w:r>
    <w:r w:rsidRPr="00072C8B">
      <w:rPr>
        <w:rStyle w:val="SidhuvudUtskott"/>
      </w:rPr>
      <w:instrText xml:space="preserve"> DOCPROPERTY Utskott</w:instrText>
    </w:r>
    <w:r w:rsidRPr="00072C8B">
      <w:rPr>
        <w:rStyle w:val="SidhuvudUtskott"/>
      </w:rPr>
      <w:fldChar w:fldCharType="separate"/>
    </w:r>
    <w:r w:rsidRPr="00072C8B">
      <w:rPr>
        <w:rStyle w:val="SidhuvudUtskott"/>
      </w:rPr>
      <w:t>RRS</w: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DOCPROPERTY BetänkandeNr</w:instrText>
    </w:r>
    <w:r w:rsidRPr="00072C8B">
      <w:rPr>
        <w:rStyle w:val="SidhuvudUtskott"/>
      </w:rPr>
      <w:fldChar w:fldCharType="separate"/>
    </w:r>
    <w:r w:rsidRPr="00072C8B">
      <w:rPr>
        <w:rStyle w:val="SidhuvudUtskott"/>
      </w:rPr>
      <w:t>3</w:t>
    </w:r>
    <w:r w:rsidRPr="00072C8B">
      <w:rPr>
        <w:rStyle w:val="SidhuvudUtskott"/>
      </w:rPr>
      <w:fldChar w:fldCharType="end"/>
    </w:r>
    <w:r w:rsidRPr="00072C8B">
      <w:t xml:space="preserve">     </w:t>
    </w:r>
    <w:r w:rsidRPr="00072C8B">
      <w:rPr>
        <w:rStyle w:val="SidhuvudBilaga"/>
      </w:rPr>
      <w:t xml:space="preserve"> </w:t>
    </w:r>
    <w:r w:rsidRPr="00072C8B">
      <w:rPr>
        <w:rStyle w:val="SidhuvudRubrikReferens"/>
      </w:rPr>
      <w:fldChar w:fldCharType="begin" w:fldLock="1"/>
    </w:r>
    <w:r w:rsidRPr="00072C8B">
      <w:rPr>
        <w:rStyle w:val="SidhuvudRubrikReferens"/>
      </w:rPr>
      <w:instrText xml:space="preserve"> StyleREF "Rubrik 1" </w:instrText>
    </w:r>
    <w:r w:rsidRPr="00072C8B">
      <w:rPr>
        <w:rStyle w:val="SidhuvudRubrikReferens"/>
      </w:rPr>
      <w:fldChar w:fldCharType="separate"/>
    </w:r>
    <w:r w:rsidRPr="00072C8B">
      <w:rPr>
        <w:rStyle w:val="SidhuvudRubrikReferens"/>
      </w:rPr>
      <w:t>Sammanfattning</w:t>
    </w:r>
    <w:r w:rsidRPr="00072C8B">
      <w:rPr>
        <w:rStyle w:val="SidhuvudRubrikReferens"/>
      </w:rPr>
      <w:fldChar w:fldCharType="end"/>
    </w:r>
  </w:p>
  <w:p w:rsidR="00837E87" w:rsidRPr="00072C8B" w:rsidRDefault="00837E87">
    <w:pPr>
      <w:pStyle w:val="SidhuvudKantJmn"/>
      <w:framePr w:w="8732" w:h="567" w:hRule="exact" w:vSpace="0" w:wrap="around" w:vAnchor="page" w:y="341" w:anchorLock="0"/>
    </w:pPr>
    <w:r w:rsidRPr="00072C8B">
      <w:rPr>
        <w:rStyle w:val="SidhuvudUtskott"/>
      </w:rPr>
      <w:fldChar w:fldCharType="begin" w:fldLock="1"/>
    </w:r>
    <w:r w:rsidRPr="00072C8B">
      <w:rPr>
        <w:rStyle w:val="SidhuvudUtskott"/>
      </w:rPr>
      <w:instrText xml:space="preserve"> DOCPROPERTY Status</w:instrText>
    </w:r>
    <w:r w:rsidRPr="00072C8B">
      <w:rPr>
        <w:rStyle w:val="SidhuvudUtskott"/>
      </w:rPr>
      <w:fldChar w:fldCharType="end"/>
    </w:r>
    <w:r w:rsidRPr="00072C8B">
      <w:rPr>
        <w:rStyle w:val="SidhuvudUtskott"/>
      </w:rPr>
      <w:fldChar w:fldCharType="begin" w:fldLock="1"/>
    </w:r>
    <w:r w:rsidRPr="00072C8B">
      <w:rPr>
        <w:rStyle w:val="SidhuvudUtskott"/>
      </w:rPr>
      <w:instrText xml:space="preserve"> if </w:instrText>
    </w:r>
    <w:r w:rsidRPr="00072C8B">
      <w:rPr>
        <w:rStyle w:val="SidhuvudUtskott"/>
      </w:rPr>
      <w:fldChar w:fldCharType="begin" w:fldLock="1"/>
    </w:r>
    <w:r w:rsidRPr="00072C8B">
      <w:rPr>
        <w:rStyle w:val="SidhuvudUtskott"/>
      </w:rPr>
      <w:instrText xml:space="preserve"> DOCPROPERTY "UtkastDatum"</w:instrText>
    </w:r>
    <w:r w:rsidRPr="00072C8B">
      <w:rPr>
        <w:rStyle w:val="SidhuvudUtskott"/>
      </w:rPr>
      <w:fldChar w:fldCharType="separate"/>
    </w:r>
    <w:r w:rsidRPr="00072C8B">
      <w:rPr>
        <w:rStyle w:val="SidhuvudUtskott"/>
      </w:rPr>
      <w:instrText>Nej</w:instrText>
    </w:r>
    <w:r w:rsidRPr="00072C8B">
      <w:rPr>
        <w:rStyle w:val="SidhuvudUtskott"/>
      </w:rPr>
      <w:fldChar w:fldCharType="end"/>
    </w:r>
    <w:r w:rsidRPr="00072C8B">
      <w:rPr>
        <w:rStyle w:val="SidhuvudUtskott"/>
      </w:rPr>
      <w:instrText xml:space="preserve"> = "Ja" "    </w:instrText>
    </w:r>
    <w:r w:rsidRPr="00072C8B">
      <w:rPr>
        <w:rStyle w:val="SidhuvudUtskott"/>
      </w:rPr>
      <w:fldChar w:fldCharType="begin" w:fldLock="1"/>
    </w:r>
    <w:r w:rsidRPr="00072C8B">
      <w:rPr>
        <w:rStyle w:val="SidhuvudUtskott"/>
      </w:rPr>
      <w:instrText xml:space="preserve"> PRINTDATE \@ "yyyy-MM-dd HH.mm" </w:instrText>
    </w:r>
    <w:r w:rsidRPr="00072C8B">
      <w:rPr>
        <w:rStyle w:val="SidhuvudUtskott"/>
      </w:rPr>
      <w:fldChar w:fldCharType="separate"/>
    </w:r>
    <w:r w:rsidRPr="00072C8B">
      <w:rPr>
        <w:rStyle w:val="SidhuvudUtskott"/>
      </w:rPr>
      <w:instrText>2000-08-11 16.42</w:instrText>
    </w:r>
    <w:r w:rsidRPr="00072C8B">
      <w:rPr>
        <w:rStyle w:val="SidhuvudUtskott"/>
      </w:rPr>
      <w:fldChar w:fldCharType="end"/>
    </w:r>
    <w:r w:rsidRPr="00072C8B">
      <w:rPr>
        <w:rStyle w:val="SidhuvudUtskott"/>
      </w:rPr>
      <w:instrText xml:space="preserve">" </w:instrText>
    </w:r>
    <w:r w:rsidRPr="00072C8B">
      <w:rPr>
        <w:rStyle w:val="SidhuvudUtskott"/>
      </w:rPr>
      <w:fldChar w:fldCharType="end"/>
    </w:r>
  </w:p>
  <w:p w:rsidR="00837E87" w:rsidRPr="00072C8B" w:rsidRDefault="00837E8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Jmn"/>
      <w:framePr w:w="8732" w:h="567" w:hRule="exact" w:vSpace="0" w:wrap="around" w:vAnchor="page" w:y="341" w:anchorLock="0"/>
    </w:pPr>
    <w:r w:rsidRPr="00072C8B">
      <w:rPr>
        <w:rStyle w:val="SidhuvudUtskott"/>
      </w:rPr>
      <w:t>2006/07:RRS3</w:t>
    </w:r>
    <w:r w:rsidRPr="00072C8B">
      <w:t xml:space="preserve">     </w:t>
    </w:r>
    <w:r w:rsidRPr="00072C8B">
      <w:rPr>
        <w:rStyle w:val="SidhuvudBilaga"/>
      </w:rPr>
      <w:t xml:space="preserve"> </w:t>
    </w:r>
    <w:r w:rsidR="00F754F5" w:rsidRPr="00072C8B">
      <w:rPr>
        <w:rStyle w:val="SidhuvudRubrikReferens"/>
      </w:rPr>
      <w:t>Riksrevisionens granskning</w:t>
    </w:r>
  </w:p>
  <w:p w:rsidR="00837E87" w:rsidRPr="00072C8B" w:rsidRDefault="00837E87">
    <w:pPr>
      <w:pStyle w:val="SidhuvudKantJmn"/>
      <w:framePr w:w="8732" w:h="567" w:hRule="exact" w:vSpace="0" w:wrap="around" w:vAnchor="page" w:y="341" w:anchorLock="0"/>
    </w:pPr>
  </w:p>
  <w:p w:rsidR="00837E87" w:rsidRPr="00072C8B" w:rsidRDefault="00837E8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F754F5">
    <w:pPr>
      <w:pStyle w:val="SidhuvudKantUdda"/>
      <w:framePr w:w="8732" w:h="567" w:hRule="exact" w:vSpace="0" w:wrap="around" w:vAnchor="page" w:y="341" w:anchorLock="0"/>
    </w:pPr>
    <w:r w:rsidRPr="00072C8B">
      <w:rPr>
        <w:rStyle w:val="SidhuvudRubrikReferens"/>
      </w:rPr>
      <w:t>Riksrevisionens granskning</w:t>
    </w:r>
    <w:r w:rsidR="00837E87" w:rsidRPr="00072C8B">
      <w:rPr>
        <w:rStyle w:val="SidhuvudBilaga"/>
      </w:rPr>
      <w:t xml:space="preserve"> </w:t>
    </w:r>
    <w:r w:rsidR="00837E87" w:rsidRPr="00072C8B">
      <w:t xml:space="preserve">     </w:t>
    </w:r>
    <w:r w:rsidR="00837E87" w:rsidRPr="00072C8B">
      <w:rPr>
        <w:rStyle w:val="SidhuvudUtskott"/>
      </w:rPr>
      <w:t>2006/07:RRS3</w:t>
    </w:r>
  </w:p>
  <w:p w:rsidR="00837E87" w:rsidRPr="00072C8B" w:rsidRDefault="00837E87">
    <w:pPr>
      <w:pStyle w:val="SidhuvudKantUdda"/>
      <w:framePr w:w="8732" w:h="567" w:hRule="exact" w:vSpace="0" w:wrap="around" w:vAnchor="page" w:y="341" w:anchorLock="0"/>
    </w:pPr>
  </w:p>
  <w:p w:rsidR="00837E87" w:rsidRPr="00072C8B" w:rsidRDefault="00837E8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F5" w:rsidRPr="00072C8B" w:rsidRDefault="00F754F5">
    <w:pPr>
      <w:pStyle w:val="SidhuvudKantJmn"/>
      <w:framePr w:w="8732" w:h="567" w:hRule="exact" w:vSpace="0" w:wrap="around" w:vAnchor="page" w:y="341" w:anchorLock="0"/>
    </w:pPr>
    <w:r w:rsidRPr="00072C8B">
      <w:rPr>
        <w:rStyle w:val="SidhuvudUtskott"/>
      </w:rPr>
      <w:t>2006/07:RRS3</w:t>
    </w:r>
    <w:r w:rsidRPr="00072C8B">
      <w:t xml:space="preserve">    </w:t>
    </w:r>
  </w:p>
  <w:p w:rsidR="00F754F5" w:rsidRPr="00072C8B" w:rsidRDefault="00F754F5">
    <w:pPr>
      <w:pStyle w:val="SidhuvudKantJmn"/>
      <w:framePr w:w="8732" w:h="567" w:hRule="exact" w:vSpace="0" w:wrap="around" w:vAnchor="page" w:y="341" w:anchorLock="0"/>
    </w:pPr>
  </w:p>
  <w:p w:rsidR="00837E87" w:rsidRPr="00072C8B" w:rsidRDefault="00F754F5">
    <w:pPr>
      <w:pStyle w:val="SidhuvudKantUdda"/>
      <w:framePr w:w="8732" w:h="567" w:hRule="exact" w:vSpace="0" w:wrap="around" w:vAnchor="page" w:y="341" w:anchorLock="0"/>
    </w:pPr>
    <w:r w:rsidRPr="00072C8B">
      <w:rPr>
        <w:rStyle w:val="SidhuvudRubrikReferens"/>
        <w:smallCaps w:val="0"/>
        <w:spacing w:val="0"/>
        <w:sz w:val="19"/>
      </w:rPr>
      <w:t xml:space="preserve"> </w:t>
    </w:r>
  </w:p>
  <w:p w:rsidR="00837E87" w:rsidRPr="00072C8B" w:rsidRDefault="00837E8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Jmn"/>
      <w:framePr w:w="8732" w:h="567" w:hRule="exact" w:vSpace="0" w:wrap="around" w:vAnchor="page" w:y="341" w:anchorLock="0"/>
    </w:pPr>
    <w:r w:rsidRPr="00072C8B">
      <w:rPr>
        <w:rStyle w:val="SidhuvudUtskott"/>
      </w:rPr>
      <w:fldChar w:fldCharType="begin" w:fldLock="1"/>
    </w:r>
    <w:r w:rsidRPr="00072C8B">
      <w:rPr>
        <w:rStyle w:val="SidhuvudUtskott"/>
      </w:rPr>
      <w:instrText xml:space="preserve"> DOCPROPERTY BetänkandeÅr</w:instrText>
    </w:r>
    <w:r w:rsidRPr="00072C8B">
      <w:rPr>
        <w:rStyle w:val="SidhuvudUtskott"/>
      </w:rPr>
      <w:fldChar w:fldCharType="separate"/>
    </w:r>
    <w:r w:rsidRPr="00072C8B">
      <w:rPr>
        <w:rStyle w:val="SidhuvudUtskott"/>
      </w:rPr>
      <w:t>2006/07</w:t>
    </w:r>
    <w:r w:rsidRPr="00072C8B">
      <w:rPr>
        <w:rStyle w:val="SidhuvudUtskott"/>
      </w:rPr>
      <w:fldChar w:fldCharType="end"/>
    </w:r>
    <w:r w:rsidRPr="00072C8B">
      <w:rPr>
        <w:rStyle w:val="SidhuvudUtskott"/>
      </w:rPr>
      <w:t>:</w:t>
    </w:r>
    <w:r w:rsidRPr="00072C8B">
      <w:rPr>
        <w:rStyle w:val="SidhuvudUtskott"/>
      </w:rPr>
      <w:fldChar w:fldCharType="begin" w:fldLock="1"/>
    </w:r>
    <w:r w:rsidRPr="00072C8B">
      <w:rPr>
        <w:rStyle w:val="SidhuvudUtskott"/>
      </w:rPr>
      <w:instrText xml:space="preserve"> DOCPROPERTY Utskott</w:instrText>
    </w:r>
    <w:r w:rsidRPr="00072C8B">
      <w:rPr>
        <w:rStyle w:val="SidhuvudUtskott"/>
      </w:rPr>
      <w:fldChar w:fldCharType="separate"/>
    </w:r>
    <w:r w:rsidRPr="00072C8B">
      <w:rPr>
        <w:rStyle w:val="SidhuvudUtskott"/>
      </w:rPr>
      <w:t>RRS</w: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DOCPROPERTY BetänkandeNr</w:instrText>
    </w:r>
    <w:r w:rsidRPr="00072C8B">
      <w:rPr>
        <w:rStyle w:val="SidhuvudUtskott"/>
      </w:rPr>
      <w:fldChar w:fldCharType="separate"/>
    </w:r>
    <w:r w:rsidRPr="00072C8B">
      <w:rPr>
        <w:rStyle w:val="SidhuvudUtskott"/>
      </w:rPr>
      <w:t>3</w:t>
    </w:r>
    <w:r w:rsidRPr="00072C8B">
      <w:rPr>
        <w:rStyle w:val="SidhuvudUtskott"/>
      </w:rPr>
      <w:fldChar w:fldCharType="end"/>
    </w:r>
    <w:r w:rsidRPr="00072C8B">
      <w:t xml:space="preserve">     </w:t>
    </w:r>
    <w:r w:rsidRPr="00072C8B">
      <w:rPr>
        <w:rStyle w:val="SidhuvudBilaga"/>
      </w:rPr>
      <w:t xml:space="preserve"> </w:t>
    </w:r>
    <w:r w:rsidRPr="00072C8B">
      <w:rPr>
        <w:rStyle w:val="SidhuvudRubrikReferens"/>
      </w:rPr>
      <w:fldChar w:fldCharType="begin" w:fldLock="1"/>
    </w:r>
    <w:r w:rsidRPr="00072C8B">
      <w:rPr>
        <w:rStyle w:val="SidhuvudRubrikReferens"/>
      </w:rPr>
      <w:instrText xml:space="preserve"> StyleREF "Rubrik 1" </w:instrText>
    </w:r>
    <w:r w:rsidRPr="00072C8B">
      <w:rPr>
        <w:rStyle w:val="SidhuvudRubrikReferens"/>
      </w:rPr>
      <w:fldChar w:fldCharType="separate"/>
    </w:r>
    <w:r w:rsidRPr="00072C8B">
      <w:rPr>
        <w:rStyle w:val="SidhuvudRubrikReferens"/>
      </w:rPr>
      <w:t>Riksrevisionens granskning</w:t>
    </w:r>
    <w:r w:rsidRPr="00072C8B">
      <w:rPr>
        <w:rStyle w:val="SidhuvudRubrikReferens"/>
      </w:rPr>
      <w:fldChar w:fldCharType="end"/>
    </w:r>
  </w:p>
  <w:p w:rsidR="00837E87" w:rsidRPr="00072C8B" w:rsidRDefault="00837E87">
    <w:pPr>
      <w:pStyle w:val="SidhuvudKantJmn"/>
      <w:framePr w:w="8732" w:h="567" w:hRule="exact" w:vSpace="0" w:wrap="around" w:vAnchor="page" w:y="341" w:anchorLock="0"/>
    </w:pPr>
    <w:r w:rsidRPr="00072C8B">
      <w:rPr>
        <w:rStyle w:val="SidhuvudUtskott"/>
      </w:rPr>
      <w:fldChar w:fldCharType="begin" w:fldLock="1"/>
    </w:r>
    <w:r w:rsidRPr="00072C8B">
      <w:rPr>
        <w:rStyle w:val="SidhuvudUtskott"/>
      </w:rPr>
      <w:instrText xml:space="preserve"> DOCPROPERTY Status</w:instrText>
    </w:r>
    <w:r w:rsidRPr="00072C8B">
      <w:rPr>
        <w:rStyle w:val="SidhuvudUtskott"/>
      </w:rPr>
      <w:fldChar w:fldCharType="end"/>
    </w:r>
    <w:r w:rsidRPr="00072C8B">
      <w:rPr>
        <w:rStyle w:val="SidhuvudUtskott"/>
      </w:rPr>
      <w:fldChar w:fldCharType="begin" w:fldLock="1"/>
    </w:r>
    <w:r w:rsidRPr="00072C8B">
      <w:rPr>
        <w:rStyle w:val="SidhuvudUtskott"/>
      </w:rPr>
      <w:instrText xml:space="preserve"> if </w:instrText>
    </w:r>
    <w:r w:rsidRPr="00072C8B">
      <w:rPr>
        <w:rStyle w:val="SidhuvudUtskott"/>
      </w:rPr>
      <w:fldChar w:fldCharType="begin" w:fldLock="1"/>
    </w:r>
    <w:r w:rsidRPr="00072C8B">
      <w:rPr>
        <w:rStyle w:val="SidhuvudUtskott"/>
      </w:rPr>
      <w:instrText xml:space="preserve"> DOCPROPERTY "UtkastDatum"</w:instrText>
    </w:r>
    <w:r w:rsidRPr="00072C8B">
      <w:rPr>
        <w:rStyle w:val="SidhuvudUtskott"/>
      </w:rPr>
      <w:fldChar w:fldCharType="separate"/>
    </w:r>
    <w:r w:rsidRPr="00072C8B">
      <w:rPr>
        <w:rStyle w:val="SidhuvudUtskott"/>
      </w:rPr>
      <w:instrText>Nej</w:instrText>
    </w:r>
    <w:r w:rsidRPr="00072C8B">
      <w:rPr>
        <w:rStyle w:val="SidhuvudUtskott"/>
      </w:rPr>
      <w:fldChar w:fldCharType="end"/>
    </w:r>
    <w:r w:rsidRPr="00072C8B">
      <w:rPr>
        <w:rStyle w:val="SidhuvudUtskott"/>
      </w:rPr>
      <w:instrText xml:space="preserve"> = "Ja" "    </w:instrText>
    </w:r>
    <w:r w:rsidRPr="00072C8B">
      <w:rPr>
        <w:rStyle w:val="SidhuvudUtskott"/>
      </w:rPr>
      <w:fldChar w:fldCharType="begin" w:fldLock="1"/>
    </w:r>
    <w:r w:rsidRPr="00072C8B">
      <w:rPr>
        <w:rStyle w:val="SidhuvudUtskott"/>
      </w:rPr>
      <w:instrText xml:space="preserve"> PRINTDATE \@ "yyyy-MM-dd HH.mm" </w:instrText>
    </w:r>
    <w:r w:rsidRPr="00072C8B">
      <w:rPr>
        <w:rStyle w:val="SidhuvudUtskott"/>
      </w:rPr>
      <w:fldChar w:fldCharType="separate"/>
    </w:r>
    <w:r w:rsidRPr="00072C8B">
      <w:rPr>
        <w:rStyle w:val="SidhuvudUtskott"/>
      </w:rPr>
      <w:instrText>2000-08-11 16.42</w:instrText>
    </w:r>
    <w:r w:rsidRPr="00072C8B">
      <w:rPr>
        <w:rStyle w:val="SidhuvudUtskott"/>
      </w:rPr>
      <w:fldChar w:fldCharType="end"/>
    </w:r>
    <w:r w:rsidRPr="00072C8B">
      <w:rPr>
        <w:rStyle w:val="SidhuvudUtskott"/>
      </w:rPr>
      <w:instrText xml:space="preserve">" </w:instrText>
    </w:r>
    <w:r w:rsidRPr="00072C8B">
      <w:rPr>
        <w:rStyle w:val="SidhuvudUtskott"/>
      </w:rPr>
      <w:fldChar w:fldCharType="end"/>
    </w:r>
  </w:p>
  <w:p w:rsidR="00837E87" w:rsidRPr="00072C8B" w:rsidRDefault="00837E8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Udda"/>
      <w:framePr w:w="8732" w:h="567" w:hRule="exact" w:vSpace="0" w:wrap="around" w:vAnchor="page" w:y="341" w:anchorLock="0"/>
    </w:pPr>
    <w:r w:rsidRPr="00072C8B">
      <w:rPr>
        <w:rStyle w:val="SidhuvudRubrikReferens"/>
      </w:rPr>
      <w:fldChar w:fldCharType="begin" w:fldLock="1"/>
    </w:r>
    <w:r w:rsidRPr="00072C8B">
      <w:rPr>
        <w:rStyle w:val="SidhuvudRubrikReferens"/>
      </w:rPr>
      <w:instrText xml:space="preserve"> StyleREF "Rubrik 1" </w:instrText>
    </w:r>
    <w:r w:rsidRPr="00072C8B">
      <w:rPr>
        <w:rStyle w:val="SidhuvudRubrikReferens"/>
      </w:rPr>
      <w:fldChar w:fldCharType="separate"/>
    </w:r>
    <w:r w:rsidRPr="00072C8B">
      <w:rPr>
        <w:rStyle w:val="SidhuvudRubrikReferens"/>
      </w:rPr>
      <w:t>Riksrevisionens granskning</w:t>
    </w:r>
    <w:r w:rsidRPr="00072C8B">
      <w:rPr>
        <w:rStyle w:val="SidhuvudRubrikReferens"/>
      </w:rPr>
      <w:fldChar w:fldCharType="end"/>
    </w:r>
    <w:r w:rsidRPr="00072C8B">
      <w:rPr>
        <w:rStyle w:val="SidhuvudBilaga"/>
      </w:rPr>
      <w:t xml:space="preserve"> </w:t>
    </w:r>
    <w:r w:rsidRPr="00072C8B">
      <w:t xml:space="preserve">     </w:t>
    </w:r>
    <w:r w:rsidRPr="00072C8B">
      <w:rPr>
        <w:rStyle w:val="SidhuvudUtskott"/>
      </w:rPr>
      <w:fldChar w:fldCharType="begin" w:fldLock="1"/>
    </w:r>
    <w:r w:rsidRPr="00072C8B">
      <w:rPr>
        <w:rStyle w:val="SidhuvudUtskott"/>
      </w:rPr>
      <w:instrText xml:space="preserve"> DOCPROPERTY BetänkandeÅr</w:instrText>
    </w:r>
    <w:r w:rsidRPr="00072C8B">
      <w:rPr>
        <w:rStyle w:val="SidhuvudUtskott"/>
      </w:rPr>
      <w:fldChar w:fldCharType="separate"/>
    </w:r>
    <w:r w:rsidRPr="00072C8B">
      <w:rPr>
        <w:rStyle w:val="SidhuvudUtskott"/>
      </w:rPr>
      <w:t>2006/07</w:t>
    </w:r>
    <w:r w:rsidRPr="00072C8B">
      <w:rPr>
        <w:rStyle w:val="SidhuvudUtskott"/>
      </w:rPr>
      <w:fldChar w:fldCharType="end"/>
    </w:r>
    <w:r w:rsidRPr="00072C8B">
      <w:rPr>
        <w:rStyle w:val="SidhuvudUtskott"/>
      </w:rPr>
      <w:t>:</w:t>
    </w:r>
    <w:r w:rsidRPr="00072C8B">
      <w:rPr>
        <w:rStyle w:val="SidhuvudUtskott"/>
      </w:rPr>
      <w:fldChar w:fldCharType="begin" w:fldLock="1"/>
    </w:r>
    <w:r w:rsidRPr="00072C8B">
      <w:rPr>
        <w:rStyle w:val="SidhuvudUtskott"/>
      </w:rPr>
      <w:instrText xml:space="preserve"> DOCPROPERTY</w:instrText>
    </w:r>
    <w:r w:rsidRPr="00072C8B">
      <w:instrText xml:space="preserve"> </w:instrText>
    </w:r>
    <w:r w:rsidRPr="00072C8B">
      <w:rPr>
        <w:rStyle w:val="SidhuvudUtskott"/>
      </w:rPr>
      <w:instrText>Utskott</w:instrText>
    </w:r>
    <w:r w:rsidRPr="00072C8B">
      <w:rPr>
        <w:rStyle w:val="SidhuvudUtskott"/>
      </w:rPr>
      <w:fldChar w:fldCharType="separate"/>
    </w:r>
    <w:r w:rsidRPr="00072C8B">
      <w:rPr>
        <w:rStyle w:val="SidhuvudUtskott"/>
      </w:rPr>
      <w:t>RRS</w: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DOCPROPERTY Betä</w:instrText>
    </w:r>
    <w:r w:rsidRPr="00072C8B">
      <w:rPr>
        <w:rStyle w:val="SidhuvudUtskott"/>
      </w:rPr>
      <w:instrText>n</w:instrText>
    </w:r>
    <w:r w:rsidRPr="00072C8B">
      <w:rPr>
        <w:rStyle w:val="SidhuvudUtskott"/>
      </w:rPr>
      <w:instrText>kandeNr</w:instrText>
    </w:r>
    <w:r w:rsidRPr="00072C8B">
      <w:rPr>
        <w:rStyle w:val="SidhuvudUtskott"/>
      </w:rPr>
      <w:fldChar w:fldCharType="separate"/>
    </w:r>
    <w:r w:rsidRPr="00072C8B">
      <w:rPr>
        <w:rStyle w:val="SidhuvudUtskott"/>
      </w:rPr>
      <w:t>3</w:t>
    </w:r>
    <w:r w:rsidRPr="00072C8B">
      <w:rPr>
        <w:rStyle w:val="SidhuvudUtskott"/>
      </w:rPr>
      <w:fldChar w:fldCharType="end"/>
    </w:r>
  </w:p>
  <w:p w:rsidR="00837E87" w:rsidRPr="00072C8B" w:rsidRDefault="00837E87">
    <w:pPr>
      <w:pStyle w:val="SidhuvudKantUdda"/>
      <w:framePr w:w="8732" w:h="567" w:hRule="exact" w:vSpace="0" w:wrap="around" w:vAnchor="page" w:y="341" w:anchorLock="0"/>
    </w:pPr>
    <w:r w:rsidRPr="00072C8B">
      <w:rPr>
        <w:rStyle w:val="SidhuvudUtskott"/>
      </w:rPr>
      <w:fldChar w:fldCharType="begin" w:fldLock="1"/>
    </w:r>
    <w:r w:rsidRPr="00072C8B">
      <w:rPr>
        <w:rStyle w:val="SidhuvudUtskott"/>
      </w:rPr>
      <w:instrText xml:space="preserve"> if </w:instrText>
    </w:r>
    <w:r w:rsidRPr="00072C8B">
      <w:rPr>
        <w:rStyle w:val="SidhuvudUtskott"/>
      </w:rPr>
      <w:fldChar w:fldCharType="begin" w:fldLock="1"/>
    </w:r>
    <w:r w:rsidRPr="00072C8B">
      <w:rPr>
        <w:rStyle w:val="SidhuvudUtskott"/>
      </w:rPr>
      <w:instrText xml:space="preserve"> DOCPROPERTY "UtkastDatum"</w:instrText>
    </w:r>
    <w:r w:rsidRPr="00072C8B">
      <w:rPr>
        <w:rStyle w:val="SidhuvudUtskott"/>
      </w:rPr>
      <w:fldChar w:fldCharType="separate"/>
    </w:r>
    <w:r w:rsidRPr="00072C8B">
      <w:rPr>
        <w:rStyle w:val="SidhuvudUtskott"/>
      </w:rPr>
      <w:instrText>Nej</w:instrText>
    </w:r>
    <w:r w:rsidRPr="00072C8B">
      <w:rPr>
        <w:rStyle w:val="SidhuvudUtskott"/>
      </w:rPr>
      <w:fldChar w:fldCharType="end"/>
    </w:r>
    <w:r w:rsidRPr="00072C8B">
      <w:rPr>
        <w:rStyle w:val="SidhuvudUtskott"/>
      </w:rPr>
      <w:instrText xml:space="preserve"> = "Ja" "</w:instrText>
    </w:r>
    <w:r w:rsidRPr="00072C8B">
      <w:rPr>
        <w:rStyle w:val="SidhuvudUtskott"/>
      </w:rPr>
      <w:fldChar w:fldCharType="begin" w:fldLock="1"/>
    </w:r>
    <w:r w:rsidRPr="00072C8B">
      <w:rPr>
        <w:rStyle w:val="SidhuvudUtskott"/>
      </w:rPr>
      <w:instrText xml:space="preserve"> PRINTDATE \@ "yyyy-MM-dd HH.mm    " </w:instrText>
    </w:r>
    <w:r w:rsidRPr="00072C8B">
      <w:rPr>
        <w:rStyle w:val="SidhuvudUtskott"/>
      </w:rPr>
      <w:fldChar w:fldCharType="separate"/>
    </w:r>
    <w:r w:rsidRPr="00072C8B">
      <w:rPr>
        <w:rStyle w:val="SidhuvudUtskott"/>
      </w:rPr>
      <w:instrText>2000-08-11 16.42</w:instrText>
    </w:r>
    <w:r w:rsidRPr="00072C8B">
      <w:rPr>
        <w:rStyle w:val="SidhuvudUtskott"/>
      </w:rPr>
      <w:fldChar w:fldCharType="end"/>
    </w:r>
    <w:r w:rsidRPr="00072C8B">
      <w:rPr>
        <w:rStyle w:val="SidhuvudUtskott"/>
      </w:rPr>
      <w:instrText xml:space="preserve">" </w:instrTex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w:instrText>
    </w:r>
    <w:r w:rsidRPr="00072C8B">
      <w:rPr>
        <w:rStyle w:val="SidhuvudUtskott"/>
      </w:rPr>
      <w:instrText>O</w:instrText>
    </w:r>
    <w:r w:rsidRPr="00072C8B">
      <w:rPr>
        <w:rStyle w:val="SidhuvudUtskott"/>
      </w:rPr>
      <w:instrText>PERTY Status</w:instrText>
    </w:r>
    <w:r w:rsidRPr="00072C8B">
      <w:rPr>
        <w:rStyle w:val="SidhuvudUtskott"/>
      </w:rPr>
      <w:fldChar w:fldCharType="end"/>
    </w:r>
  </w:p>
  <w:p w:rsidR="00837E87" w:rsidRPr="00072C8B" w:rsidRDefault="00837E8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F5" w:rsidRPr="00072C8B" w:rsidRDefault="00F754F5">
    <w:pPr>
      <w:pStyle w:val="SidhuvudKantUdda"/>
      <w:framePr w:w="8732" w:h="567" w:hRule="exact" w:vSpace="0" w:wrap="around" w:vAnchor="page" w:y="341" w:anchorLock="0"/>
    </w:pPr>
    <w:r w:rsidRPr="00072C8B">
      <w:t xml:space="preserve">  </w:t>
    </w:r>
    <w:r w:rsidRPr="00072C8B">
      <w:rPr>
        <w:rStyle w:val="SidhuvudUtskott"/>
      </w:rPr>
      <w:t>2006/07:RRS3</w:t>
    </w:r>
  </w:p>
  <w:p w:rsidR="00837E87" w:rsidRPr="00072C8B" w:rsidRDefault="00837E87">
    <w:pPr>
      <w:pStyle w:val="SidhuvudKantUdda"/>
      <w:framePr w:w="8732" w:h="567" w:hRule="exact" w:vSpace="0" w:wrap="around" w:vAnchor="page" w:y="341" w:anchorLock="0"/>
    </w:pPr>
  </w:p>
  <w:p w:rsidR="00837E87" w:rsidRPr="00072C8B" w:rsidRDefault="00837E8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Udda"/>
      <w:framePr w:w="8732" w:h="567" w:hRule="exact" w:vSpace="0" w:wrap="around" w:vAnchor="page" w:y="341" w:anchorLock="0"/>
    </w:pPr>
    <w:r w:rsidRPr="00072C8B">
      <w:rPr>
        <w:rStyle w:val="SidhuvudRubrikReferens"/>
      </w:rPr>
      <w:fldChar w:fldCharType="begin" w:fldLock="1"/>
    </w:r>
    <w:r w:rsidRPr="00072C8B">
      <w:rPr>
        <w:rStyle w:val="SidhuvudRubrikReferens"/>
      </w:rPr>
      <w:instrText xml:space="preserve"> StyleREF "Rubrik 1" </w:instrText>
    </w:r>
    <w:r w:rsidRPr="00072C8B">
      <w:rPr>
        <w:rStyle w:val="SidhuvudRubrikReferens"/>
      </w:rPr>
      <w:fldChar w:fldCharType="separate"/>
    </w:r>
    <w:r w:rsidRPr="00072C8B">
      <w:rPr>
        <w:rStyle w:val="SidhuvudRubrikReferens"/>
      </w:rPr>
      <w:t>Sammanfattning</w:t>
    </w:r>
    <w:r w:rsidRPr="00072C8B">
      <w:rPr>
        <w:rStyle w:val="SidhuvudRubrikReferens"/>
      </w:rPr>
      <w:fldChar w:fldCharType="end"/>
    </w:r>
    <w:r w:rsidRPr="00072C8B">
      <w:rPr>
        <w:rStyle w:val="SidhuvudBilaga"/>
      </w:rPr>
      <w:t xml:space="preserve"> </w:t>
    </w:r>
    <w:r w:rsidRPr="00072C8B">
      <w:t xml:space="preserve">     </w:t>
    </w:r>
    <w:r w:rsidRPr="00072C8B">
      <w:rPr>
        <w:rStyle w:val="SidhuvudUtskott"/>
      </w:rPr>
      <w:fldChar w:fldCharType="begin" w:fldLock="1"/>
    </w:r>
    <w:r w:rsidRPr="00072C8B">
      <w:rPr>
        <w:rStyle w:val="SidhuvudUtskott"/>
      </w:rPr>
      <w:instrText xml:space="preserve"> DOCPROPERTY BetänkandeÅr</w:instrText>
    </w:r>
    <w:r w:rsidRPr="00072C8B">
      <w:rPr>
        <w:rStyle w:val="SidhuvudUtskott"/>
      </w:rPr>
      <w:fldChar w:fldCharType="separate"/>
    </w:r>
    <w:r w:rsidRPr="00072C8B">
      <w:rPr>
        <w:rStyle w:val="SidhuvudUtskott"/>
      </w:rPr>
      <w:t>2006/07</w:t>
    </w:r>
    <w:r w:rsidRPr="00072C8B">
      <w:rPr>
        <w:rStyle w:val="SidhuvudUtskott"/>
      </w:rPr>
      <w:fldChar w:fldCharType="end"/>
    </w:r>
    <w:r w:rsidRPr="00072C8B">
      <w:rPr>
        <w:rStyle w:val="SidhuvudUtskott"/>
      </w:rPr>
      <w:t>:</w:t>
    </w:r>
    <w:r w:rsidRPr="00072C8B">
      <w:rPr>
        <w:rStyle w:val="SidhuvudUtskott"/>
      </w:rPr>
      <w:fldChar w:fldCharType="begin" w:fldLock="1"/>
    </w:r>
    <w:r w:rsidRPr="00072C8B">
      <w:rPr>
        <w:rStyle w:val="SidhuvudUtskott"/>
      </w:rPr>
      <w:instrText xml:space="preserve"> DOCPROPERTY</w:instrText>
    </w:r>
    <w:r w:rsidRPr="00072C8B">
      <w:instrText xml:space="preserve"> </w:instrText>
    </w:r>
    <w:r w:rsidRPr="00072C8B">
      <w:rPr>
        <w:rStyle w:val="SidhuvudUtskott"/>
      </w:rPr>
      <w:instrText>Utskott</w:instrText>
    </w:r>
    <w:r w:rsidRPr="00072C8B">
      <w:rPr>
        <w:rStyle w:val="SidhuvudUtskott"/>
      </w:rPr>
      <w:fldChar w:fldCharType="separate"/>
    </w:r>
    <w:r w:rsidRPr="00072C8B">
      <w:rPr>
        <w:rStyle w:val="SidhuvudUtskott"/>
      </w:rPr>
      <w:t>RRS</w: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DOCPROPERTY Betä</w:instrText>
    </w:r>
    <w:r w:rsidRPr="00072C8B">
      <w:rPr>
        <w:rStyle w:val="SidhuvudUtskott"/>
      </w:rPr>
      <w:instrText>n</w:instrText>
    </w:r>
    <w:r w:rsidRPr="00072C8B">
      <w:rPr>
        <w:rStyle w:val="SidhuvudUtskott"/>
      </w:rPr>
      <w:instrText>kandeNr</w:instrText>
    </w:r>
    <w:r w:rsidRPr="00072C8B">
      <w:rPr>
        <w:rStyle w:val="SidhuvudUtskott"/>
      </w:rPr>
      <w:fldChar w:fldCharType="separate"/>
    </w:r>
    <w:r w:rsidRPr="00072C8B">
      <w:rPr>
        <w:rStyle w:val="SidhuvudUtskott"/>
      </w:rPr>
      <w:t>3</w:t>
    </w:r>
    <w:r w:rsidRPr="00072C8B">
      <w:rPr>
        <w:rStyle w:val="SidhuvudUtskott"/>
      </w:rPr>
      <w:fldChar w:fldCharType="end"/>
    </w:r>
  </w:p>
  <w:p w:rsidR="00837E87" w:rsidRPr="00072C8B" w:rsidRDefault="00837E87">
    <w:pPr>
      <w:pStyle w:val="SidhuvudKantUdda"/>
      <w:framePr w:w="8732" w:h="567" w:hRule="exact" w:vSpace="0" w:wrap="around" w:vAnchor="page" w:y="341" w:anchorLock="0"/>
    </w:pPr>
    <w:r w:rsidRPr="00072C8B">
      <w:rPr>
        <w:rStyle w:val="SidhuvudUtskott"/>
      </w:rPr>
      <w:fldChar w:fldCharType="begin" w:fldLock="1"/>
    </w:r>
    <w:r w:rsidRPr="00072C8B">
      <w:rPr>
        <w:rStyle w:val="SidhuvudUtskott"/>
      </w:rPr>
      <w:instrText xml:space="preserve"> if </w:instrText>
    </w:r>
    <w:r w:rsidRPr="00072C8B">
      <w:rPr>
        <w:rStyle w:val="SidhuvudUtskott"/>
      </w:rPr>
      <w:fldChar w:fldCharType="begin" w:fldLock="1"/>
    </w:r>
    <w:r w:rsidRPr="00072C8B">
      <w:rPr>
        <w:rStyle w:val="SidhuvudUtskott"/>
      </w:rPr>
      <w:instrText xml:space="preserve"> DOCPROPERTY "UtkastDatum"</w:instrText>
    </w:r>
    <w:r w:rsidRPr="00072C8B">
      <w:rPr>
        <w:rStyle w:val="SidhuvudUtskott"/>
      </w:rPr>
      <w:fldChar w:fldCharType="separate"/>
    </w:r>
    <w:r w:rsidRPr="00072C8B">
      <w:rPr>
        <w:rStyle w:val="SidhuvudUtskott"/>
      </w:rPr>
      <w:instrText>Nej</w:instrText>
    </w:r>
    <w:r w:rsidRPr="00072C8B">
      <w:rPr>
        <w:rStyle w:val="SidhuvudUtskott"/>
      </w:rPr>
      <w:fldChar w:fldCharType="end"/>
    </w:r>
    <w:r w:rsidRPr="00072C8B">
      <w:rPr>
        <w:rStyle w:val="SidhuvudUtskott"/>
      </w:rPr>
      <w:instrText xml:space="preserve"> = "Ja" "</w:instrText>
    </w:r>
    <w:r w:rsidRPr="00072C8B">
      <w:rPr>
        <w:rStyle w:val="SidhuvudUtskott"/>
      </w:rPr>
      <w:fldChar w:fldCharType="begin" w:fldLock="1"/>
    </w:r>
    <w:r w:rsidRPr="00072C8B">
      <w:rPr>
        <w:rStyle w:val="SidhuvudUtskott"/>
      </w:rPr>
      <w:instrText xml:space="preserve"> PRINTDATE \@ "yyyy-MM-dd HH.mm    " </w:instrText>
    </w:r>
    <w:r w:rsidRPr="00072C8B">
      <w:rPr>
        <w:rStyle w:val="SidhuvudUtskott"/>
      </w:rPr>
      <w:fldChar w:fldCharType="separate"/>
    </w:r>
    <w:r w:rsidRPr="00072C8B">
      <w:rPr>
        <w:rStyle w:val="SidhuvudUtskott"/>
      </w:rPr>
      <w:instrText>2000-08-11 16.42</w:instrText>
    </w:r>
    <w:r w:rsidRPr="00072C8B">
      <w:rPr>
        <w:rStyle w:val="SidhuvudUtskott"/>
      </w:rPr>
      <w:fldChar w:fldCharType="end"/>
    </w:r>
    <w:r w:rsidRPr="00072C8B">
      <w:rPr>
        <w:rStyle w:val="SidhuvudUtskott"/>
      </w:rPr>
      <w:instrText xml:space="preserve">" </w:instrTex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w:instrText>
    </w:r>
    <w:r w:rsidRPr="00072C8B">
      <w:rPr>
        <w:rStyle w:val="SidhuvudUtskott"/>
      </w:rPr>
      <w:instrText>O</w:instrText>
    </w:r>
    <w:r w:rsidRPr="00072C8B">
      <w:rPr>
        <w:rStyle w:val="SidhuvudUtskott"/>
      </w:rPr>
      <w:instrText>PERTY Status</w:instrText>
    </w:r>
    <w:r w:rsidRPr="00072C8B">
      <w:rPr>
        <w:rStyle w:val="SidhuvudUtskott"/>
      </w:rPr>
      <w:fldChar w:fldCharType="end"/>
    </w:r>
  </w:p>
  <w:p w:rsidR="00837E87" w:rsidRPr="00072C8B" w:rsidRDefault="00837E8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F754F5">
    <w:pPr>
      <w:pStyle w:val="SidhuvudKantUdda"/>
      <w:framePr w:w="8732" w:h="567" w:hRule="exact" w:vSpace="0" w:wrap="around" w:vAnchor="page" w:y="341" w:anchorLock="0"/>
    </w:pPr>
    <w:r w:rsidRPr="00072C8B">
      <w:t xml:space="preserve"> </w:t>
    </w:r>
  </w:p>
  <w:p w:rsidR="00837E87" w:rsidRPr="00072C8B" w:rsidRDefault="00837E8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Jmn"/>
      <w:framePr w:w="8732" w:h="567" w:hRule="exact" w:vSpace="0" w:wrap="around" w:vAnchor="page" w:y="341" w:anchorLock="0"/>
    </w:pPr>
    <w:r w:rsidRPr="00072C8B">
      <w:rPr>
        <w:rStyle w:val="SidhuvudUtskott"/>
      </w:rPr>
      <w:fldChar w:fldCharType="begin" w:fldLock="1"/>
    </w:r>
    <w:r w:rsidRPr="00072C8B">
      <w:rPr>
        <w:rStyle w:val="SidhuvudUtskott"/>
      </w:rPr>
      <w:instrText xml:space="preserve"> DOCPROPERTY BetänkandeÅr</w:instrText>
    </w:r>
    <w:r w:rsidRPr="00072C8B">
      <w:rPr>
        <w:rStyle w:val="SidhuvudUtskott"/>
      </w:rPr>
      <w:fldChar w:fldCharType="separate"/>
    </w:r>
    <w:r w:rsidRPr="00072C8B">
      <w:rPr>
        <w:rStyle w:val="SidhuvudUtskott"/>
      </w:rPr>
      <w:t>2006/07</w:t>
    </w:r>
    <w:r w:rsidRPr="00072C8B">
      <w:rPr>
        <w:rStyle w:val="SidhuvudUtskott"/>
      </w:rPr>
      <w:fldChar w:fldCharType="end"/>
    </w:r>
    <w:r w:rsidRPr="00072C8B">
      <w:rPr>
        <w:rStyle w:val="SidhuvudUtskott"/>
      </w:rPr>
      <w:t>:</w:t>
    </w:r>
    <w:r w:rsidRPr="00072C8B">
      <w:rPr>
        <w:rStyle w:val="SidhuvudUtskott"/>
      </w:rPr>
      <w:fldChar w:fldCharType="begin" w:fldLock="1"/>
    </w:r>
    <w:r w:rsidRPr="00072C8B">
      <w:rPr>
        <w:rStyle w:val="SidhuvudUtskott"/>
      </w:rPr>
      <w:instrText xml:space="preserve"> DOCPROPERTY Utskott</w:instrText>
    </w:r>
    <w:r w:rsidRPr="00072C8B">
      <w:rPr>
        <w:rStyle w:val="SidhuvudUtskott"/>
      </w:rPr>
      <w:fldChar w:fldCharType="separate"/>
    </w:r>
    <w:r w:rsidRPr="00072C8B">
      <w:rPr>
        <w:rStyle w:val="SidhuvudUtskott"/>
      </w:rPr>
      <w:t>RRS</w: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DOCPROPERTY BetänkandeNr</w:instrText>
    </w:r>
    <w:r w:rsidRPr="00072C8B">
      <w:rPr>
        <w:rStyle w:val="SidhuvudUtskott"/>
      </w:rPr>
      <w:fldChar w:fldCharType="separate"/>
    </w:r>
    <w:r w:rsidRPr="00072C8B">
      <w:rPr>
        <w:rStyle w:val="SidhuvudUtskott"/>
      </w:rPr>
      <w:t>3</w:t>
    </w:r>
    <w:r w:rsidRPr="00072C8B">
      <w:rPr>
        <w:rStyle w:val="SidhuvudUtskott"/>
      </w:rPr>
      <w:fldChar w:fldCharType="end"/>
    </w:r>
    <w:r w:rsidRPr="00072C8B">
      <w:t xml:space="preserve">     </w:t>
    </w:r>
    <w:r w:rsidRPr="00072C8B">
      <w:rPr>
        <w:rStyle w:val="SidhuvudBilaga"/>
      </w:rPr>
      <w:t xml:space="preserve"> </w:t>
    </w:r>
    <w:r w:rsidRPr="00072C8B">
      <w:rPr>
        <w:rStyle w:val="SidhuvudRubrikReferens"/>
      </w:rPr>
      <w:fldChar w:fldCharType="begin" w:fldLock="1"/>
    </w:r>
    <w:r w:rsidRPr="00072C8B">
      <w:rPr>
        <w:rStyle w:val="SidhuvudRubrikReferens"/>
      </w:rPr>
      <w:instrText xml:space="preserve"> StyleREF "Rubrik 1" </w:instrText>
    </w:r>
    <w:r w:rsidRPr="00072C8B">
      <w:rPr>
        <w:rStyle w:val="SidhuvudRubrikReferens"/>
      </w:rPr>
      <w:fldChar w:fldCharType="separate"/>
    </w:r>
    <w:r w:rsidRPr="00072C8B">
      <w:rPr>
        <w:rStyle w:val="SidhuvudRubrikReferens"/>
      </w:rPr>
      <w:t>Sammanfattning</w:t>
    </w:r>
    <w:r w:rsidRPr="00072C8B">
      <w:rPr>
        <w:rStyle w:val="SidhuvudRubrikReferens"/>
      </w:rPr>
      <w:fldChar w:fldCharType="end"/>
    </w:r>
  </w:p>
  <w:p w:rsidR="00837E87" w:rsidRPr="00072C8B" w:rsidRDefault="00837E87">
    <w:pPr>
      <w:pStyle w:val="SidhuvudKantJmn"/>
      <w:framePr w:w="8732" w:h="567" w:hRule="exact" w:vSpace="0" w:wrap="around" w:vAnchor="page" w:y="341" w:anchorLock="0"/>
    </w:pPr>
    <w:r w:rsidRPr="00072C8B">
      <w:rPr>
        <w:rStyle w:val="SidhuvudUtskott"/>
      </w:rPr>
      <w:fldChar w:fldCharType="begin" w:fldLock="1"/>
    </w:r>
    <w:r w:rsidRPr="00072C8B">
      <w:rPr>
        <w:rStyle w:val="SidhuvudUtskott"/>
      </w:rPr>
      <w:instrText xml:space="preserve"> DOCPROPERTY Status</w:instrText>
    </w:r>
    <w:r w:rsidRPr="00072C8B">
      <w:rPr>
        <w:rStyle w:val="SidhuvudUtskott"/>
      </w:rPr>
      <w:fldChar w:fldCharType="end"/>
    </w:r>
    <w:r w:rsidRPr="00072C8B">
      <w:rPr>
        <w:rStyle w:val="SidhuvudUtskott"/>
      </w:rPr>
      <w:fldChar w:fldCharType="begin" w:fldLock="1"/>
    </w:r>
    <w:r w:rsidRPr="00072C8B">
      <w:rPr>
        <w:rStyle w:val="SidhuvudUtskott"/>
      </w:rPr>
      <w:instrText xml:space="preserve"> if </w:instrText>
    </w:r>
    <w:r w:rsidRPr="00072C8B">
      <w:rPr>
        <w:rStyle w:val="SidhuvudUtskott"/>
      </w:rPr>
      <w:fldChar w:fldCharType="begin" w:fldLock="1"/>
    </w:r>
    <w:r w:rsidRPr="00072C8B">
      <w:rPr>
        <w:rStyle w:val="SidhuvudUtskott"/>
      </w:rPr>
      <w:instrText xml:space="preserve"> DOCPROPERTY "UtkastDatum"</w:instrText>
    </w:r>
    <w:r w:rsidRPr="00072C8B">
      <w:rPr>
        <w:rStyle w:val="SidhuvudUtskott"/>
      </w:rPr>
      <w:fldChar w:fldCharType="separate"/>
    </w:r>
    <w:r w:rsidRPr="00072C8B">
      <w:rPr>
        <w:rStyle w:val="SidhuvudUtskott"/>
      </w:rPr>
      <w:instrText>Nej</w:instrText>
    </w:r>
    <w:r w:rsidRPr="00072C8B">
      <w:rPr>
        <w:rStyle w:val="SidhuvudUtskott"/>
      </w:rPr>
      <w:fldChar w:fldCharType="end"/>
    </w:r>
    <w:r w:rsidRPr="00072C8B">
      <w:rPr>
        <w:rStyle w:val="SidhuvudUtskott"/>
      </w:rPr>
      <w:instrText xml:space="preserve"> = "Ja" "    </w:instrText>
    </w:r>
    <w:r w:rsidRPr="00072C8B">
      <w:rPr>
        <w:rStyle w:val="SidhuvudUtskott"/>
      </w:rPr>
      <w:fldChar w:fldCharType="begin" w:fldLock="1"/>
    </w:r>
    <w:r w:rsidRPr="00072C8B">
      <w:rPr>
        <w:rStyle w:val="SidhuvudUtskott"/>
      </w:rPr>
      <w:instrText xml:space="preserve"> PRINTDATE \@ "yyyy-MM-dd HH.mm" </w:instrText>
    </w:r>
    <w:r w:rsidRPr="00072C8B">
      <w:rPr>
        <w:rStyle w:val="SidhuvudUtskott"/>
      </w:rPr>
      <w:fldChar w:fldCharType="separate"/>
    </w:r>
    <w:r w:rsidRPr="00072C8B">
      <w:rPr>
        <w:rStyle w:val="SidhuvudUtskott"/>
      </w:rPr>
      <w:instrText>2000-08-11 16.42</w:instrText>
    </w:r>
    <w:r w:rsidRPr="00072C8B">
      <w:rPr>
        <w:rStyle w:val="SidhuvudUtskott"/>
      </w:rPr>
      <w:fldChar w:fldCharType="end"/>
    </w:r>
    <w:r w:rsidRPr="00072C8B">
      <w:rPr>
        <w:rStyle w:val="SidhuvudUtskott"/>
      </w:rPr>
      <w:instrText xml:space="preserve">" </w:instrText>
    </w:r>
    <w:r w:rsidRPr="00072C8B">
      <w:rPr>
        <w:rStyle w:val="SidhuvudUtskott"/>
      </w:rPr>
      <w:fldChar w:fldCharType="end"/>
    </w:r>
  </w:p>
  <w:p w:rsidR="00837E87" w:rsidRPr="00072C8B" w:rsidRDefault="00837E8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Udda"/>
      <w:framePr w:w="8732" w:h="567" w:hRule="exact" w:vSpace="0" w:wrap="around" w:vAnchor="page" w:y="341" w:anchorLock="0"/>
    </w:pPr>
    <w:r w:rsidRPr="00072C8B">
      <w:rPr>
        <w:rStyle w:val="SidhuvudRubrikReferens"/>
      </w:rPr>
      <w:fldChar w:fldCharType="begin" w:fldLock="1"/>
    </w:r>
    <w:r w:rsidRPr="00072C8B">
      <w:rPr>
        <w:rStyle w:val="SidhuvudRubrikReferens"/>
      </w:rPr>
      <w:instrText xml:space="preserve"> StyleREF "Rubrik 1" </w:instrText>
    </w:r>
    <w:r w:rsidRPr="00072C8B">
      <w:rPr>
        <w:rStyle w:val="SidhuvudRubrikReferens"/>
      </w:rPr>
      <w:fldChar w:fldCharType="separate"/>
    </w:r>
    <w:r w:rsidRPr="00072C8B">
      <w:rPr>
        <w:rStyle w:val="SidhuvudRubrikReferens"/>
      </w:rPr>
      <w:t>Sammanfattning</w:t>
    </w:r>
    <w:r w:rsidRPr="00072C8B">
      <w:rPr>
        <w:rStyle w:val="SidhuvudRubrikReferens"/>
      </w:rPr>
      <w:fldChar w:fldCharType="end"/>
    </w:r>
    <w:r w:rsidRPr="00072C8B">
      <w:rPr>
        <w:rStyle w:val="SidhuvudBilaga"/>
      </w:rPr>
      <w:t xml:space="preserve"> </w:t>
    </w:r>
    <w:r w:rsidRPr="00072C8B">
      <w:t xml:space="preserve">     </w:t>
    </w:r>
    <w:r w:rsidRPr="00072C8B">
      <w:rPr>
        <w:rStyle w:val="SidhuvudUtskott"/>
      </w:rPr>
      <w:fldChar w:fldCharType="begin" w:fldLock="1"/>
    </w:r>
    <w:r w:rsidRPr="00072C8B">
      <w:rPr>
        <w:rStyle w:val="SidhuvudUtskott"/>
      </w:rPr>
      <w:instrText xml:space="preserve"> DOCPROPERTY BetänkandeÅr</w:instrText>
    </w:r>
    <w:r w:rsidRPr="00072C8B">
      <w:rPr>
        <w:rStyle w:val="SidhuvudUtskott"/>
      </w:rPr>
      <w:fldChar w:fldCharType="separate"/>
    </w:r>
    <w:r w:rsidRPr="00072C8B">
      <w:rPr>
        <w:rStyle w:val="SidhuvudUtskott"/>
      </w:rPr>
      <w:t>2006/07</w:t>
    </w:r>
    <w:r w:rsidRPr="00072C8B">
      <w:rPr>
        <w:rStyle w:val="SidhuvudUtskott"/>
      </w:rPr>
      <w:fldChar w:fldCharType="end"/>
    </w:r>
    <w:r w:rsidRPr="00072C8B">
      <w:rPr>
        <w:rStyle w:val="SidhuvudUtskott"/>
      </w:rPr>
      <w:t>:</w:t>
    </w:r>
    <w:r w:rsidRPr="00072C8B">
      <w:rPr>
        <w:rStyle w:val="SidhuvudUtskott"/>
      </w:rPr>
      <w:fldChar w:fldCharType="begin" w:fldLock="1"/>
    </w:r>
    <w:r w:rsidRPr="00072C8B">
      <w:rPr>
        <w:rStyle w:val="SidhuvudUtskott"/>
      </w:rPr>
      <w:instrText xml:space="preserve"> DOCPROPERTY</w:instrText>
    </w:r>
    <w:r w:rsidRPr="00072C8B">
      <w:instrText xml:space="preserve"> </w:instrText>
    </w:r>
    <w:r w:rsidRPr="00072C8B">
      <w:rPr>
        <w:rStyle w:val="SidhuvudUtskott"/>
      </w:rPr>
      <w:instrText>Utskott</w:instrText>
    </w:r>
    <w:r w:rsidRPr="00072C8B">
      <w:rPr>
        <w:rStyle w:val="SidhuvudUtskott"/>
      </w:rPr>
      <w:fldChar w:fldCharType="separate"/>
    </w:r>
    <w:r w:rsidRPr="00072C8B">
      <w:rPr>
        <w:rStyle w:val="SidhuvudUtskott"/>
      </w:rPr>
      <w:t>RRS</w: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DOCPROPERTY Betä</w:instrText>
    </w:r>
    <w:r w:rsidRPr="00072C8B">
      <w:rPr>
        <w:rStyle w:val="SidhuvudUtskott"/>
      </w:rPr>
      <w:instrText>n</w:instrText>
    </w:r>
    <w:r w:rsidRPr="00072C8B">
      <w:rPr>
        <w:rStyle w:val="SidhuvudUtskott"/>
      </w:rPr>
      <w:instrText>kandeNr</w:instrText>
    </w:r>
    <w:r w:rsidRPr="00072C8B">
      <w:rPr>
        <w:rStyle w:val="SidhuvudUtskott"/>
      </w:rPr>
      <w:fldChar w:fldCharType="separate"/>
    </w:r>
    <w:r w:rsidRPr="00072C8B">
      <w:rPr>
        <w:rStyle w:val="SidhuvudUtskott"/>
      </w:rPr>
      <w:t>3</w:t>
    </w:r>
    <w:r w:rsidRPr="00072C8B">
      <w:rPr>
        <w:rStyle w:val="SidhuvudUtskott"/>
      </w:rPr>
      <w:fldChar w:fldCharType="end"/>
    </w:r>
  </w:p>
  <w:p w:rsidR="00837E87" w:rsidRPr="00072C8B" w:rsidRDefault="00837E87">
    <w:pPr>
      <w:pStyle w:val="SidhuvudKantUdda"/>
      <w:framePr w:w="8732" w:h="567" w:hRule="exact" w:vSpace="0" w:wrap="around" w:vAnchor="page" w:y="341" w:anchorLock="0"/>
    </w:pPr>
    <w:r w:rsidRPr="00072C8B">
      <w:rPr>
        <w:rStyle w:val="SidhuvudUtskott"/>
      </w:rPr>
      <w:fldChar w:fldCharType="begin" w:fldLock="1"/>
    </w:r>
    <w:r w:rsidRPr="00072C8B">
      <w:rPr>
        <w:rStyle w:val="SidhuvudUtskott"/>
      </w:rPr>
      <w:instrText xml:space="preserve"> if </w:instrText>
    </w:r>
    <w:r w:rsidRPr="00072C8B">
      <w:rPr>
        <w:rStyle w:val="SidhuvudUtskott"/>
      </w:rPr>
      <w:fldChar w:fldCharType="begin" w:fldLock="1"/>
    </w:r>
    <w:r w:rsidRPr="00072C8B">
      <w:rPr>
        <w:rStyle w:val="SidhuvudUtskott"/>
      </w:rPr>
      <w:instrText xml:space="preserve"> DOCPROPERTY "UtkastDatum"</w:instrText>
    </w:r>
    <w:r w:rsidRPr="00072C8B">
      <w:rPr>
        <w:rStyle w:val="SidhuvudUtskott"/>
      </w:rPr>
      <w:fldChar w:fldCharType="separate"/>
    </w:r>
    <w:r w:rsidRPr="00072C8B">
      <w:rPr>
        <w:rStyle w:val="SidhuvudUtskott"/>
      </w:rPr>
      <w:instrText>Nej</w:instrText>
    </w:r>
    <w:r w:rsidRPr="00072C8B">
      <w:rPr>
        <w:rStyle w:val="SidhuvudUtskott"/>
      </w:rPr>
      <w:fldChar w:fldCharType="end"/>
    </w:r>
    <w:r w:rsidRPr="00072C8B">
      <w:rPr>
        <w:rStyle w:val="SidhuvudUtskott"/>
      </w:rPr>
      <w:instrText xml:space="preserve"> = "Ja" "</w:instrText>
    </w:r>
    <w:r w:rsidRPr="00072C8B">
      <w:rPr>
        <w:rStyle w:val="SidhuvudUtskott"/>
      </w:rPr>
      <w:fldChar w:fldCharType="begin" w:fldLock="1"/>
    </w:r>
    <w:r w:rsidRPr="00072C8B">
      <w:rPr>
        <w:rStyle w:val="SidhuvudUtskott"/>
      </w:rPr>
      <w:instrText xml:space="preserve"> PRINTDATE \@ "yyyy-MM-dd HH.mm    " </w:instrText>
    </w:r>
    <w:r w:rsidRPr="00072C8B">
      <w:rPr>
        <w:rStyle w:val="SidhuvudUtskott"/>
      </w:rPr>
      <w:fldChar w:fldCharType="separate"/>
    </w:r>
    <w:r w:rsidRPr="00072C8B">
      <w:rPr>
        <w:rStyle w:val="SidhuvudUtskott"/>
      </w:rPr>
      <w:instrText>2000-08-11 16.42</w:instrText>
    </w:r>
    <w:r w:rsidRPr="00072C8B">
      <w:rPr>
        <w:rStyle w:val="SidhuvudUtskott"/>
      </w:rPr>
      <w:fldChar w:fldCharType="end"/>
    </w:r>
    <w:r w:rsidRPr="00072C8B">
      <w:rPr>
        <w:rStyle w:val="SidhuvudUtskott"/>
      </w:rPr>
      <w:instrText xml:space="preserve">" </w:instrTex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w:instrText>
    </w:r>
    <w:r w:rsidRPr="00072C8B">
      <w:rPr>
        <w:rStyle w:val="SidhuvudUtskott"/>
      </w:rPr>
      <w:instrText>O</w:instrText>
    </w:r>
    <w:r w:rsidRPr="00072C8B">
      <w:rPr>
        <w:rStyle w:val="SidhuvudUtskott"/>
      </w:rPr>
      <w:instrText>PERTY Status</w:instrText>
    </w:r>
    <w:r w:rsidRPr="00072C8B">
      <w:rPr>
        <w:rStyle w:val="SidhuvudUtskott"/>
      </w:rPr>
      <w:fldChar w:fldCharType="end"/>
    </w:r>
  </w:p>
  <w:p w:rsidR="00837E87" w:rsidRPr="00072C8B" w:rsidRDefault="00837E8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F5" w:rsidRPr="00072C8B" w:rsidRDefault="00F754F5">
    <w:pPr>
      <w:pStyle w:val="SidhuvudKantJmn"/>
      <w:framePr w:w="8732" w:h="567" w:hRule="exact" w:vSpace="0" w:wrap="around" w:vAnchor="page" w:y="341" w:anchorLock="0"/>
    </w:pPr>
    <w:r w:rsidRPr="00072C8B">
      <w:rPr>
        <w:rStyle w:val="SidhuvudUtskott"/>
      </w:rPr>
      <w:t>2006/07:RRS3</w:t>
    </w:r>
    <w:r w:rsidRPr="00072C8B">
      <w:t xml:space="preserve">    </w:t>
    </w:r>
  </w:p>
  <w:p w:rsidR="00F754F5" w:rsidRPr="00072C8B" w:rsidRDefault="00F754F5">
    <w:pPr>
      <w:pStyle w:val="SidhuvudKantJmn"/>
      <w:framePr w:w="8732" w:h="567" w:hRule="exact" w:vSpace="0" w:wrap="around" w:vAnchor="page" w:y="341" w:anchorLock="0"/>
    </w:pPr>
  </w:p>
  <w:p w:rsidR="00837E87" w:rsidRPr="00072C8B" w:rsidRDefault="00F754F5">
    <w:pPr>
      <w:pStyle w:val="SidhuvudKantUdda"/>
      <w:framePr w:w="8732" w:h="567" w:hRule="exact" w:vSpace="0" w:wrap="around" w:vAnchor="page" w:y="341" w:anchorLock="0"/>
    </w:pPr>
    <w:r w:rsidRPr="00072C8B">
      <w:rPr>
        <w:rStyle w:val="SidhuvudRubrikReferens"/>
        <w:smallCaps w:val="0"/>
        <w:spacing w:val="0"/>
        <w:sz w:val="19"/>
      </w:rPr>
      <w:t xml:space="preserve"> </w:t>
    </w:r>
  </w:p>
  <w:p w:rsidR="00837E87" w:rsidRPr="00072C8B" w:rsidRDefault="00837E8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Jmn"/>
      <w:framePr w:w="8732" w:h="567" w:hRule="exact" w:vSpace="0" w:wrap="around" w:vAnchor="page" w:y="341" w:anchorLock="0"/>
    </w:pPr>
    <w:r w:rsidRPr="00072C8B">
      <w:rPr>
        <w:rStyle w:val="SidhuvudUtskott"/>
      </w:rPr>
      <w:fldChar w:fldCharType="begin" w:fldLock="1"/>
    </w:r>
    <w:r w:rsidRPr="00072C8B">
      <w:rPr>
        <w:rStyle w:val="SidhuvudUtskott"/>
      </w:rPr>
      <w:instrText xml:space="preserve"> DOCPROPERTY BetänkandeÅr</w:instrText>
    </w:r>
    <w:r w:rsidRPr="00072C8B">
      <w:rPr>
        <w:rStyle w:val="SidhuvudUtskott"/>
      </w:rPr>
      <w:fldChar w:fldCharType="separate"/>
    </w:r>
    <w:r w:rsidRPr="00072C8B">
      <w:rPr>
        <w:rStyle w:val="SidhuvudUtskott"/>
      </w:rPr>
      <w:t>2006/07</w:t>
    </w:r>
    <w:r w:rsidRPr="00072C8B">
      <w:rPr>
        <w:rStyle w:val="SidhuvudUtskott"/>
      </w:rPr>
      <w:fldChar w:fldCharType="end"/>
    </w:r>
    <w:r w:rsidRPr="00072C8B">
      <w:rPr>
        <w:rStyle w:val="SidhuvudUtskott"/>
      </w:rPr>
      <w:t>:</w:t>
    </w:r>
    <w:r w:rsidRPr="00072C8B">
      <w:rPr>
        <w:rStyle w:val="SidhuvudUtskott"/>
      </w:rPr>
      <w:fldChar w:fldCharType="begin" w:fldLock="1"/>
    </w:r>
    <w:r w:rsidRPr="00072C8B">
      <w:rPr>
        <w:rStyle w:val="SidhuvudUtskott"/>
      </w:rPr>
      <w:instrText xml:space="preserve"> DOCPROPERTY Utskott</w:instrText>
    </w:r>
    <w:r w:rsidRPr="00072C8B">
      <w:rPr>
        <w:rStyle w:val="SidhuvudUtskott"/>
      </w:rPr>
      <w:fldChar w:fldCharType="separate"/>
    </w:r>
    <w:r w:rsidRPr="00072C8B">
      <w:rPr>
        <w:rStyle w:val="SidhuvudUtskott"/>
      </w:rPr>
      <w:t>RRS</w: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DOCPROPERTY BetänkandeNr</w:instrText>
    </w:r>
    <w:r w:rsidRPr="00072C8B">
      <w:rPr>
        <w:rStyle w:val="SidhuvudUtskott"/>
      </w:rPr>
      <w:fldChar w:fldCharType="separate"/>
    </w:r>
    <w:r w:rsidRPr="00072C8B">
      <w:rPr>
        <w:rStyle w:val="SidhuvudUtskott"/>
      </w:rPr>
      <w:t>3</w:t>
    </w:r>
    <w:r w:rsidRPr="00072C8B">
      <w:rPr>
        <w:rStyle w:val="SidhuvudUtskott"/>
      </w:rPr>
      <w:fldChar w:fldCharType="end"/>
    </w:r>
    <w:r w:rsidRPr="00072C8B">
      <w:t xml:space="preserve">     </w:t>
    </w:r>
    <w:r w:rsidRPr="00072C8B">
      <w:rPr>
        <w:rStyle w:val="SidhuvudBilaga"/>
      </w:rPr>
      <w:t xml:space="preserve"> </w:t>
    </w:r>
    <w:r w:rsidRPr="00072C8B">
      <w:rPr>
        <w:rStyle w:val="SidhuvudRubrikReferens"/>
      </w:rPr>
      <w:fldChar w:fldCharType="begin" w:fldLock="1"/>
    </w:r>
    <w:r w:rsidRPr="00072C8B">
      <w:rPr>
        <w:rStyle w:val="SidhuvudRubrikReferens"/>
      </w:rPr>
      <w:instrText xml:space="preserve"> StyleREF "Rubrik 1" </w:instrText>
    </w:r>
    <w:r w:rsidRPr="00072C8B">
      <w:rPr>
        <w:rStyle w:val="SidhuvudRubrikReferens"/>
      </w:rPr>
      <w:fldChar w:fldCharType="separate"/>
    </w:r>
    <w:r w:rsidRPr="00072C8B">
      <w:rPr>
        <w:rStyle w:val="SidhuvudRubrikReferens"/>
      </w:rPr>
      <w:t>Innehållsförteckning</w:t>
    </w:r>
    <w:r w:rsidRPr="00072C8B">
      <w:rPr>
        <w:rStyle w:val="SidhuvudRubrikReferens"/>
      </w:rPr>
      <w:fldChar w:fldCharType="end"/>
    </w:r>
  </w:p>
  <w:p w:rsidR="00837E87" w:rsidRPr="00072C8B" w:rsidRDefault="00837E87">
    <w:pPr>
      <w:pStyle w:val="SidhuvudKantJmn"/>
      <w:framePr w:w="8732" w:h="567" w:hRule="exact" w:vSpace="0" w:wrap="around" w:vAnchor="page" w:y="341" w:anchorLock="0"/>
    </w:pPr>
    <w:r w:rsidRPr="00072C8B">
      <w:rPr>
        <w:rStyle w:val="SidhuvudUtskott"/>
      </w:rPr>
      <w:fldChar w:fldCharType="begin" w:fldLock="1"/>
    </w:r>
    <w:r w:rsidRPr="00072C8B">
      <w:rPr>
        <w:rStyle w:val="SidhuvudUtskott"/>
      </w:rPr>
      <w:instrText xml:space="preserve"> DOCPROPERTY Status</w:instrText>
    </w:r>
    <w:r w:rsidRPr="00072C8B">
      <w:rPr>
        <w:rStyle w:val="SidhuvudUtskott"/>
      </w:rPr>
      <w:fldChar w:fldCharType="end"/>
    </w:r>
    <w:r w:rsidRPr="00072C8B">
      <w:rPr>
        <w:rStyle w:val="SidhuvudUtskott"/>
      </w:rPr>
      <w:fldChar w:fldCharType="begin" w:fldLock="1"/>
    </w:r>
    <w:r w:rsidRPr="00072C8B">
      <w:rPr>
        <w:rStyle w:val="SidhuvudUtskott"/>
      </w:rPr>
      <w:instrText xml:space="preserve"> if </w:instrText>
    </w:r>
    <w:r w:rsidRPr="00072C8B">
      <w:rPr>
        <w:rStyle w:val="SidhuvudUtskott"/>
      </w:rPr>
      <w:fldChar w:fldCharType="begin" w:fldLock="1"/>
    </w:r>
    <w:r w:rsidRPr="00072C8B">
      <w:rPr>
        <w:rStyle w:val="SidhuvudUtskott"/>
      </w:rPr>
      <w:instrText xml:space="preserve"> DOCPROPERTY "UtkastDatum"</w:instrText>
    </w:r>
    <w:r w:rsidRPr="00072C8B">
      <w:rPr>
        <w:rStyle w:val="SidhuvudUtskott"/>
      </w:rPr>
      <w:fldChar w:fldCharType="separate"/>
    </w:r>
    <w:r w:rsidRPr="00072C8B">
      <w:rPr>
        <w:rStyle w:val="SidhuvudUtskott"/>
      </w:rPr>
      <w:instrText>Nej</w:instrText>
    </w:r>
    <w:r w:rsidRPr="00072C8B">
      <w:rPr>
        <w:rStyle w:val="SidhuvudUtskott"/>
      </w:rPr>
      <w:fldChar w:fldCharType="end"/>
    </w:r>
    <w:r w:rsidRPr="00072C8B">
      <w:rPr>
        <w:rStyle w:val="SidhuvudUtskott"/>
      </w:rPr>
      <w:instrText xml:space="preserve"> = "Ja" "    </w:instrText>
    </w:r>
    <w:r w:rsidRPr="00072C8B">
      <w:rPr>
        <w:rStyle w:val="SidhuvudUtskott"/>
      </w:rPr>
      <w:fldChar w:fldCharType="begin" w:fldLock="1"/>
    </w:r>
    <w:r w:rsidRPr="00072C8B">
      <w:rPr>
        <w:rStyle w:val="SidhuvudUtskott"/>
      </w:rPr>
      <w:instrText xml:space="preserve"> PRINTDATE \@ "yyyy-MM-dd HH.mm" </w:instrText>
    </w:r>
    <w:r w:rsidRPr="00072C8B">
      <w:rPr>
        <w:rStyle w:val="SidhuvudUtskott"/>
      </w:rPr>
      <w:fldChar w:fldCharType="separate"/>
    </w:r>
    <w:r w:rsidRPr="00072C8B">
      <w:rPr>
        <w:rStyle w:val="SidhuvudUtskott"/>
      </w:rPr>
      <w:instrText>2000-08-11 16.42</w:instrText>
    </w:r>
    <w:r w:rsidRPr="00072C8B">
      <w:rPr>
        <w:rStyle w:val="SidhuvudUtskott"/>
      </w:rPr>
      <w:fldChar w:fldCharType="end"/>
    </w:r>
    <w:r w:rsidRPr="00072C8B">
      <w:rPr>
        <w:rStyle w:val="SidhuvudUtskott"/>
      </w:rPr>
      <w:instrText xml:space="preserve">" </w:instrText>
    </w:r>
    <w:r w:rsidRPr="00072C8B">
      <w:rPr>
        <w:rStyle w:val="SidhuvudUtskott"/>
      </w:rPr>
      <w:fldChar w:fldCharType="end"/>
    </w:r>
  </w:p>
  <w:p w:rsidR="00837E87" w:rsidRPr="00072C8B" w:rsidRDefault="00837E8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E87" w:rsidRPr="00072C8B" w:rsidRDefault="00837E87">
    <w:pPr>
      <w:pStyle w:val="SidhuvudKantUdda"/>
      <w:framePr w:w="8732" w:h="567" w:hRule="exact" w:vSpace="0" w:wrap="around" w:vAnchor="page" w:y="341" w:anchorLock="0"/>
    </w:pPr>
    <w:r w:rsidRPr="00072C8B">
      <w:rPr>
        <w:rStyle w:val="SidhuvudRubrikReferens"/>
      </w:rPr>
      <w:fldChar w:fldCharType="begin" w:fldLock="1"/>
    </w:r>
    <w:r w:rsidRPr="00072C8B">
      <w:rPr>
        <w:rStyle w:val="SidhuvudRubrikReferens"/>
      </w:rPr>
      <w:instrText xml:space="preserve"> StyleREF "Rubrik 1" </w:instrText>
    </w:r>
    <w:r w:rsidRPr="00072C8B">
      <w:rPr>
        <w:rStyle w:val="SidhuvudRubrikReferens"/>
      </w:rPr>
      <w:fldChar w:fldCharType="separate"/>
    </w:r>
    <w:r w:rsidRPr="00072C8B">
      <w:rPr>
        <w:rStyle w:val="SidhuvudRubrikReferens"/>
      </w:rPr>
      <w:t>Innehållsförteckning</w:t>
    </w:r>
    <w:r w:rsidRPr="00072C8B">
      <w:rPr>
        <w:rStyle w:val="SidhuvudRubrikReferens"/>
      </w:rPr>
      <w:fldChar w:fldCharType="end"/>
    </w:r>
    <w:r w:rsidRPr="00072C8B">
      <w:rPr>
        <w:rStyle w:val="SidhuvudBilaga"/>
      </w:rPr>
      <w:t xml:space="preserve"> </w:t>
    </w:r>
    <w:r w:rsidRPr="00072C8B">
      <w:t xml:space="preserve">     </w:t>
    </w:r>
    <w:r w:rsidRPr="00072C8B">
      <w:rPr>
        <w:rStyle w:val="SidhuvudUtskott"/>
      </w:rPr>
      <w:fldChar w:fldCharType="begin" w:fldLock="1"/>
    </w:r>
    <w:r w:rsidRPr="00072C8B">
      <w:rPr>
        <w:rStyle w:val="SidhuvudUtskott"/>
      </w:rPr>
      <w:instrText xml:space="preserve"> DOCPROPERTY BetänkandeÅr</w:instrText>
    </w:r>
    <w:r w:rsidRPr="00072C8B">
      <w:rPr>
        <w:rStyle w:val="SidhuvudUtskott"/>
      </w:rPr>
      <w:fldChar w:fldCharType="separate"/>
    </w:r>
    <w:r w:rsidRPr="00072C8B">
      <w:rPr>
        <w:rStyle w:val="SidhuvudUtskott"/>
      </w:rPr>
      <w:t>2006/07</w:t>
    </w:r>
    <w:r w:rsidRPr="00072C8B">
      <w:rPr>
        <w:rStyle w:val="SidhuvudUtskott"/>
      </w:rPr>
      <w:fldChar w:fldCharType="end"/>
    </w:r>
    <w:r w:rsidRPr="00072C8B">
      <w:rPr>
        <w:rStyle w:val="SidhuvudUtskott"/>
      </w:rPr>
      <w:t>:</w:t>
    </w:r>
    <w:r w:rsidRPr="00072C8B">
      <w:rPr>
        <w:rStyle w:val="SidhuvudUtskott"/>
      </w:rPr>
      <w:fldChar w:fldCharType="begin" w:fldLock="1"/>
    </w:r>
    <w:r w:rsidRPr="00072C8B">
      <w:rPr>
        <w:rStyle w:val="SidhuvudUtskott"/>
      </w:rPr>
      <w:instrText xml:space="preserve"> DOCPROPERTY</w:instrText>
    </w:r>
    <w:r w:rsidRPr="00072C8B">
      <w:instrText xml:space="preserve"> </w:instrText>
    </w:r>
    <w:r w:rsidRPr="00072C8B">
      <w:rPr>
        <w:rStyle w:val="SidhuvudUtskott"/>
      </w:rPr>
      <w:instrText>Utskott</w:instrText>
    </w:r>
    <w:r w:rsidRPr="00072C8B">
      <w:rPr>
        <w:rStyle w:val="SidhuvudUtskott"/>
      </w:rPr>
      <w:fldChar w:fldCharType="separate"/>
    </w:r>
    <w:r w:rsidRPr="00072C8B">
      <w:rPr>
        <w:rStyle w:val="SidhuvudUtskott"/>
      </w:rPr>
      <w:t>RRS</w: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DOCPROPERTY Betä</w:instrText>
    </w:r>
    <w:r w:rsidRPr="00072C8B">
      <w:rPr>
        <w:rStyle w:val="SidhuvudUtskott"/>
      </w:rPr>
      <w:instrText>n</w:instrText>
    </w:r>
    <w:r w:rsidRPr="00072C8B">
      <w:rPr>
        <w:rStyle w:val="SidhuvudUtskott"/>
      </w:rPr>
      <w:instrText>kandeNr</w:instrText>
    </w:r>
    <w:r w:rsidRPr="00072C8B">
      <w:rPr>
        <w:rStyle w:val="SidhuvudUtskott"/>
      </w:rPr>
      <w:fldChar w:fldCharType="separate"/>
    </w:r>
    <w:r w:rsidRPr="00072C8B">
      <w:rPr>
        <w:rStyle w:val="SidhuvudUtskott"/>
      </w:rPr>
      <w:t>3</w:t>
    </w:r>
    <w:r w:rsidRPr="00072C8B">
      <w:rPr>
        <w:rStyle w:val="SidhuvudUtskott"/>
      </w:rPr>
      <w:fldChar w:fldCharType="end"/>
    </w:r>
  </w:p>
  <w:p w:rsidR="00837E87" w:rsidRPr="00072C8B" w:rsidRDefault="00837E87">
    <w:pPr>
      <w:pStyle w:val="SidhuvudKantUdda"/>
      <w:framePr w:w="8732" w:h="567" w:hRule="exact" w:vSpace="0" w:wrap="around" w:vAnchor="page" w:y="341" w:anchorLock="0"/>
    </w:pPr>
    <w:r w:rsidRPr="00072C8B">
      <w:rPr>
        <w:rStyle w:val="SidhuvudUtskott"/>
      </w:rPr>
      <w:fldChar w:fldCharType="begin" w:fldLock="1"/>
    </w:r>
    <w:r w:rsidRPr="00072C8B">
      <w:rPr>
        <w:rStyle w:val="SidhuvudUtskott"/>
      </w:rPr>
      <w:instrText xml:space="preserve"> if </w:instrText>
    </w:r>
    <w:r w:rsidRPr="00072C8B">
      <w:rPr>
        <w:rStyle w:val="SidhuvudUtskott"/>
      </w:rPr>
      <w:fldChar w:fldCharType="begin" w:fldLock="1"/>
    </w:r>
    <w:r w:rsidRPr="00072C8B">
      <w:rPr>
        <w:rStyle w:val="SidhuvudUtskott"/>
      </w:rPr>
      <w:instrText xml:space="preserve"> DOCPROPERTY "UtkastDatum"</w:instrText>
    </w:r>
    <w:r w:rsidRPr="00072C8B">
      <w:rPr>
        <w:rStyle w:val="SidhuvudUtskott"/>
      </w:rPr>
      <w:fldChar w:fldCharType="separate"/>
    </w:r>
    <w:r w:rsidRPr="00072C8B">
      <w:rPr>
        <w:rStyle w:val="SidhuvudUtskott"/>
      </w:rPr>
      <w:instrText>Nej</w:instrText>
    </w:r>
    <w:r w:rsidRPr="00072C8B">
      <w:rPr>
        <w:rStyle w:val="SidhuvudUtskott"/>
      </w:rPr>
      <w:fldChar w:fldCharType="end"/>
    </w:r>
    <w:r w:rsidRPr="00072C8B">
      <w:rPr>
        <w:rStyle w:val="SidhuvudUtskott"/>
      </w:rPr>
      <w:instrText xml:space="preserve"> = "Ja" "</w:instrText>
    </w:r>
    <w:r w:rsidRPr="00072C8B">
      <w:rPr>
        <w:rStyle w:val="SidhuvudUtskott"/>
      </w:rPr>
      <w:fldChar w:fldCharType="begin" w:fldLock="1"/>
    </w:r>
    <w:r w:rsidRPr="00072C8B">
      <w:rPr>
        <w:rStyle w:val="SidhuvudUtskott"/>
      </w:rPr>
      <w:instrText xml:space="preserve"> PRINTDATE \@ "yyyy-MM-dd HH.mm    " </w:instrText>
    </w:r>
    <w:r w:rsidRPr="00072C8B">
      <w:rPr>
        <w:rStyle w:val="SidhuvudUtskott"/>
      </w:rPr>
      <w:fldChar w:fldCharType="separate"/>
    </w:r>
    <w:r w:rsidRPr="00072C8B">
      <w:rPr>
        <w:rStyle w:val="SidhuvudUtskott"/>
      </w:rPr>
      <w:instrText>2000-08-11 16.42</w:instrText>
    </w:r>
    <w:r w:rsidRPr="00072C8B">
      <w:rPr>
        <w:rStyle w:val="SidhuvudUtskott"/>
      </w:rPr>
      <w:fldChar w:fldCharType="end"/>
    </w:r>
    <w:r w:rsidRPr="00072C8B">
      <w:rPr>
        <w:rStyle w:val="SidhuvudUtskott"/>
      </w:rPr>
      <w:instrText xml:space="preserve">" </w:instrText>
    </w:r>
    <w:r w:rsidRPr="00072C8B">
      <w:rPr>
        <w:rStyle w:val="SidhuvudUtskott"/>
      </w:rPr>
      <w:fldChar w:fldCharType="end"/>
    </w:r>
    <w:r w:rsidRPr="00072C8B">
      <w:rPr>
        <w:rStyle w:val="SidhuvudUtskott"/>
      </w:rPr>
      <w:fldChar w:fldCharType="begin" w:fldLock="1"/>
    </w:r>
    <w:r w:rsidRPr="00072C8B">
      <w:rPr>
        <w:rStyle w:val="SidhuvudUtskott"/>
      </w:rPr>
      <w:instrText xml:space="preserve"> DOCPR</w:instrText>
    </w:r>
    <w:r w:rsidRPr="00072C8B">
      <w:rPr>
        <w:rStyle w:val="SidhuvudUtskott"/>
      </w:rPr>
      <w:instrText>O</w:instrText>
    </w:r>
    <w:r w:rsidRPr="00072C8B">
      <w:rPr>
        <w:rStyle w:val="SidhuvudUtskott"/>
      </w:rPr>
      <w:instrText>PERTY Status</w:instrText>
    </w:r>
    <w:r w:rsidRPr="00072C8B">
      <w:rPr>
        <w:rStyle w:val="SidhuvudUtskott"/>
      </w:rPr>
      <w:fldChar w:fldCharType="end"/>
    </w:r>
  </w:p>
  <w:p w:rsidR="00837E87" w:rsidRPr="00072C8B" w:rsidRDefault="00837E8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F5" w:rsidRPr="00072C8B" w:rsidRDefault="00F754F5">
    <w:pPr>
      <w:pStyle w:val="SidhuvudKantUdda"/>
      <w:framePr w:w="8732" w:h="567" w:hRule="exact" w:vSpace="0" w:wrap="around" w:vAnchor="page" w:y="341" w:anchorLock="0"/>
    </w:pPr>
    <w:r w:rsidRPr="00072C8B">
      <w:t xml:space="preserve">  </w:t>
    </w:r>
    <w:r w:rsidRPr="00072C8B">
      <w:rPr>
        <w:rStyle w:val="SidhuvudUtskott"/>
      </w:rPr>
      <w:t>2006/07:RRS3</w:t>
    </w:r>
  </w:p>
  <w:p w:rsidR="00837E87" w:rsidRPr="00072C8B" w:rsidRDefault="00837E87">
    <w:pPr>
      <w:pStyle w:val="SidhuvudKantUdda"/>
      <w:framePr w:w="8732" w:h="567" w:hRule="exact" w:vSpace="0" w:wrap="around" w:vAnchor="page" w:y="341" w:anchorLock="0"/>
    </w:pPr>
  </w:p>
  <w:p w:rsidR="00837E87" w:rsidRPr="00072C8B" w:rsidRDefault="00837E8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AA3"/>
    <w:multiLevelType w:val="hybridMultilevel"/>
    <w:tmpl w:val="438825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CA30C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AF71A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0366ED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06A35E0"/>
    <w:multiLevelType w:val="hybridMultilevel"/>
    <w:tmpl w:val="43B017E6"/>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8474FC"/>
    <w:multiLevelType w:val="hybridMultilevel"/>
    <w:tmpl w:val="4FD4CB8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D7A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ECD3B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A4F272C"/>
    <w:multiLevelType w:val="hybridMultilevel"/>
    <w:tmpl w:val="F4B0B7B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702E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6850E2B"/>
    <w:multiLevelType w:val="hybridMultilevel"/>
    <w:tmpl w:val="B4989CFE"/>
    <w:lvl w:ilvl="0" w:tplc="2490073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476215"/>
    <w:multiLevelType w:val="hybridMultilevel"/>
    <w:tmpl w:val="197AC89E"/>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74C5752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7152A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10798469">
    <w:abstractNumId w:val="3"/>
  </w:num>
  <w:num w:numId="2" w16cid:durableId="1690793097">
    <w:abstractNumId w:val="14"/>
  </w:num>
  <w:num w:numId="3" w16cid:durableId="1806005185">
    <w:abstractNumId w:val="1"/>
  </w:num>
  <w:num w:numId="4" w16cid:durableId="313606832">
    <w:abstractNumId w:val="17"/>
  </w:num>
  <w:num w:numId="5" w16cid:durableId="733815281">
    <w:abstractNumId w:val="0"/>
  </w:num>
  <w:num w:numId="6" w16cid:durableId="1692293172">
    <w:abstractNumId w:val="7"/>
  </w:num>
  <w:num w:numId="7" w16cid:durableId="266548877">
    <w:abstractNumId w:val="10"/>
  </w:num>
  <w:num w:numId="8" w16cid:durableId="36661789">
    <w:abstractNumId w:val="5"/>
  </w:num>
  <w:num w:numId="9" w16cid:durableId="497310646">
    <w:abstractNumId w:val="12"/>
  </w:num>
  <w:num w:numId="10" w16cid:durableId="280310107">
    <w:abstractNumId w:val="9"/>
  </w:num>
  <w:num w:numId="11" w16cid:durableId="1047027798">
    <w:abstractNumId w:val="11"/>
  </w:num>
  <w:num w:numId="12" w16cid:durableId="544634325">
    <w:abstractNumId w:val="8"/>
  </w:num>
  <w:num w:numId="13" w16cid:durableId="730928236">
    <w:abstractNumId w:val="15"/>
  </w:num>
  <w:num w:numId="14" w16cid:durableId="403449598">
    <w:abstractNumId w:val="4"/>
  </w:num>
  <w:num w:numId="15" w16cid:durableId="135413967">
    <w:abstractNumId w:val="2"/>
  </w:num>
  <w:num w:numId="16" w16cid:durableId="2001350845">
    <w:abstractNumId w:val="13"/>
  </w:num>
  <w:num w:numId="17" w16cid:durableId="1904824865">
    <w:abstractNumId w:val="16"/>
  </w:num>
  <w:num w:numId="18" w16cid:durableId="48382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E7566B"/>
    <w:rsid w:val="00003AE2"/>
    <w:rsid w:val="0000600B"/>
    <w:rsid w:val="00007428"/>
    <w:rsid w:val="000263BC"/>
    <w:rsid w:val="00034C8A"/>
    <w:rsid w:val="00037057"/>
    <w:rsid w:val="00046536"/>
    <w:rsid w:val="00053C1C"/>
    <w:rsid w:val="000638CE"/>
    <w:rsid w:val="00064B25"/>
    <w:rsid w:val="00066C1B"/>
    <w:rsid w:val="00072C8B"/>
    <w:rsid w:val="000827F1"/>
    <w:rsid w:val="00085AAC"/>
    <w:rsid w:val="000957ED"/>
    <w:rsid w:val="000C6E9C"/>
    <w:rsid w:val="00117653"/>
    <w:rsid w:val="001348B2"/>
    <w:rsid w:val="0015070C"/>
    <w:rsid w:val="001517B3"/>
    <w:rsid w:val="00164451"/>
    <w:rsid w:val="00175D91"/>
    <w:rsid w:val="00186660"/>
    <w:rsid w:val="0018737B"/>
    <w:rsid w:val="001E264E"/>
    <w:rsid w:val="0020634B"/>
    <w:rsid w:val="002069B8"/>
    <w:rsid w:val="00227AA9"/>
    <w:rsid w:val="00250D7B"/>
    <w:rsid w:val="002626DE"/>
    <w:rsid w:val="002A1381"/>
    <w:rsid w:val="002A653C"/>
    <w:rsid w:val="002B49D3"/>
    <w:rsid w:val="002E76A5"/>
    <w:rsid w:val="002F0A87"/>
    <w:rsid w:val="002F4D5B"/>
    <w:rsid w:val="00324036"/>
    <w:rsid w:val="003278A8"/>
    <w:rsid w:val="003473B6"/>
    <w:rsid w:val="0035524F"/>
    <w:rsid w:val="003668C4"/>
    <w:rsid w:val="003A5C6B"/>
    <w:rsid w:val="003A799F"/>
    <w:rsid w:val="003B4CCD"/>
    <w:rsid w:val="003D235D"/>
    <w:rsid w:val="003D79D8"/>
    <w:rsid w:val="003F1BC7"/>
    <w:rsid w:val="00400A6B"/>
    <w:rsid w:val="004036BE"/>
    <w:rsid w:val="004276FE"/>
    <w:rsid w:val="004341C1"/>
    <w:rsid w:val="0043658A"/>
    <w:rsid w:val="0046599C"/>
    <w:rsid w:val="00471647"/>
    <w:rsid w:val="004A2B3E"/>
    <w:rsid w:val="004B09C6"/>
    <w:rsid w:val="004C00AD"/>
    <w:rsid w:val="00502961"/>
    <w:rsid w:val="00503BFA"/>
    <w:rsid w:val="00512723"/>
    <w:rsid w:val="005141F1"/>
    <w:rsid w:val="00520C62"/>
    <w:rsid w:val="00550354"/>
    <w:rsid w:val="00581F47"/>
    <w:rsid w:val="005937E1"/>
    <w:rsid w:val="005A2C00"/>
    <w:rsid w:val="005E2860"/>
    <w:rsid w:val="00606830"/>
    <w:rsid w:val="00607C54"/>
    <w:rsid w:val="00625B0A"/>
    <w:rsid w:val="00640624"/>
    <w:rsid w:val="00640FD6"/>
    <w:rsid w:val="00646C78"/>
    <w:rsid w:val="00647003"/>
    <w:rsid w:val="00661755"/>
    <w:rsid w:val="006826BB"/>
    <w:rsid w:val="006957F6"/>
    <w:rsid w:val="006A2AED"/>
    <w:rsid w:val="006D0187"/>
    <w:rsid w:val="006D0EC0"/>
    <w:rsid w:val="00702903"/>
    <w:rsid w:val="00741127"/>
    <w:rsid w:val="00790A2F"/>
    <w:rsid w:val="007A624F"/>
    <w:rsid w:val="007B7B66"/>
    <w:rsid w:val="007C747E"/>
    <w:rsid w:val="007D58C9"/>
    <w:rsid w:val="007F12F1"/>
    <w:rsid w:val="007F1AAF"/>
    <w:rsid w:val="007F2C14"/>
    <w:rsid w:val="007F4DAF"/>
    <w:rsid w:val="00802DDF"/>
    <w:rsid w:val="00826B13"/>
    <w:rsid w:val="00830691"/>
    <w:rsid w:val="0083721E"/>
    <w:rsid w:val="00837E87"/>
    <w:rsid w:val="00853C16"/>
    <w:rsid w:val="008603A2"/>
    <w:rsid w:val="00870B23"/>
    <w:rsid w:val="008930BF"/>
    <w:rsid w:val="008A56B5"/>
    <w:rsid w:val="008B01C5"/>
    <w:rsid w:val="008B669E"/>
    <w:rsid w:val="009219CA"/>
    <w:rsid w:val="009223A3"/>
    <w:rsid w:val="00931551"/>
    <w:rsid w:val="00960A0E"/>
    <w:rsid w:val="00996C27"/>
    <w:rsid w:val="009A2E70"/>
    <w:rsid w:val="009B1212"/>
    <w:rsid w:val="009D14BA"/>
    <w:rsid w:val="00A062F9"/>
    <w:rsid w:val="00A4282A"/>
    <w:rsid w:val="00A44154"/>
    <w:rsid w:val="00A478F8"/>
    <w:rsid w:val="00A61F60"/>
    <w:rsid w:val="00A62EDD"/>
    <w:rsid w:val="00A636DA"/>
    <w:rsid w:val="00A660C7"/>
    <w:rsid w:val="00A743C4"/>
    <w:rsid w:val="00A855B0"/>
    <w:rsid w:val="00A97D17"/>
    <w:rsid w:val="00AA0020"/>
    <w:rsid w:val="00AB0EB1"/>
    <w:rsid w:val="00AC2082"/>
    <w:rsid w:val="00AF0924"/>
    <w:rsid w:val="00B06AF6"/>
    <w:rsid w:val="00B421DE"/>
    <w:rsid w:val="00B709AB"/>
    <w:rsid w:val="00BB46A6"/>
    <w:rsid w:val="00BB633D"/>
    <w:rsid w:val="00BD2506"/>
    <w:rsid w:val="00BE4B5C"/>
    <w:rsid w:val="00BF0F05"/>
    <w:rsid w:val="00BF26A9"/>
    <w:rsid w:val="00BF4551"/>
    <w:rsid w:val="00C1366D"/>
    <w:rsid w:val="00C359AA"/>
    <w:rsid w:val="00C40EAA"/>
    <w:rsid w:val="00C40F3E"/>
    <w:rsid w:val="00C415AD"/>
    <w:rsid w:val="00C55A3A"/>
    <w:rsid w:val="00C61DED"/>
    <w:rsid w:val="00C659B0"/>
    <w:rsid w:val="00C77076"/>
    <w:rsid w:val="00CA2234"/>
    <w:rsid w:val="00CA73F1"/>
    <w:rsid w:val="00CD347C"/>
    <w:rsid w:val="00CD42A5"/>
    <w:rsid w:val="00CF5FC4"/>
    <w:rsid w:val="00D10AB8"/>
    <w:rsid w:val="00D254E8"/>
    <w:rsid w:val="00D44C49"/>
    <w:rsid w:val="00D6608B"/>
    <w:rsid w:val="00D71888"/>
    <w:rsid w:val="00D91C8F"/>
    <w:rsid w:val="00DA65C5"/>
    <w:rsid w:val="00DB20B0"/>
    <w:rsid w:val="00DC26BF"/>
    <w:rsid w:val="00DC7B60"/>
    <w:rsid w:val="00DD2FCA"/>
    <w:rsid w:val="00DE4913"/>
    <w:rsid w:val="00DF250F"/>
    <w:rsid w:val="00E01DD4"/>
    <w:rsid w:val="00E11D93"/>
    <w:rsid w:val="00E1523A"/>
    <w:rsid w:val="00E20B02"/>
    <w:rsid w:val="00E442E6"/>
    <w:rsid w:val="00E46740"/>
    <w:rsid w:val="00E54510"/>
    <w:rsid w:val="00E7566B"/>
    <w:rsid w:val="00ED4EC6"/>
    <w:rsid w:val="00EE7CA1"/>
    <w:rsid w:val="00EF70BA"/>
    <w:rsid w:val="00F159E5"/>
    <w:rsid w:val="00F36E53"/>
    <w:rsid w:val="00F6246B"/>
    <w:rsid w:val="00F67A62"/>
    <w:rsid w:val="00F754F5"/>
    <w:rsid w:val="00F849C8"/>
    <w:rsid w:val="00F86441"/>
    <w:rsid w:val="00F8705C"/>
    <w:rsid w:val="00F94593"/>
    <w:rsid w:val="00FA0C3F"/>
    <w:rsid w:val="00FB0E32"/>
    <w:rsid w:val="00FC3F66"/>
    <w:rsid w:val="00FE4F32"/>
    <w:rsid w:val="00FF0D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00B1AF5C-6410-4A4A-B5C0-0483FB0B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table" w:styleId="Moderntabell">
    <w:name w:val="Table Contemporary"/>
    <w:basedOn w:val="Normaltabell"/>
    <w:rsid w:val="008930B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fotnotstext10">
    <w:name w:val="fotnotstext 10"/>
    <w:basedOn w:val="Normal"/>
    <w:rsid w:val="008930BF"/>
    <w:pPr>
      <w:spacing w:before="0" w:line="240" w:lineRule="auto"/>
      <w:jc w:val="lef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3218</Words>
  <Characters>20021</Characters>
  <Application>Microsoft Office Word</Application>
  <DocSecurity>4</DocSecurity>
  <Lines>500</Lines>
  <Paragraphs>255</Paragraphs>
  <ScaleCrop>false</ScaleCrop>
  <HeadingPairs>
    <vt:vector size="4" baseType="variant">
      <vt:variant>
        <vt:lpstr>Rubrik</vt:lpstr>
      </vt:variant>
      <vt:variant>
        <vt:i4>1</vt:i4>
      </vt:variant>
      <vt:variant>
        <vt:lpstr>Rubriker</vt:lpstr>
      </vt:variant>
      <vt:variant>
        <vt:i4>22</vt:i4>
      </vt:variant>
    </vt:vector>
  </HeadingPairs>
  <TitlesOfParts>
    <vt:vector size="23" baseType="lpstr">
      <vt:lpstr>1999/2000:T1</vt:lpstr>
      <vt:lpstr>Sammanfattning</vt:lpstr>
      <vt:lpstr>Innehållsförteckning</vt:lpstr>
      <vt:lpstr>Styrelsens redogörelse</vt:lpstr>
      <vt:lpstr>Riksrevisionens granskning</vt:lpstr>
      <vt:lpstr>    De statliga bolagen</vt:lpstr>
      <vt:lpstr>    Granskningens motiv och inriktning</vt:lpstr>
      <vt:lpstr>        Tidigare granskningar visar otydlig styrning</vt:lpstr>
      <vt:lpstr>        Granskningens syfte och utgångspunkter</vt:lpstr>
      <vt:lpstr>        Aktiebolagslagen </vt:lpstr>
      <vt:lpstr>        Regeringens och riksdagens syn på styrningen </vt:lpstr>
      <vt:lpstr>    Två typer av bolag </vt:lpstr>
      <vt:lpstr>        Företag med särskilda samhällsintressen (S-bolag)</vt:lpstr>
      <vt:lpstr>        Företag med marknadsmässiga krav (M-bolag)</vt:lpstr>
      <vt:lpstr>    Iakttagelser och slutsatser</vt:lpstr>
      <vt:lpstr>        Betydande variationer i vilka styrdokument som används</vt:lpstr>
      <vt:lpstr>        Bolagens samhällsuppdrag är sällan konkreta i styrdokumenten</vt:lpstr>
      <vt:lpstr>        Styrdokument – förutom bolagsordningen – har normalt inte beslutats av bolagsstä</vt:lpstr>
      <vt:lpstr>        Riksrevisionens sammanfattande bedömning</vt:lpstr>
      <vt:lpstr>    Riksrevisionens rekommendationer</vt:lpstr>
      <vt:lpstr>        Rekommendationer riktade till regeringen </vt:lpstr>
      <vt:lpstr>        Rekommendationer riktade till bolagens styrelser</vt:lpstr>
      <vt:lpstr>Styrelsens överväganden</vt:lpstr>
    </vt:vector>
  </TitlesOfParts>
  <Company>Riksdagen</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2006-09-29T11:40:00Z</cp:lastPrinted>
  <dcterms:created xsi:type="dcterms:W3CDTF">2025-12-17T03:03:00Z</dcterms:created>
  <dcterms:modified xsi:type="dcterms:W3CDTF">2025-12-17T03:03:00Z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