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ECE" w:rsidRPr="00E5162C" w:rsidRDefault="00485ECE">
      <w:pPr>
        <w:pStyle w:val="Hemstlrubrik"/>
      </w:pPr>
      <w:r w:rsidRPr="00E5162C">
        <w:t>Förslag till riksdagsbeslut</w:t>
      </w:r>
    </w:p>
    <w:p w:rsidR="00485ECE" w:rsidRPr="00E5162C" w:rsidRDefault="00485ECE">
      <w:pPr>
        <w:pStyle w:val="Hemstlatt"/>
        <w:ind w:left="0"/>
      </w:pPr>
      <w:r w:rsidRPr="00E5162C">
        <w:t>Riksdagen tillkännager för regeringen som sin mening vad som anförs i motionen om att en nationell handlingsplan för förebygga</w:t>
      </w:r>
      <w:r w:rsidRPr="00E5162C">
        <w:t>n</w:t>
      </w:r>
      <w:r w:rsidRPr="00E5162C">
        <w:t>de och behandling av frakturer på grund av osteoporos upprä</w:t>
      </w:r>
      <w:r w:rsidRPr="00E5162C">
        <w:t>t</w:t>
      </w:r>
      <w:r w:rsidRPr="00E5162C">
        <w:t>tas.</w:t>
      </w:r>
    </w:p>
    <w:p w:rsidR="00485ECE" w:rsidRPr="00E5162C" w:rsidRDefault="00485ECE">
      <w:pPr>
        <w:pStyle w:val="Rubrik1"/>
      </w:pPr>
      <w:r w:rsidRPr="00E5162C">
        <w:t>Motivering</w:t>
      </w:r>
    </w:p>
    <w:p w:rsidR="00485ECE" w:rsidRPr="00E5162C" w:rsidRDefault="00485ECE">
      <w:r w:rsidRPr="00E5162C">
        <w:t>Osteoporos – benskörhet – är en av vår tids stora folksjukdomar. Antalet benskörhetsfrakturer har ökat dramatiskt under de senaste decennierna och beräknas nu uppgå till närmare 100 000 per år. Därmed hör Sverige till de länder som ligger högst i frakturstatistiken. Särskilt utsatta är medelålders och äldre kvinnor, men aktuell forskning visar att också män löper betydande och ökande risk att få benskörhetsfrakturer. Med alltfler äldre och äldreäldre i befolkningen beräknas antalet frakturer öka än mer.</w:t>
      </w:r>
    </w:p>
    <w:p w:rsidR="00485ECE" w:rsidRPr="00E5162C" w:rsidRDefault="00485ECE">
      <w:pPr>
        <w:pStyle w:val="Normaltindrag"/>
      </w:pPr>
      <w:r w:rsidRPr="00E5162C">
        <w:t>Osteoporosfrakturer leder till försämrad hälsa och reducerad livskvalitet hos patienterna. Dödligheten är betydande. Den årliga samhällsrelevanta kostnaden för osteoporosrelaterade frakturer i Sverige beräknas till 4,6 mi</w:t>
      </w:r>
      <w:r w:rsidRPr="00E5162C">
        <w:t>l</w:t>
      </w:r>
      <w:r w:rsidRPr="00E5162C">
        <w:t>jarder kronor. Denna siffra utgör emellertid en underskattning då den endast inkluderar kostnader relaterade till höft-, kot- och handledsfrakturer och e</w:t>
      </w:r>
      <w:r w:rsidRPr="00E5162C">
        <w:t>n</w:t>
      </w:r>
      <w:r w:rsidRPr="00E5162C">
        <w:t>dast omfattar det första året efter fraktur. Därutöver kan värdet av den förlust av livskvalitet (Qualy) som frakturerna orsakar uppskattas till 2–5,9 miljarder kronor per år. Belastningen på sjukvården, äldreomsorgen och anhöriga är mycket stor.</w:t>
      </w:r>
    </w:p>
    <w:p w:rsidR="00485ECE" w:rsidRPr="00E5162C" w:rsidRDefault="00485ECE">
      <w:pPr>
        <w:pStyle w:val="Normaltindrag"/>
      </w:pPr>
      <w:r w:rsidRPr="00E5162C">
        <w:t>Osteoporos har funnits sedan urminnes tider och har av tradition förkni</w:t>
      </w:r>
      <w:r w:rsidRPr="00E5162C">
        <w:t>p</w:t>
      </w:r>
      <w:r w:rsidRPr="00E5162C">
        <w:t>pats med kvinnor, framför allt äldre kvinnor. Det är förmodligen inte särskilt kontroversiellt att anta att just detta är orsaken till att sjukdomen har up</w:t>
      </w:r>
      <w:r w:rsidRPr="00E5162C">
        <w:t>p</w:t>
      </w:r>
      <w:r w:rsidRPr="00E5162C">
        <w:t>märksammats först i vår tid och att den fortfarande har låg status. Som b</w:t>
      </w:r>
      <w:r w:rsidRPr="00E5162C">
        <w:t>e</w:t>
      </w:r>
      <w:r w:rsidRPr="00E5162C">
        <w:t xml:space="preserve">handlingsbar sjukdom är dock osteoporos tämligen ny och kunskaperna hos </w:t>
      </w:r>
      <w:r w:rsidRPr="00E5162C">
        <w:lastRenderedPageBreak/>
        <w:t>läkarkåren lämnar mycket övrigt att önska. Förutom genusaspekten är bristande kunskap och engagemang förklaringen till att osteoporos fortfarande är gravt underdiagnostiserad och underbehandlad. Senare års for</w:t>
      </w:r>
      <w:r w:rsidRPr="00E5162C">
        <w:t>skning visar emellertid att också osteoporos hos män är ett växande problem som kommer att ta allt större vårdresurser i anspråk inte bara i Sverige. Enligt WHO sker den snabbaste ökningen av osteoporos i tredje världen.</w:t>
      </w:r>
    </w:p>
    <w:p w:rsidR="00485ECE" w:rsidRPr="00E5162C" w:rsidRDefault="00485ECE">
      <w:pPr>
        <w:pStyle w:val="Normaltindrag"/>
      </w:pPr>
      <w:r w:rsidRPr="00E5162C">
        <w:t>Ålder är i sig en av många riskfaktorer för fraktur. För flertalet frakturer ökar incidensen exponentiellt med en fördubbling cirka vart femte levnadsår efter 40-årsåldern. Välfärdssamhället och den moderna medicinen har också ändrat sjukdomspanoramat. I och med att man kan behandla kronisk</w:t>
      </w:r>
      <w:r w:rsidRPr="00E5162C">
        <w:t>a och akuta sjukdomar har skelett och leder i en allt större omfattning blivit en b</w:t>
      </w:r>
      <w:r w:rsidRPr="00E5162C">
        <w:t>e</w:t>
      </w:r>
      <w:r w:rsidRPr="00E5162C">
        <w:t>gränsande faktor vad gäller funktion och livskvalitet.</w:t>
      </w:r>
    </w:p>
    <w:p w:rsidR="00485ECE" w:rsidRPr="00E5162C" w:rsidRDefault="00485ECE">
      <w:pPr>
        <w:pStyle w:val="Normaltindrag"/>
      </w:pPr>
      <w:r w:rsidRPr="00E5162C">
        <w:t>På senare tid har livsstilsfaktorer uppmärksammats alltmer liksom fallpr</w:t>
      </w:r>
      <w:r w:rsidRPr="00E5162C">
        <w:t>o</w:t>
      </w:r>
      <w:r w:rsidRPr="00E5162C">
        <w:t>fylax. Detta är viktigt ur många aspekter. Eventuella effekter på frakturfr</w:t>
      </w:r>
      <w:r w:rsidRPr="00E5162C">
        <w:t>e</w:t>
      </w:r>
      <w:r w:rsidRPr="00E5162C">
        <w:t>kvensen kommer emellertid inte att kunna avläsas under överskådlig tid. Det löser inte dagens och de närmaste decenniernas problem för osteoporospatie</w:t>
      </w:r>
      <w:r w:rsidRPr="00E5162C">
        <w:t>n</w:t>
      </w:r>
      <w:r w:rsidRPr="00E5162C">
        <w:t>terna och deras anhöriga, för sjukvården och äldreomsorgen.</w:t>
      </w:r>
    </w:p>
    <w:p w:rsidR="00485ECE" w:rsidRPr="00E5162C" w:rsidRDefault="00485ECE">
      <w:pPr>
        <w:pStyle w:val="Normaltindrag"/>
      </w:pPr>
      <w:r w:rsidRPr="00E5162C">
        <w:t>Det är nödvändigt att såväl kvinnor som män med osteoporos eller i ris</w:t>
      </w:r>
      <w:r w:rsidRPr="00E5162C">
        <w:t>k</w:t>
      </w:r>
      <w:r w:rsidRPr="00E5162C">
        <w:t>zonen för osteoporosrelaterade frakturer får relevant omhändertagande och behandling.</w:t>
      </w:r>
    </w:p>
    <w:p w:rsidR="00485ECE" w:rsidRPr="00E5162C" w:rsidRDefault="00485ECE">
      <w:pPr>
        <w:pStyle w:val="Normaltindrag"/>
      </w:pPr>
      <w:r w:rsidRPr="00E5162C">
        <w:t>På samma sätt som en patient med stroke eller hjärtinfarkt får ett profe</w:t>
      </w:r>
      <w:r w:rsidRPr="00E5162C">
        <w:t>s</w:t>
      </w:r>
      <w:r w:rsidRPr="00E5162C">
        <w:t>sionellt omhändertagande måste också frakturpatienterna få ett professionellt omhändertagande inom sjukvården. Fragilitetsfrakturer är en av de starkaste riskfaktorerna för att få fler frakturer med en riskökning på 2–10 gånger eller mer. Trots att höftfrakturer i fråga om dödlighet och funktionsnedsättning väl är jämförbara med hjärtinfarkt och stroke och trots att vården av fragilitet</w:t>
      </w:r>
      <w:r w:rsidRPr="00E5162C">
        <w:t>s</w:t>
      </w:r>
      <w:r w:rsidRPr="00E5162C">
        <w:t>frakturer är en av de dyraste diagnoserna, skickas frakturpatienterna efter operation och sjukhusvistelse i det övervägan</w:t>
      </w:r>
      <w:r w:rsidRPr="00E5162C">
        <w:t>de antalet fall hem utan någon vidare utredning och behandling. Likaså skickas patienter med till exempel handledsfraktur hem efter gipsning utan vidare utredning. Patienter med ko</w:t>
      </w:r>
      <w:r w:rsidRPr="00E5162C">
        <w:t>t</w:t>
      </w:r>
      <w:r w:rsidRPr="00E5162C">
        <w:t>frakturer avskrivs med ett recept på smärtstillande medel mot ”ont i ryggen”.</w:t>
      </w:r>
    </w:p>
    <w:p w:rsidR="00485ECE" w:rsidRPr="00E5162C" w:rsidRDefault="00485ECE">
      <w:pPr>
        <w:pStyle w:val="Normaltindrag"/>
      </w:pPr>
      <w:r w:rsidRPr="00E5162C">
        <w:t>Fragilitetsfrakturer kan ha många inbördes olika orsaker. Patienterna åte</w:t>
      </w:r>
      <w:r w:rsidRPr="00E5162C">
        <w:t>r</w:t>
      </w:r>
      <w:r w:rsidRPr="00E5162C">
        <w:t>finns såväl inom primärvården som inom ortopedin och en lång rad andra specialiteter inom sjukvården. Det finns ingen instans som har det öve</w:t>
      </w:r>
      <w:r w:rsidRPr="00E5162C">
        <w:t>r</w:t>
      </w:r>
      <w:r w:rsidRPr="00E5162C">
        <w:t>gripande ansvaret. Ingen instans känner sig med automatik ansvarig för i</w:t>
      </w:r>
      <w:r w:rsidRPr="00E5162C">
        <w:t>m</w:t>
      </w:r>
      <w:r w:rsidRPr="00E5162C">
        <w:t>plementeringen av till exempel rekommendationer från SBU. Problemets komplexitet leder till att också sjukvårdshuvudmännen har svårt att hantera det på ett rationellt sätt. I andra länder, till exempel Storbritannien, har en nationell handlingsplan för att hantera problematiken antagits. En såda</w:t>
      </w:r>
      <w:r w:rsidRPr="00E5162C">
        <w:t>n krävs också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62C">
        <w:trPr>
          <w:cantSplit/>
        </w:trPr>
        <w:tc>
          <w:tcPr>
            <w:tcW w:w="3046" w:type="dxa"/>
          </w:tcPr>
          <w:p w:rsidR="00485ECE" w:rsidRPr="00E5162C" w:rsidRDefault="00485ECE">
            <w:pPr>
              <w:pStyle w:val="UnderskriftDatum"/>
              <w:spacing w:before="240"/>
            </w:pPr>
            <w:r w:rsidRPr="00E5162C">
              <w:t>Stockholm den 26 september 2007</w:t>
            </w:r>
          </w:p>
        </w:tc>
        <w:tc>
          <w:tcPr>
            <w:tcW w:w="3047" w:type="dxa"/>
          </w:tcPr>
          <w:p w:rsidR="00485ECE" w:rsidRPr="00E5162C" w:rsidRDefault="00485ECE">
            <w:pPr>
              <w:pStyle w:val="Underskrifter"/>
              <w:spacing w:before="240"/>
            </w:pPr>
          </w:p>
        </w:tc>
      </w:tr>
      <w:tr w:rsidR="00000000" w:rsidRPr="00E5162C">
        <w:trPr>
          <w:cantSplit/>
        </w:trPr>
        <w:tc>
          <w:tcPr>
            <w:tcW w:w="3046" w:type="dxa"/>
          </w:tcPr>
          <w:p w:rsidR="00485ECE" w:rsidRPr="00E5162C" w:rsidRDefault="00485ECE">
            <w:pPr>
              <w:pStyle w:val="Underskrifter"/>
            </w:pPr>
            <w:r w:rsidRPr="00E5162C">
              <w:t>Bertil Kjellberg (m)</w:t>
            </w:r>
          </w:p>
        </w:tc>
        <w:tc>
          <w:tcPr>
            <w:tcW w:w="3046" w:type="dxa"/>
          </w:tcPr>
          <w:p w:rsidR="00485ECE" w:rsidRPr="00E5162C" w:rsidRDefault="00485ECE">
            <w:pPr>
              <w:pStyle w:val="Underskrifter"/>
            </w:pPr>
            <w:r w:rsidRPr="00E5162C">
              <w:t>Lena Asplund (m)</w:t>
            </w:r>
          </w:p>
        </w:tc>
      </w:tr>
    </w:tbl>
    <w:p w:rsidR="00485ECE" w:rsidRPr="00E5162C" w:rsidRDefault="00485ECE">
      <w:pPr>
        <w:pStyle w:val="Normaltindrag"/>
      </w:pPr>
    </w:p>
    <w:sectPr w:rsidR="00485ECE" w:rsidRPr="00E516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ECE" w:rsidRPr="00E5162C" w:rsidRDefault="00485ECE">
      <w:r w:rsidRPr="00E5162C">
        <w:separator/>
      </w:r>
    </w:p>
  </w:endnote>
  <w:endnote w:type="continuationSeparator" w:id="0">
    <w:p w:rsidR="00485ECE" w:rsidRPr="00E5162C" w:rsidRDefault="00485ECE">
      <w:r w:rsidRPr="00E5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E5162C">
    <w:pPr>
      <w:pStyle w:val="Sidfot"/>
    </w:pPr>
    <w:r w:rsidRPr="00E51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0430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E" w:rsidRDefault="00485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ECE" w:rsidRDefault="00485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E5162C">
    <w:pPr>
      <w:pStyle w:val="Sidfot"/>
    </w:pPr>
    <w:r w:rsidRPr="00E51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588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E" w:rsidRDefault="00485E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ECE" w:rsidRDefault="00485E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E5162C">
    <w:pPr>
      <w:pStyle w:val="Sidfot"/>
    </w:pPr>
    <w:r w:rsidRPr="00E51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502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E" w:rsidRDefault="00485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ECE" w:rsidRDefault="00485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ECE" w:rsidRPr="00E5162C" w:rsidRDefault="00485ECE">
      <w:r w:rsidRPr="00E5162C">
        <w:separator/>
      </w:r>
    </w:p>
  </w:footnote>
  <w:footnote w:type="continuationSeparator" w:id="0">
    <w:p w:rsidR="00485ECE" w:rsidRPr="00E5162C" w:rsidRDefault="00485ECE">
      <w:r w:rsidRPr="00E5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E5162C">
    <w:pPr>
      <w:pStyle w:val="Sidhuvud"/>
    </w:pPr>
    <w:r w:rsidRPr="00E51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36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E" w:rsidRDefault="00485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ECE" w:rsidRDefault="00485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E5162C">
    <w:pPr>
      <w:pStyle w:val="Sidhuvud"/>
    </w:pPr>
    <w:r w:rsidRPr="00E51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510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E" w:rsidRDefault="00485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ECE" w:rsidRDefault="00485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E" w:rsidRPr="00E5162C" w:rsidRDefault="00485ECE">
    <w:pPr>
      <w:pStyle w:val="FSHNormal"/>
      <w:tabs>
        <w:tab w:val="right" w:pos="5840"/>
      </w:tabs>
    </w:pPr>
    <w:r w:rsidRPr="00E5162C">
      <w:br/>
    </w:r>
    <w:r w:rsidRPr="00E5162C">
      <w:fldChar w:fldCharType="begin" w:fldLock="1"/>
    </w:r>
    <w:r w:rsidRPr="00E5162C">
      <w:instrText xml:space="preserve"> DOCPROPERTY</w:instrText>
    </w:r>
    <w:r w:rsidRPr="00E5162C">
      <w:rPr>
        <w:sz w:val="18"/>
      </w:rPr>
      <w:instrText xml:space="preserve"> "YearUser" *\charformat </w:instrText>
    </w:r>
    <w:r w:rsidRPr="00E5162C">
      <w:fldChar w:fldCharType="separate"/>
    </w:r>
    <w:r w:rsidRPr="00E5162C">
      <w:t>2007/08</w:t>
    </w:r>
    <w:r w:rsidRPr="00E5162C">
      <w:fldChar w:fldCharType="end"/>
    </w:r>
    <w:r w:rsidRPr="00E5162C">
      <w:t xml:space="preserve"> </w:t>
    </w:r>
    <w:r w:rsidRPr="00E5162C">
      <w:tab/>
      <w:t xml:space="preserve">mnr: </w:t>
    </w:r>
    <w:r w:rsidRPr="00E5162C">
      <w:fldChar w:fldCharType="begin" w:fldLock="1"/>
    </w:r>
    <w:r w:rsidRPr="00E5162C">
      <w:instrText xml:space="preserve"> DOCPROPERTY</w:instrText>
    </w:r>
    <w:r w:rsidRPr="00E5162C">
      <w:rPr>
        <w:sz w:val="18"/>
      </w:rPr>
      <w:instrText xml:space="preserve"> "Motionsnummer" *\charformat </w:instrText>
    </w:r>
    <w:r w:rsidRPr="00E5162C">
      <w:fldChar w:fldCharType="separate"/>
    </w:r>
    <w:r w:rsidRPr="00E5162C">
      <w:t>So291</w:t>
    </w:r>
    <w:r w:rsidRPr="00E5162C">
      <w:fldChar w:fldCharType="end"/>
    </w:r>
    <w:r w:rsidRPr="00E5162C">
      <w:br/>
    </w:r>
    <w:r w:rsidRPr="00E5162C">
      <w:fldChar w:fldCharType="begin" w:fldLock="1"/>
    </w:r>
    <w:r w:rsidRPr="00E5162C">
      <w:instrText xml:space="preserve"> DOCPROPERTY</w:instrText>
    </w:r>
    <w:r w:rsidRPr="00E5162C">
      <w:rPr>
        <w:sz w:val="18"/>
      </w:rPr>
      <w:instrText xml:space="preserve"> "Samling" *\charformat </w:instrText>
    </w:r>
    <w:r w:rsidRPr="00E5162C">
      <w:fldChar w:fldCharType="end"/>
    </w:r>
    <w:r w:rsidRPr="00E5162C">
      <w:tab/>
      <w:t xml:space="preserve">pnr: </w:t>
    </w:r>
    <w:r w:rsidRPr="00E5162C">
      <w:fldChar w:fldCharType="begin" w:fldLock="1"/>
    </w:r>
    <w:r w:rsidRPr="00E5162C">
      <w:instrText xml:space="preserve"> DOCPROPERTY</w:instrText>
    </w:r>
    <w:r w:rsidRPr="00E5162C">
      <w:rPr>
        <w:sz w:val="18"/>
      </w:rPr>
      <w:instrText xml:space="preserve"> "Partinummer" *\charformat </w:instrText>
    </w:r>
    <w:r w:rsidRPr="00E5162C">
      <w:fldChar w:fldCharType="separate"/>
    </w:r>
    <w:r w:rsidRPr="00E5162C">
      <w:t>m1144</w:t>
    </w:r>
    <w:r w:rsidRPr="00E5162C">
      <w:fldChar w:fldCharType="end"/>
    </w:r>
  </w:p>
  <w:p w:rsidR="00485ECE" w:rsidRPr="00E5162C" w:rsidRDefault="00485ECE">
    <w:pPr>
      <w:pStyle w:val="FSHRub1"/>
    </w:pPr>
    <w:r w:rsidRPr="00E5162C">
      <w:t>Motion till riksdagen</w:t>
    </w:r>
    <w:r w:rsidRPr="00E5162C">
      <w:br/>
    </w:r>
    <w:r w:rsidRPr="00E5162C">
      <w:fldChar w:fldCharType="begin" w:fldLock="1"/>
    </w:r>
    <w:r w:rsidRPr="00E5162C">
      <w:instrText xml:space="preserve"> DOCPROPERTY "YearUser" *\charformat </w:instrText>
    </w:r>
    <w:r w:rsidRPr="00E5162C">
      <w:fldChar w:fldCharType="separate"/>
    </w:r>
    <w:r w:rsidRPr="00E5162C">
      <w:t>2007/08</w:t>
    </w:r>
    <w:r w:rsidRPr="00E5162C">
      <w:fldChar w:fldCharType="end"/>
    </w:r>
    <w:r w:rsidRPr="00E5162C">
      <w:t>:</w:t>
    </w:r>
    <w:r w:rsidRPr="00E5162C">
      <w:fldChar w:fldCharType="begin" w:fldLock="1"/>
    </w:r>
    <w:r w:rsidRPr="00E5162C">
      <w:instrText xml:space="preserve"> DOCPROPERTY "Motionsnummer" *\charformat </w:instrText>
    </w:r>
    <w:r w:rsidRPr="00E5162C">
      <w:fldChar w:fldCharType="separate"/>
    </w:r>
    <w:r w:rsidRPr="00E5162C">
      <w:t>So291</w:t>
    </w:r>
    <w:r w:rsidRPr="00E5162C">
      <w:fldChar w:fldCharType="end"/>
    </w:r>
  </w:p>
  <w:p w:rsidR="00485ECE" w:rsidRPr="00E5162C" w:rsidRDefault="00485ECE">
    <w:pPr>
      <w:pStyle w:val="FSHNormalS5"/>
    </w:pPr>
    <w:r w:rsidRPr="00E5162C">
      <w:fldChar w:fldCharType="begin" w:fldLock="1"/>
    </w:r>
    <w:r w:rsidRPr="00E5162C">
      <w:instrText xml:space="preserve"> DOCPROPERTY "MotionarText" *\charformat </w:instrText>
    </w:r>
    <w:r w:rsidRPr="00E5162C">
      <w:fldChar w:fldCharType="separate"/>
    </w:r>
    <w:r w:rsidRPr="00E5162C">
      <w:t>av Bertil Kjellberg och Lena Asplund (m)</w:t>
    </w:r>
    <w:r w:rsidRPr="00E5162C">
      <w:fldChar w:fldCharType="end"/>
    </w:r>
    <w:r w:rsidRPr="00E5162C">
      <w:br/>
    </w:r>
    <w:r w:rsidRPr="00E5162C">
      <w:fldChar w:fldCharType="begin" w:fldLock="1"/>
    </w:r>
    <w:r w:rsidRPr="00E5162C">
      <w:instrText xml:space="preserve"> DOCPROPERTY "SvarFrasKort" *\charformat </w:instrText>
    </w:r>
    <w:r w:rsidRPr="00E5162C">
      <w:fldChar w:fldCharType="end"/>
    </w:r>
  </w:p>
  <w:p w:rsidR="00485ECE" w:rsidRPr="00E5162C" w:rsidRDefault="00485ECE">
    <w:pPr>
      <w:pStyle w:val="FSHTitel"/>
    </w:pPr>
    <w:r w:rsidRPr="00E5162C">
      <w:fldChar w:fldCharType="begin" w:fldLock="1"/>
    </w:r>
    <w:r w:rsidRPr="00E5162C">
      <w:instrText xml:space="preserve"> DOCPROPERTY</w:instrText>
    </w:r>
    <w:r w:rsidRPr="00E5162C">
      <w:rPr>
        <w:sz w:val="18"/>
      </w:rPr>
      <w:instrText xml:space="preserve"> "RubrikSvar" *\charformat </w:instrText>
    </w:r>
    <w:r w:rsidRPr="00E5162C">
      <w:fldChar w:fldCharType="separate"/>
    </w:r>
    <w:r w:rsidRPr="00E5162C">
      <w:t>Nationell handlingsplan för osteoporos</w:t>
    </w:r>
    <w:r w:rsidRPr="00E5162C">
      <w:fldChar w:fldCharType="end"/>
    </w:r>
  </w:p>
  <w:p w:rsidR="00485ECE" w:rsidRPr="00E5162C" w:rsidRDefault="00485ECE">
    <w:pPr>
      <w:pStyle w:val="Normal00"/>
    </w:pPr>
  </w:p>
  <w:p w:rsidR="00485ECE" w:rsidRPr="00E5162C" w:rsidRDefault="00485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1855387">
    <w:abstractNumId w:val="8"/>
  </w:num>
  <w:num w:numId="2" w16cid:durableId="1635866466">
    <w:abstractNumId w:val="9"/>
  </w:num>
  <w:num w:numId="3" w16cid:durableId="569115742">
    <w:abstractNumId w:val="8"/>
  </w:num>
  <w:num w:numId="4" w16cid:durableId="1074618751">
    <w:abstractNumId w:val="9"/>
  </w:num>
  <w:num w:numId="5" w16cid:durableId="179777344">
    <w:abstractNumId w:val="13"/>
  </w:num>
  <w:num w:numId="6" w16cid:durableId="1850874501">
    <w:abstractNumId w:val="10"/>
  </w:num>
  <w:num w:numId="7" w16cid:durableId="209339853">
    <w:abstractNumId w:val="11"/>
  </w:num>
  <w:num w:numId="8" w16cid:durableId="481195518">
    <w:abstractNumId w:val="12"/>
  </w:num>
  <w:num w:numId="9" w16cid:durableId="1520044505">
    <w:abstractNumId w:val="8"/>
  </w:num>
  <w:num w:numId="10" w16cid:durableId="1955479092">
    <w:abstractNumId w:val="3"/>
  </w:num>
  <w:num w:numId="11" w16cid:durableId="335764675">
    <w:abstractNumId w:val="2"/>
  </w:num>
  <w:num w:numId="12" w16cid:durableId="1795831225">
    <w:abstractNumId w:val="1"/>
  </w:num>
  <w:num w:numId="13" w16cid:durableId="721753383">
    <w:abstractNumId w:val="0"/>
  </w:num>
  <w:num w:numId="14" w16cid:durableId="574321663">
    <w:abstractNumId w:val="9"/>
  </w:num>
  <w:num w:numId="15" w16cid:durableId="1019048013">
    <w:abstractNumId w:val="7"/>
  </w:num>
  <w:num w:numId="16" w16cid:durableId="2035381377">
    <w:abstractNumId w:val="6"/>
  </w:num>
  <w:num w:numId="17" w16cid:durableId="1357464749">
    <w:abstractNumId w:val="5"/>
  </w:num>
  <w:num w:numId="18" w16cid:durableId="137981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B669DA6-8331-4502-A69D-35CDA403EA57},{B9E69113-882E-49D7-BAF1-5ADFC5FC3664}"/>
  </w:docVars>
  <w:rsids>
    <w:rsidRoot w:val="00B3415F"/>
    <w:rsid w:val="00485ECE"/>
    <w:rsid w:val="00B3415F"/>
    <w:rsid w:val="00E516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764CF5-CA7F-46A2-91B5-E11033A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6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3993</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TKG-ktrl, MSMQ4mb, PersReg-Distribution mm</dc:description>
  <cp:lastModifiedBy>Lars Brink</cp:lastModifiedBy>
  <cp:revision>2</cp:revision>
  <cp:lastPrinted>2007-11-04T12:59:00Z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handlingsplan för osteoporos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osteoporos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20072008000000000109000011440069</vt:lpwstr>
  </property>
  <property fmtid="{D5CDD505-2E9C-101B-9397-08002B2CF9AE}" pid="47" name="datum">
    <vt:lpwstr>070926</vt:lpwstr>
  </property>
  <property fmtid="{D5CDD505-2E9C-101B-9397-08002B2CF9AE}" pid="48" name="avsändar-e-post">
    <vt:lpwstr>henrik.wall@riksdagen.se</vt:lpwstr>
  </property>
  <property fmtid="{D5CDD505-2E9C-101B-9397-08002B2CF9AE}" pid="49" name="id">
    <vt:lpwstr>20072008000000000109000011440069</vt:lpwstr>
  </property>
  <property fmtid="{D5CDD505-2E9C-101B-9397-08002B2CF9AE}" pid="50" name="nummer">
    <vt:lpwstr>291</vt:lpwstr>
  </property>
  <property fmtid="{D5CDD505-2E9C-101B-9397-08002B2CF9AE}" pid="51" name="utskottsbeteckning">
    <vt:lpwstr>So</vt:lpwstr>
  </property>
  <property fmtid="{D5CDD505-2E9C-101B-9397-08002B2CF9AE}" pid="52" name="GlobalUID">
    <vt:lpwstr>{C8652999-8401-4692-BF82-E64F93453208}</vt:lpwstr>
  </property>
  <property fmtid="{D5CDD505-2E9C-101B-9397-08002B2CF9AE}" pid="53" name="Överföringar">
    <vt:i4>0</vt:i4>
  </property>
  <property fmtid="{D5CDD505-2E9C-101B-9397-08002B2CF9AE}" pid="54" name="Checksum">
    <vt:lpwstr>*0015472956694*</vt:lpwstr>
  </property>
  <property fmtid="{D5CDD505-2E9C-101B-9397-08002B2CF9AE}" pid="55" name="skuggnummer">
    <vt:lpwstr>745</vt:lpwstr>
  </property>
  <property fmtid="{D5CDD505-2E9C-101B-9397-08002B2CF9AE}" pid="56" name="urixVersion">
    <vt:lpwstr>3.2.0.8</vt:lpwstr>
  </property>
  <property fmtid="{D5CDD505-2E9C-101B-9397-08002B2CF9AE}" pid="57" name="urixOrigin">
    <vt:lpwstr>071104 13:59:49.222</vt:lpwstr>
  </property>
  <property fmtid="{D5CDD505-2E9C-101B-9397-08002B2CF9AE}" pid="58" name="urixGuid">
    <vt:lpwstr>{72043EF6-F27F-4DFB-9B4A-C2DDDBA8B19C}</vt:lpwstr>
  </property>
</Properties>
</file>