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97A7272BBC459F868F24491A5EC5AA"/>
        </w:placeholder>
        <w:text/>
      </w:sdtPr>
      <w:sdtEndPr/>
      <w:sdtContent>
        <w:p w:rsidRPr="009B062B" w:rsidR="00AF30DD" w:rsidP="00DA28CE" w:rsidRDefault="00AF30DD" w14:paraId="2ECAC94D" w14:textId="77777777">
          <w:pPr>
            <w:pStyle w:val="Rubrik1"/>
            <w:spacing w:after="300"/>
          </w:pPr>
          <w:r w:rsidRPr="009B062B">
            <w:t>Förslag till riksdagsbeslut</w:t>
          </w:r>
        </w:p>
      </w:sdtContent>
    </w:sdt>
    <w:sdt>
      <w:sdtPr>
        <w:alias w:val="Yrkande 1"/>
        <w:tag w:val="32d9226e-a575-49ab-bdc5-81340427ccf9"/>
        <w:id w:val="75181264"/>
        <w:lock w:val="sdtLocked"/>
      </w:sdtPr>
      <w:sdtEndPr/>
      <w:sdtContent>
        <w:p w:rsidR="00987A4A" w:rsidRDefault="002B2B9F" w14:paraId="41CA2016" w14:textId="77777777">
          <w:pPr>
            <w:pStyle w:val="Frslagstext"/>
            <w:numPr>
              <w:ilvl w:val="0"/>
              <w:numId w:val="0"/>
            </w:numPr>
          </w:pPr>
          <w:r>
            <w:t>Riksdagen anvisar anslagen för 2019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E06759FB777475094D95C696E242A45"/>
        </w:placeholder>
        <w:text/>
      </w:sdtPr>
      <w:sdtEndPr/>
      <w:sdtContent>
        <w:p w:rsidRPr="00000652" w:rsidR="006D79C9" w:rsidP="00333E95" w:rsidRDefault="006D79C9" w14:paraId="3B4D967D" w14:textId="77777777">
          <w:pPr>
            <w:pStyle w:val="Rubrik1"/>
          </w:pPr>
          <w:r>
            <w:t>Motivering</w:t>
          </w:r>
        </w:p>
      </w:sdtContent>
    </w:sdt>
    <w:p w:rsidRPr="00000652" w:rsidR="003B313A" w:rsidP="003B313A" w:rsidRDefault="003B313A" w14:paraId="2A930FA7" w14:textId="2FBE49FB">
      <w:pPr>
        <w:pStyle w:val="Normalutanindragellerluft"/>
      </w:pPr>
      <w:r w:rsidRPr="00000652">
        <w:t>Liberalerna värnar den offentliga servicen i hela landet. Oavsett bostadsort har individer rätt att få likvärdig kvalitet på vården, omsorgen, socialtjänsten och andra välfärds</w:t>
      </w:r>
      <w:r w:rsidR="00A84F1B">
        <w:softHyphen/>
      </w:r>
      <w:r w:rsidRPr="00000652">
        <w:t>tjänster. De ekonomiska villkoren för kommuner och regioner behöver därför utjämnas särskilt med hänsyn till faktorer som inte går att påverka.</w:t>
      </w:r>
    </w:p>
    <w:p w:rsidRPr="00000652" w:rsidR="003B313A" w:rsidP="003B313A" w:rsidRDefault="003B313A" w14:paraId="66CC5621" w14:textId="2BCCE6AF">
      <w:pPr>
        <w:rPr>
          <w:szCs w:val="22"/>
        </w:rPr>
      </w:pPr>
      <w:r w:rsidRPr="00000652">
        <w:rPr>
          <w:szCs w:val="22"/>
        </w:rPr>
        <w:t xml:space="preserve">Liberalerna avvisar ett antal inslag i statsbidraget som syftar till att förstatliga ansvaret för uppgifter som rimligen bör skötas av kommuner, regioner eller landsting. Det behövs en diskussion om ansvarsfördelningen mellan stat, landsting, regioner och kommuner, men vi ifrågasätter ett stegvis förstatligande av uppgifter som politiker på lokal nivå inte prioriterar. </w:t>
      </w:r>
      <w:r w:rsidRPr="009E4584">
        <w:rPr>
          <w:szCs w:val="22"/>
        </w:rPr>
        <w:t>Det handlar om bidrag ti</w:t>
      </w:r>
      <w:r w:rsidR="00A84F1B">
        <w:rPr>
          <w:szCs w:val="22"/>
        </w:rPr>
        <w:t xml:space="preserve">ll tandvård för unga vuxna, 576 miljoner </w:t>
      </w:r>
      <w:r w:rsidRPr="009E4584">
        <w:rPr>
          <w:szCs w:val="22"/>
        </w:rPr>
        <w:t>kronor, om avgiftsfri öppenvå</w:t>
      </w:r>
      <w:r w:rsidR="00A84F1B">
        <w:rPr>
          <w:szCs w:val="22"/>
        </w:rPr>
        <w:t xml:space="preserve">rd för personer över 85 år, 200 miljoner </w:t>
      </w:r>
      <w:r w:rsidRPr="009E4584">
        <w:rPr>
          <w:szCs w:val="22"/>
        </w:rPr>
        <w:t>kronor, cellprovsscreening, 141 miljoner kronor, samt om avgiftsfri</w:t>
      </w:r>
      <w:r w:rsidR="00A84F1B">
        <w:rPr>
          <w:szCs w:val="22"/>
        </w:rPr>
        <w:t xml:space="preserve"> screening mot bröstcancer, 107 miljoner </w:t>
      </w:r>
      <w:r w:rsidRPr="009E4584">
        <w:rPr>
          <w:szCs w:val="22"/>
        </w:rPr>
        <w:t>kronor som samtliga avvisas för 2019 på anslag 1:1 under detta utgifts</w:t>
      </w:r>
      <w:r w:rsidR="00A84F1B">
        <w:rPr>
          <w:szCs w:val="22"/>
        </w:rPr>
        <w:softHyphen/>
      </w:r>
      <w:r w:rsidRPr="009E4584">
        <w:rPr>
          <w:szCs w:val="22"/>
        </w:rPr>
        <w:t>område.</w:t>
      </w:r>
      <w:r w:rsidRPr="00000652">
        <w:rPr>
          <w:szCs w:val="22"/>
        </w:rPr>
        <w:t xml:space="preserve"> Vad gäller tandvården prioriterar vi att förstärka högkostnadsskyddet framför fri tandvård för unga vuxna. Detta innebär ökade utgifter på utgiftsområde 9. Vidare bör b</w:t>
      </w:r>
      <w:r w:rsidRPr="00000652">
        <w:t>idraget till glasögon till barn i åldern 8–19 år omvandlas till ett högkostnadsskydd för alla barn, något som dock är offentligfinansiellt neutralt och därför inte föranleder några anslagsändringar.</w:t>
      </w:r>
    </w:p>
    <w:p w:rsidRPr="00000652" w:rsidR="003B313A" w:rsidP="003B313A" w:rsidRDefault="003B313A" w14:paraId="48110F5F" w14:textId="491BC4AC">
      <w:pPr>
        <w:rPr>
          <w:szCs w:val="22"/>
        </w:rPr>
      </w:pPr>
      <w:r w:rsidRPr="00000652">
        <w:rPr>
          <w:szCs w:val="22"/>
        </w:rPr>
        <w:lastRenderedPageBreak/>
        <w:t xml:space="preserve">Vi delar dock uppfattningen att det finns många angelägna behov i kommuner, landsting och regioner som det finns anledning att stödja med statsbidrag. Sådana kan göra stor nytta om de riktas till sådant som är svårt för till exempel enskilda kommuner att klara var för sig. Det kan handla om kompetensutveckling, erfarenhetsutbyte och samarbete över geografiska </w:t>
      </w:r>
      <w:r w:rsidR="009E4584">
        <w:rPr>
          <w:szCs w:val="22"/>
        </w:rPr>
        <w:t xml:space="preserve">eller organisatoriska gränser. </w:t>
      </w:r>
      <w:r w:rsidRPr="00000652">
        <w:rPr>
          <w:szCs w:val="22"/>
        </w:rPr>
        <w:t>Vidare gör vi satsningar för att underlätta för sektorn att erbjuda en bättre service till medborgarna, till exempel genom en förnyad kömiljard för att korta väntetiderna i sjukvården. Utöver vad som redovisas här nedan återfinns våra satsningar under respektive utgiftsområde.</w:t>
      </w:r>
    </w:p>
    <w:p w:rsidRPr="009E4584" w:rsidR="003B313A" w:rsidP="003B313A" w:rsidRDefault="003B313A" w14:paraId="5187921E" w14:textId="4CEA2802">
      <w:r w:rsidRPr="00000652">
        <w:t>En specialistsjuksköterska har minst en fyraårig högskoleutbildning. Enligt Social</w:t>
      </w:r>
      <w:r w:rsidR="00A84F1B">
        <w:softHyphen/>
      </w:r>
      <w:r w:rsidRPr="00000652">
        <w:t>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cirka 1 000 tjänster som första specialistsjuksköterskor kunna skapas genom ett nationellt statsbidrag, så att cirka fem procent av specialist</w:t>
      </w:r>
      <w:r w:rsidR="00A84F1B">
        <w:softHyphen/>
      </w:r>
      <w:r w:rsidRPr="00000652">
        <w:t xml:space="preserve">sjuksköterskorna kan göra karriär. </w:t>
      </w:r>
      <w:r w:rsidRPr="009E4584">
        <w:t xml:space="preserve">Reformen beräknas försvaga de offentliga finanserna med 65 miljoner kronor per år från 2019 på anslag 1:1. </w:t>
      </w:r>
    </w:p>
    <w:p w:rsidRPr="009E4584" w:rsidR="003B313A" w:rsidP="003B313A" w:rsidRDefault="003B313A" w14:paraId="58FD643C" w14:textId="7B93F9ED">
      <w:pPr>
        <w:rPr>
          <w:szCs w:val="22"/>
        </w:rPr>
      </w:pPr>
      <w:r w:rsidRPr="00000652">
        <w:rPr>
          <w:szCs w:val="22"/>
        </w:rPr>
        <w:t>Statsbidraget för insatser mot hiv/aids bör inte sänkas, vilket dessvärre gjorts från och med 2017. Vi</w:t>
      </w:r>
      <w:r w:rsidR="009E4584">
        <w:rPr>
          <w:szCs w:val="22"/>
        </w:rPr>
        <w:t xml:space="preserve"> delar förvisso uppfattningen</w:t>
      </w:r>
      <w:r w:rsidRPr="00000652">
        <w:rPr>
          <w:szCs w:val="22"/>
        </w:rPr>
        <w:t xml:space="preserve"> att det vid det här laget inte bör ses som någon extraordinär verksamhet i kommuner, regioner eller landsting. Samtidigt skiljer sig behovet av stöd på ett mycket ojämnt sätt för de olika kommunerna och landstingen. Över två tredjedelar av dem som lever med hiv/aids finns i någon av storstads</w:t>
      </w:r>
      <w:r w:rsidR="00A84F1B">
        <w:rPr>
          <w:szCs w:val="22"/>
        </w:rPr>
        <w:softHyphen/>
      </w:r>
      <w:r w:rsidRPr="00000652">
        <w:rPr>
          <w:szCs w:val="22"/>
        </w:rPr>
        <w:t xml:space="preserve">regionerna, och därutöver är det många från mindre orter som väljer att söka vård i storstäderna. </w:t>
      </w:r>
      <w:r w:rsidRPr="009E4584">
        <w:rPr>
          <w:szCs w:val="22"/>
        </w:rPr>
        <w:t>För att återställa nivån på bidraget, som ligger på utgiftsområde 9, överför vi medel från utgiftsområde 25, som därmed minskas med 70 miljoner kronor på anslag 1:1.</w:t>
      </w:r>
    </w:p>
    <w:p w:rsidRPr="009E4584" w:rsidR="003B313A" w:rsidP="003B313A" w:rsidRDefault="003B313A" w14:paraId="0BFB3BC0" w14:textId="2DDA3636">
      <w:pPr>
        <w:rPr>
          <w:szCs w:val="22"/>
        </w:rPr>
      </w:pPr>
      <w:r w:rsidRPr="00000652">
        <w:rPr>
          <w:szCs w:val="22"/>
        </w:rPr>
        <w:lastRenderedPageBreak/>
        <w:t>Det ska löna sig att arbeta, också för den som står mycket långt från arbetsmark</w:t>
      </w:r>
      <w:r w:rsidR="00A84F1B">
        <w:rPr>
          <w:szCs w:val="22"/>
        </w:rPr>
        <w:softHyphen/>
      </w:r>
      <w:r w:rsidRPr="00000652">
        <w:rPr>
          <w:szCs w:val="22"/>
        </w:rPr>
        <w:t>naden. Vi vill sänka skatten för den som går från bidrag till jobb. Genom att den så kallade jobbstimulansen utvidgas från dagens 25 procent till 50 procent kan en person med f</w:t>
      </w:r>
      <w:r w:rsidR="009E4584">
        <w:rPr>
          <w:szCs w:val="22"/>
        </w:rPr>
        <w:t>örsörjningsstöd under två år få</w:t>
      </w:r>
      <w:r w:rsidRPr="00000652">
        <w:rPr>
          <w:szCs w:val="22"/>
        </w:rPr>
        <w:t xml:space="preserve"> behålla mer av en inkomstökning. </w:t>
      </w:r>
      <w:r w:rsidRPr="009E4584">
        <w:rPr>
          <w:szCs w:val="22"/>
        </w:rPr>
        <w:t>Det innebär att statsbidraget till kommunerna bör höjas med 200 miljoner kronor på anslag 1:1.</w:t>
      </w:r>
    </w:p>
    <w:p w:rsidRPr="009E4584" w:rsidR="003B313A" w:rsidP="003B313A" w:rsidRDefault="003B313A" w14:paraId="402FE215" w14:textId="6204A2FC">
      <w:pPr>
        <w:rPr>
          <w:szCs w:val="22"/>
        </w:rPr>
      </w:pPr>
      <w:r w:rsidRPr="00000652">
        <w:rPr>
          <w:szCs w:val="22"/>
        </w:rPr>
        <w:t>På utgiftsområde 12 föreslås en höjning av barntil</w:t>
      </w:r>
      <w:r w:rsidR="00535BE7">
        <w:rPr>
          <w:szCs w:val="22"/>
        </w:rPr>
        <w:t xml:space="preserve">lägget i bostadsbidraget om 100 </w:t>
      </w:r>
      <w:r w:rsidRPr="00000652">
        <w:rPr>
          <w:szCs w:val="22"/>
        </w:rPr>
        <w:t xml:space="preserve">kronor per barn. Det innebär att riksnormen för försörjningsstöd samtidigt bör höjas. </w:t>
      </w:r>
      <w:r w:rsidRPr="009E4584">
        <w:rPr>
          <w:szCs w:val="22"/>
        </w:rPr>
        <w:t>För att finansier</w:t>
      </w:r>
      <w:r w:rsidR="00535BE7">
        <w:rPr>
          <w:szCs w:val="22"/>
        </w:rPr>
        <w:t xml:space="preserve">a detta tillförs anslag 1:1 100 miljoner </w:t>
      </w:r>
      <w:r w:rsidRPr="009E4584">
        <w:rPr>
          <w:szCs w:val="22"/>
        </w:rPr>
        <w:t>kronor.</w:t>
      </w:r>
    </w:p>
    <w:p w:rsidRPr="009E4584" w:rsidR="003B313A" w:rsidP="003B313A" w:rsidRDefault="003B313A" w14:paraId="0801155A" w14:textId="2A0209EB">
      <w:pPr>
        <w:rPr>
          <w:szCs w:val="22"/>
        </w:rPr>
      </w:pPr>
      <w:r w:rsidRPr="00000652">
        <w:rPr>
          <w:szCs w:val="22"/>
        </w:rPr>
        <w:t>Nyanlända elever, särskilt de som kommer till Sverige i mellan- och högstadie</w:t>
      </w:r>
      <w:r w:rsidR="00A84F1B">
        <w:rPr>
          <w:szCs w:val="22"/>
        </w:rPr>
        <w:softHyphen/>
      </w:r>
      <w:r w:rsidRPr="00000652">
        <w:rPr>
          <w:szCs w:val="22"/>
        </w:rPr>
        <w:t xml:space="preserve">åldern, kan behöva mer tid i grundskolan för att nå kunskapsmålen. Liberalerna föreslår därför att skolplikten för dessa elever förlängs. För att nyanlända elever inte ska tappa sina kunskaper i svenska under ett långt sommarlov föreslår vi också att sommarlovet förkortas för denna grupp. </w:t>
      </w:r>
      <w:r w:rsidRPr="009E4584">
        <w:rPr>
          <w:szCs w:val="22"/>
        </w:rPr>
        <w:t>Det innebär ökade utgifte</w:t>
      </w:r>
      <w:r w:rsidR="00535BE7">
        <w:rPr>
          <w:szCs w:val="22"/>
        </w:rPr>
        <w:t>r på anslag 1:1 om sammanlagt 1 </w:t>
      </w:r>
      <w:r w:rsidRPr="009E4584">
        <w:rPr>
          <w:szCs w:val="22"/>
        </w:rPr>
        <w:t xml:space="preserve">775 miljoner kronor. </w:t>
      </w:r>
    </w:p>
    <w:p w:rsidRPr="00000652" w:rsidR="003B313A" w:rsidP="003B313A" w:rsidRDefault="003B313A" w14:paraId="2C9CC961" w14:textId="390B9282">
      <w:pPr>
        <w:rPr>
          <w:szCs w:val="22"/>
        </w:rPr>
      </w:pPr>
      <w:r w:rsidRPr="00000652">
        <w:rPr>
          <w:szCs w:val="22"/>
        </w:rPr>
        <w:t xml:space="preserve">Antalet undervisningstimmar i grundskolan bör öka. </w:t>
      </w:r>
      <w:r w:rsidRPr="009E4584">
        <w:rPr>
          <w:szCs w:val="22"/>
        </w:rPr>
        <w:t>Därför utökas anslag 1:1 med 650 miljoner kronor. Därutöver bör antalet undervisningstimmar i matematik på högstadiet bli fler. För detta sy</w:t>
      </w:r>
      <w:r w:rsidR="00535BE7">
        <w:rPr>
          <w:szCs w:val="22"/>
        </w:rPr>
        <w:t xml:space="preserve">fte utökas samma anslag med 245 miljoner </w:t>
      </w:r>
      <w:r w:rsidRPr="009E4584">
        <w:rPr>
          <w:szCs w:val="22"/>
        </w:rPr>
        <w:t>kronor.</w:t>
      </w:r>
      <w:r w:rsidRPr="00000652">
        <w:rPr>
          <w:szCs w:val="22"/>
        </w:rPr>
        <w:t xml:space="preserve"> Satsningarna beskrivs närmare under utgiftsområde 16.</w:t>
      </w:r>
    </w:p>
    <w:p w:rsidRPr="009E4584" w:rsidR="003B313A" w:rsidP="003B313A" w:rsidRDefault="003B313A" w14:paraId="15E6641C" w14:textId="1A0F4F64">
      <w:pPr>
        <w:rPr>
          <w:szCs w:val="22"/>
        </w:rPr>
      </w:pPr>
      <w:r w:rsidRPr="00000652">
        <w:rPr>
          <w:szCs w:val="22"/>
        </w:rPr>
        <w:t>Förskolan spelar en viktig roll för barns lärande och språkutveckling och barn som gått i förskolan klarar skolan bättre. Förskolan fyller en särskilt viktig roll för de barn som inte talar svenska och som inte heller har föräldrar som är svensktalande. Dessutom kan barnens deltagande i förskolan ha en positiv effekt på nyanlända föräldrars, särskilt kvinnors, möjligheter att få jobb. Liberalerna vill därför införa en obligatorisk språk</w:t>
      </w:r>
      <w:r w:rsidR="00A84F1B">
        <w:rPr>
          <w:szCs w:val="22"/>
        </w:rPr>
        <w:softHyphen/>
      </w:r>
      <w:r w:rsidRPr="00000652">
        <w:rPr>
          <w:szCs w:val="22"/>
        </w:rPr>
        <w:t xml:space="preserve">förskola, 15 timmar i veckan, från tre års ålder för alla nyanlända barn och </w:t>
      </w:r>
      <w:r w:rsidRPr="00000652">
        <w:rPr>
          <w:szCs w:val="22"/>
        </w:rPr>
        <w:lastRenderedPageBreak/>
        <w:t xml:space="preserve">barn till nyanlända. </w:t>
      </w:r>
      <w:r w:rsidRPr="009E4584">
        <w:rPr>
          <w:szCs w:val="22"/>
        </w:rPr>
        <w:t>Vår språkförskolereform beskrivs närmare under utgiftsområde 13</w:t>
      </w:r>
      <w:r w:rsidR="00535BE7">
        <w:rPr>
          <w:szCs w:val="22"/>
        </w:rPr>
        <w:t xml:space="preserve"> och kostar totalt 220 </w:t>
      </w:r>
      <w:bookmarkStart w:name="_GoBack" w:id="1"/>
      <w:bookmarkEnd w:id="1"/>
      <w:r w:rsidR="00535BE7">
        <w:rPr>
          <w:szCs w:val="22"/>
        </w:rPr>
        <w:t xml:space="preserve">miljoner </w:t>
      </w:r>
      <w:r w:rsidRPr="009E4584">
        <w:rPr>
          <w:szCs w:val="22"/>
        </w:rPr>
        <w:t>kronor år 20</w:t>
      </w:r>
      <w:r w:rsidR="00535BE7">
        <w:rPr>
          <w:szCs w:val="22"/>
        </w:rPr>
        <w:t xml:space="preserve">19, varav 120 miljoner </w:t>
      </w:r>
      <w:r w:rsidRPr="009E4584">
        <w:rPr>
          <w:szCs w:val="22"/>
        </w:rPr>
        <w:t>kronor anvisas under detta utgiftsområde anslag 1:1.</w:t>
      </w:r>
    </w:p>
    <w:p w:rsidRPr="009E4584" w:rsidR="003B313A" w:rsidP="003B313A" w:rsidRDefault="003B313A" w14:paraId="429B3FCB" w14:textId="35A1DE0A">
      <w:pPr>
        <w:rPr>
          <w:szCs w:val="22"/>
        </w:rPr>
      </w:pPr>
      <w:r w:rsidRPr="009E4584">
        <w:rPr>
          <w:szCs w:val="22"/>
        </w:rPr>
        <w:t>Liberalerna avvisar anslaget 1:5 Bidrag för arbete mot långtidsarbetslöshet.</w:t>
      </w:r>
      <w:r w:rsidRPr="00000652">
        <w:rPr>
          <w:i/>
          <w:szCs w:val="22"/>
        </w:rPr>
        <w:t xml:space="preserve"> </w:t>
      </w:r>
      <w:r w:rsidRPr="00000652">
        <w:rPr>
          <w:szCs w:val="22"/>
        </w:rPr>
        <w:t>Syftet med anslaget är att kommuner och landsting ska anställa långtidsarbetslösa personer i så kallade extratjänster. Bidraget bet</w:t>
      </w:r>
      <w:r w:rsidR="009E4584">
        <w:rPr>
          <w:szCs w:val="22"/>
        </w:rPr>
        <w:t>alas ut utifrån antalet</w:t>
      </w:r>
      <w:r w:rsidRPr="00000652">
        <w:rPr>
          <w:szCs w:val="22"/>
        </w:rPr>
        <w:t xml:space="preserve"> anställda med extratjänster 31 december 2018 och kommer därför för sent för att kunna göra någon praktisk skillnad. Liberalerna prioriterar reformer som stärker långtidsarbetslösas möjligheter till jobb på den ordinarie arbetsmarknaden. </w:t>
      </w:r>
      <w:r w:rsidRPr="009E4584">
        <w:rPr>
          <w:szCs w:val="22"/>
        </w:rPr>
        <w:t>Liberalernas förslag innebär att budgeten förstärks med 500 miljoner kronor 2019.</w:t>
      </w:r>
    </w:p>
    <w:p w:rsidRPr="009E4584" w:rsidR="003B313A" w:rsidP="003B313A" w:rsidRDefault="003B313A" w14:paraId="58EB1C5F" w14:textId="77777777">
      <w:r w:rsidRPr="00000652">
        <w:rPr>
          <w:szCs w:val="22"/>
        </w:rPr>
        <w:t xml:space="preserve">Liberalerna föreslår sänkt skatt på personaloptioner, vilket leder till ett skattebortfall som kommunsektorn ska kompenseras för. </w:t>
      </w:r>
      <w:r w:rsidRPr="009E4584">
        <w:rPr>
          <w:szCs w:val="22"/>
        </w:rPr>
        <w:t>Detta innebär ett tillskott på anslag 1:1 med 400 miljoner kronor.</w:t>
      </w:r>
    </w:p>
    <w:p w:rsidR="009E4584" w:rsidP="009E4584" w:rsidRDefault="009E4584" w14:paraId="5F2E444D" w14:textId="5C842DE1">
      <w:pPr>
        <w:pStyle w:val="Tabellrubrik"/>
        <w:spacing w:before="240"/>
      </w:pPr>
      <w:r>
        <w:t xml:space="preserve">Tabell 1 </w:t>
      </w:r>
      <w:r w:rsidRPr="009E4584">
        <w:t>Anslagsförslag 2019 för utgiftsområde 25 Allmänna bidrag till kommuner</w:t>
      </w:r>
    </w:p>
    <w:p w:rsidRPr="009E4584" w:rsidR="009E4584" w:rsidP="009E4584" w:rsidRDefault="009E4584" w14:paraId="55E0FFEE" w14:textId="21B0D76C">
      <w:pPr>
        <w:pStyle w:val="Tabellunderrubrik"/>
      </w:pPr>
      <w:r w:rsidRPr="009E4584">
        <w:t>Tusental kronor</w:t>
      </w:r>
    </w:p>
    <w:tbl>
      <w:tblPr>
        <w:tblStyle w:val="Tabellrutnt"/>
        <w:tblpPr w:leftFromText="141" w:rightFromText="141" w:vertAnchor="text" w:tblpY="1"/>
        <w:tblOverlap w:val="never"/>
        <w:tblW w:w="86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2"/>
        <w:gridCol w:w="4352"/>
        <w:gridCol w:w="1422"/>
        <w:gridCol w:w="1739"/>
      </w:tblGrid>
      <w:tr w:rsidRPr="009E4584" w:rsidR="00903175" w:rsidTr="00A84F1B" w14:paraId="1DBB2AFF" w14:textId="77777777">
        <w:trPr>
          <w:trHeight w:val="300"/>
        </w:trPr>
        <w:tc>
          <w:tcPr>
            <w:tcW w:w="1172" w:type="dxa"/>
            <w:tcBorders>
              <w:top w:val="single" w:color="auto" w:sz="4" w:space="0"/>
              <w:bottom w:val="single" w:color="auto" w:sz="4" w:space="0"/>
            </w:tcBorders>
            <w:noWrap/>
            <w:hideMark/>
          </w:tcPr>
          <w:p w:rsidRPr="009E4584" w:rsidR="00903175" w:rsidP="009E4584" w:rsidRDefault="00903175" w14:paraId="4F7ADC67" w14:textId="77777777">
            <w:pPr>
              <w:pStyle w:val="Normalutanindragellerluft"/>
              <w:spacing w:line="240" w:lineRule="exact"/>
              <w:rPr>
                <w:b/>
                <w:sz w:val="20"/>
                <w:szCs w:val="20"/>
              </w:rPr>
            </w:pPr>
            <w:r w:rsidRPr="009E4584">
              <w:rPr>
                <w:b/>
                <w:sz w:val="20"/>
                <w:szCs w:val="20"/>
              </w:rPr>
              <w:t>Ramanslag</w:t>
            </w:r>
          </w:p>
        </w:tc>
        <w:tc>
          <w:tcPr>
            <w:tcW w:w="4352" w:type="dxa"/>
            <w:tcBorders>
              <w:top w:val="single" w:color="auto" w:sz="4" w:space="0"/>
              <w:bottom w:val="single" w:color="auto" w:sz="4" w:space="0"/>
            </w:tcBorders>
            <w:noWrap/>
            <w:hideMark/>
          </w:tcPr>
          <w:p w:rsidRPr="009E4584" w:rsidR="00903175" w:rsidP="009E4584" w:rsidRDefault="00903175" w14:paraId="376642F8" w14:textId="77777777">
            <w:pPr>
              <w:pStyle w:val="Normalutanindragellerluft"/>
              <w:spacing w:line="240" w:lineRule="exact"/>
              <w:rPr>
                <w:b/>
                <w:sz w:val="20"/>
                <w:szCs w:val="20"/>
              </w:rPr>
            </w:pPr>
          </w:p>
        </w:tc>
        <w:tc>
          <w:tcPr>
            <w:tcW w:w="1422" w:type="dxa"/>
            <w:tcBorders>
              <w:top w:val="single" w:color="auto" w:sz="4" w:space="0"/>
              <w:bottom w:val="single" w:color="auto" w:sz="4" w:space="0"/>
            </w:tcBorders>
            <w:noWrap/>
            <w:hideMark/>
          </w:tcPr>
          <w:p w:rsidRPr="009E4584" w:rsidR="00903175" w:rsidP="009E4584" w:rsidRDefault="00903175" w14:paraId="6923FEFB" w14:textId="77777777">
            <w:pPr>
              <w:pStyle w:val="Normalutanindragellerluft"/>
              <w:spacing w:line="240" w:lineRule="exact"/>
              <w:jc w:val="right"/>
              <w:rPr>
                <w:b/>
                <w:sz w:val="20"/>
                <w:szCs w:val="20"/>
              </w:rPr>
            </w:pPr>
            <w:r w:rsidRPr="009E4584">
              <w:rPr>
                <w:b/>
                <w:sz w:val="20"/>
                <w:szCs w:val="20"/>
              </w:rPr>
              <w:t>Regeringens förslag</w:t>
            </w:r>
          </w:p>
        </w:tc>
        <w:tc>
          <w:tcPr>
            <w:tcW w:w="1739" w:type="dxa"/>
            <w:tcBorders>
              <w:top w:val="single" w:color="auto" w:sz="4" w:space="0"/>
              <w:bottom w:val="single" w:color="auto" w:sz="4" w:space="0"/>
            </w:tcBorders>
            <w:noWrap/>
            <w:vAlign w:val="bottom"/>
            <w:hideMark/>
          </w:tcPr>
          <w:p w:rsidRPr="009E4584" w:rsidR="00903175" w:rsidP="009E4584" w:rsidRDefault="00903175" w14:paraId="24F9C9B0" w14:textId="77777777">
            <w:pPr>
              <w:pStyle w:val="Normalutanindragellerluft"/>
              <w:spacing w:line="240" w:lineRule="exact"/>
              <w:jc w:val="right"/>
              <w:rPr>
                <w:b/>
                <w:sz w:val="20"/>
                <w:szCs w:val="20"/>
              </w:rPr>
            </w:pPr>
            <w:r w:rsidRPr="009E4584">
              <w:rPr>
                <w:b/>
                <w:sz w:val="20"/>
                <w:szCs w:val="20"/>
              </w:rPr>
              <w:t>Avvikelse från regeringen (L)</w:t>
            </w:r>
          </w:p>
        </w:tc>
      </w:tr>
      <w:tr w:rsidRPr="009E4584" w:rsidR="00903175" w:rsidTr="00A84F1B" w14:paraId="6E9C37EF" w14:textId="77777777">
        <w:trPr>
          <w:trHeight w:val="300"/>
        </w:trPr>
        <w:tc>
          <w:tcPr>
            <w:tcW w:w="1172" w:type="dxa"/>
            <w:tcBorders>
              <w:top w:val="single" w:color="auto" w:sz="4" w:space="0"/>
            </w:tcBorders>
            <w:noWrap/>
            <w:hideMark/>
          </w:tcPr>
          <w:p w:rsidRPr="009E4584" w:rsidR="00903175" w:rsidP="009E4584" w:rsidRDefault="00903175" w14:paraId="306D4C1C" w14:textId="77777777">
            <w:pPr>
              <w:pStyle w:val="Normalutanindragellerluft"/>
              <w:spacing w:line="240" w:lineRule="exact"/>
              <w:rPr>
                <w:sz w:val="20"/>
                <w:szCs w:val="20"/>
              </w:rPr>
            </w:pPr>
            <w:r w:rsidRPr="009E4584">
              <w:rPr>
                <w:sz w:val="20"/>
                <w:szCs w:val="20"/>
              </w:rPr>
              <w:t>1:1</w:t>
            </w:r>
          </w:p>
        </w:tc>
        <w:tc>
          <w:tcPr>
            <w:tcW w:w="4352" w:type="dxa"/>
            <w:tcBorders>
              <w:top w:val="single" w:color="auto" w:sz="4" w:space="0"/>
            </w:tcBorders>
            <w:noWrap/>
            <w:hideMark/>
          </w:tcPr>
          <w:p w:rsidRPr="009E4584" w:rsidR="00903175" w:rsidP="009E4584" w:rsidRDefault="00903175" w14:paraId="6C0D8EFC" w14:textId="77777777">
            <w:pPr>
              <w:pStyle w:val="Normalutanindragellerluft"/>
              <w:spacing w:line="240" w:lineRule="exact"/>
              <w:rPr>
                <w:sz w:val="20"/>
                <w:szCs w:val="20"/>
              </w:rPr>
            </w:pPr>
            <w:r w:rsidRPr="009E4584">
              <w:rPr>
                <w:sz w:val="20"/>
                <w:szCs w:val="20"/>
              </w:rPr>
              <w:t>Kommunalekonomisk utjämning</w:t>
            </w:r>
          </w:p>
        </w:tc>
        <w:tc>
          <w:tcPr>
            <w:tcW w:w="1422" w:type="dxa"/>
            <w:tcBorders>
              <w:top w:val="single" w:color="auto" w:sz="4" w:space="0"/>
            </w:tcBorders>
            <w:noWrap/>
            <w:vAlign w:val="bottom"/>
            <w:hideMark/>
          </w:tcPr>
          <w:p w:rsidRPr="009E4584" w:rsidR="00903175" w:rsidP="009E4584" w:rsidRDefault="00903175" w14:paraId="5F3337F4" w14:textId="350EB0BF">
            <w:pPr>
              <w:pStyle w:val="Normalutanindragellerluft"/>
              <w:spacing w:line="240" w:lineRule="exact"/>
              <w:jc w:val="right"/>
              <w:rPr>
                <w:sz w:val="20"/>
                <w:szCs w:val="20"/>
              </w:rPr>
            </w:pPr>
            <w:r w:rsidRPr="009E4584">
              <w:rPr>
                <w:sz w:val="20"/>
                <w:szCs w:val="20"/>
              </w:rPr>
              <w:t>105</w:t>
            </w:r>
            <w:r w:rsidR="009E4584">
              <w:rPr>
                <w:sz w:val="20"/>
                <w:szCs w:val="20"/>
              </w:rPr>
              <w:t xml:space="preserve"> </w:t>
            </w:r>
            <w:r w:rsidRPr="009E4584">
              <w:rPr>
                <w:sz w:val="20"/>
                <w:szCs w:val="20"/>
              </w:rPr>
              <w:t>939</w:t>
            </w:r>
            <w:r w:rsidR="009E4584">
              <w:rPr>
                <w:sz w:val="20"/>
                <w:szCs w:val="20"/>
              </w:rPr>
              <w:t xml:space="preserve"> </w:t>
            </w:r>
            <w:r w:rsidRPr="009E4584">
              <w:rPr>
                <w:sz w:val="20"/>
                <w:szCs w:val="20"/>
              </w:rPr>
              <w:t>384</w:t>
            </w:r>
          </w:p>
        </w:tc>
        <w:tc>
          <w:tcPr>
            <w:tcW w:w="1739" w:type="dxa"/>
            <w:tcBorders>
              <w:top w:val="single" w:color="auto" w:sz="4" w:space="0"/>
            </w:tcBorders>
            <w:noWrap/>
            <w:vAlign w:val="bottom"/>
            <w:hideMark/>
          </w:tcPr>
          <w:p w:rsidRPr="009E4584" w:rsidR="00903175" w:rsidP="009E4584" w:rsidRDefault="00903175" w14:paraId="4AF686BF" w14:textId="7B821637">
            <w:pPr>
              <w:pStyle w:val="Normalutanindragellerluft"/>
              <w:spacing w:line="240" w:lineRule="exact"/>
              <w:jc w:val="right"/>
              <w:rPr>
                <w:sz w:val="20"/>
                <w:szCs w:val="20"/>
              </w:rPr>
            </w:pPr>
            <w:r w:rsidRPr="009E4584">
              <w:rPr>
                <w:sz w:val="20"/>
                <w:szCs w:val="20"/>
              </w:rPr>
              <w:t>2</w:t>
            </w:r>
            <w:r w:rsidR="009E4584">
              <w:rPr>
                <w:sz w:val="20"/>
                <w:szCs w:val="20"/>
              </w:rPr>
              <w:t xml:space="preserve"> </w:t>
            </w:r>
            <w:r w:rsidRPr="009E4584">
              <w:rPr>
                <w:sz w:val="20"/>
                <w:szCs w:val="20"/>
              </w:rPr>
              <w:t>602</w:t>
            </w:r>
            <w:r w:rsidR="009E4584">
              <w:rPr>
                <w:sz w:val="20"/>
                <w:szCs w:val="20"/>
              </w:rPr>
              <w:t xml:space="preserve"> </w:t>
            </w:r>
            <w:r w:rsidRPr="009E4584">
              <w:rPr>
                <w:sz w:val="20"/>
                <w:szCs w:val="20"/>
              </w:rPr>
              <w:t>000</w:t>
            </w:r>
          </w:p>
        </w:tc>
      </w:tr>
      <w:tr w:rsidRPr="009E4584" w:rsidR="00903175" w:rsidTr="00A84F1B" w14:paraId="56D0BFCD" w14:textId="77777777">
        <w:trPr>
          <w:trHeight w:val="300"/>
        </w:trPr>
        <w:tc>
          <w:tcPr>
            <w:tcW w:w="1172" w:type="dxa"/>
            <w:noWrap/>
            <w:hideMark/>
          </w:tcPr>
          <w:p w:rsidRPr="009E4584" w:rsidR="00903175" w:rsidP="009E4584" w:rsidRDefault="00903175" w14:paraId="7A1AB0E6" w14:textId="77777777">
            <w:pPr>
              <w:pStyle w:val="Normalutanindragellerluft"/>
              <w:spacing w:line="240" w:lineRule="exact"/>
              <w:rPr>
                <w:sz w:val="20"/>
                <w:szCs w:val="20"/>
              </w:rPr>
            </w:pPr>
            <w:r w:rsidRPr="009E4584">
              <w:rPr>
                <w:sz w:val="20"/>
                <w:szCs w:val="20"/>
              </w:rPr>
              <w:t>1:2</w:t>
            </w:r>
          </w:p>
        </w:tc>
        <w:tc>
          <w:tcPr>
            <w:tcW w:w="4352" w:type="dxa"/>
            <w:noWrap/>
            <w:hideMark/>
          </w:tcPr>
          <w:p w:rsidRPr="009E4584" w:rsidR="00903175" w:rsidP="009E4584" w:rsidRDefault="00903175" w14:paraId="6D01691A" w14:textId="77777777">
            <w:pPr>
              <w:pStyle w:val="Normalutanindragellerluft"/>
              <w:spacing w:line="240" w:lineRule="exact"/>
              <w:rPr>
                <w:sz w:val="20"/>
                <w:szCs w:val="20"/>
              </w:rPr>
            </w:pPr>
            <w:r w:rsidRPr="009E4584">
              <w:rPr>
                <w:sz w:val="20"/>
                <w:szCs w:val="20"/>
              </w:rPr>
              <w:t>Utjämningsbidrag för LSS-kostnader</w:t>
            </w:r>
          </w:p>
        </w:tc>
        <w:tc>
          <w:tcPr>
            <w:tcW w:w="1422" w:type="dxa"/>
            <w:noWrap/>
            <w:vAlign w:val="bottom"/>
            <w:hideMark/>
          </w:tcPr>
          <w:p w:rsidRPr="009E4584" w:rsidR="00903175" w:rsidP="009E4584" w:rsidRDefault="00903175" w14:paraId="6A2A0CE5" w14:textId="13A03BBE">
            <w:pPr>
              <w:pStyle w:val="Normalutanindragellerluft"/>
              <w:spacing w:line="240" w:lineRule="exact"/>
              <w:jc w:val="right"/>
              <w:rPr>
                <w:sz w:val="20"/>
                <w:szCs w:val="20"/>
              </w:rPr>
            </w:pPr>
            <w:r w:rsidRPr="009E4584">
              <w:rPr>
                <w:sz w:val="20"/>
                <w:szCs w:val="20"/>
              </w:rPr>
              <w:t>4</w:t>
            </w:r>
            <w:r w:rsidR="009E4584">
              <w:rPr>
                <w:sz w:val="20"/>
                <w:szCs w:val="20"/>
              </w:rPr>
              <w:t xml:space="preserve"> </w:t>
            </w:r>
            <w:r w:rsidRPr="009E4584">
              <w:rPr>
                <w:sz w:val="20"/>
                <w:szCs w:val="20"/>
              </w:rPr>
              <w:t>446</w:t>
            </w:r>
            <w:r w:rsidR="009E4584">
              <w:rPr>
                <w:sz w:val="20"/>
                <w:szCs w:val="20"/>
              </w:rPr>
              <w:t xml:space="preserve"> </w:t>
            </w:r>
            <w:r w:rsidRPr="009E4584">
              <w:rPr>
                <w:sz w:val="20"/>
                <w:szCs w:val="20"/>
              </w:rPr>
              <w:t>438</w:t>
            </w:r>
          </w:p>
        </w:tc>
        <w:tc>
          <w:tcPr>
            <w:tcW w:w="1739" w:type="dxa"/>
            <w:noWrap/>
            <w:vAlign w:val="bottom"/>
            <w:hideMark/>
          </w:tcPr>
          <w:p w:rsidRPr="009E4584" w:rsidR="00903175" w:rsidP="009E4584" w:rsidRDefault="00903175" w14:paraId="6A3D902B" w14:textId="77777777">
            <w:pPr>
              <w:pStyle w:val="Normalutanindragellerluft"/>
              <w:spacing w:line="240" w:lineRule="exact"/>
              <w:jc w:val="right"/>
              <w:rPr>
                <w:sz w:val="20"/>
                <w:szCs w:val="20"/>
              </w:rPr>
            </w:pPr>
          </w:p>
        </w:tc>
      </w:tr>
      <w:tr w:rsidRPr="009E4584" w:rsidR="00903175" w:rsidTr="00A84F1B" w14:paraId="38974ADF" w14:textId="77777777">
        <w:trPr>
          <w:trHeight w:val="300"/>
        </w:trPr>
        <w:tc>
          <w:tcPr>
            <w:tcW w:w="1172" w:type="dxa"/>
            <w:noWrap/>
            <w:hideMark/>
          </w:tcPr>
          <w:p w:rsidRPr="009E4584" w:rsidR="00903175" w:rsidP="009E4584" w:rsidRDefault="00903175" w14:paraId="215AF0D1" w14:textId="77777777">
            <w:pPr>
              <w:pStyle w:val="Normalutanindragellerluft"/>
              <w:spacing w:line="240" w:lineRule="exact"/>
              <w:rPr>
                <w:sz w:val="20"/>
                <w:szCs w:val="20"/>
              </w:rPr>
            </w:pPr>
            <w:r w:rsidRPr="009E4584">
              <w:rPr>
                <w:sz w:val="20"/>
                <w:szCs w:val="20"/>
              </w:rPr>
              <w:t>1:3</w:t>
            </w:r>
          </w:p>
        </w:tc>
        <w:tc>
          <w:tcPr>
            <w:tcW w:w="4352" w:type="dxa"/>
            <w:noWrap/>
            <w:hideMark/>
          </w:tcPr>
          <w:p w:rsidRPr="009E4584" w:rsidR="00903175" w:rsidP="009E4584" w:rsidRDefault="00903175" w14:paraId="38D5577F" w14:textId="77777777">
            <w:pPr>
              <w:pStyle w:val="Normalutanindragellerluft"/>
              <w:spacing w:line="240" w:lineRule="exact"/>
              <w:rPr>
                <w:sz w:val="20"/>
                <w:szCs w:val="20"/>
              </w:rPr>
            </w:pPr>
            <w:r w:rsidRPr="009E4584">
              <w:rPr>
                <w:sz w:val="20"/>
                <w:szCs w:val="20"/>
              </w:rPr>
              <w:t>Bidrag till kommunalekonomiska organisationer</w:t>
            </w:r>
          </w:p>
        </w:tc>
        <w:tc>
          <w:tcPr>
            <w:tcW w:w="1422" w:type="dxa"/>
            <w:noWrap/>
            <w:vAlign w:val="bottom"/>
            <w:hideMark/>
          </w:tcPr>
          <w:p w:rsidRPr="009E4584" w:rsidR="00903175" w:rsidP="009E4584" w:rsidRDefault="00903175" w14:paraId="6B8A673F" w14:textId="76E723A4">
            <w:pPr>
              <w:pStyle w:val="Normalutanindragellerluft"/>
              <w:spacing w:line="240" w:lineRule="exact"/>
              <w:jc w:val="right"/>
              <w:rPr>
                <w:sz w:val="20"/>
                <w:szCs w:val="20"/>
              </w:rPr>
            </w:pPr>
            <w:r w:rsidRPr="009E4584">
              <w:rPr>
                <w:sz w:val="20"/>
                <w:szCs w:val="20"/>
              </w:rPr>
              <w:t>6</w:t>
            </w:r>
            <w:r w:rsidR="009E4584">
              <w:rPr>
                <w:sz w:val="20"/>
                <w:szCs w:val="20"/>
              </w:rPr>
              <w:t xml:space="preserve"> </w:t>
            </w:r>
            <w:r w:rsidRPr="009E4584">
              <w:rPr>
                <w:sz w:val="20"/>
                <w:szCs w:val="20"/>
              </w:rPr>
              <w:t>950</w:t>
            </w:r>
          </w:p>
        </w:tc>
        <w:tc>
          <w:tcPr>
            <w:tcW w:w="1739" w:type="dxa"/>
            <w:noWrap/>
            <w:vAlign w:val="bottom"/>
            <w:hideMark/>
          </w:tcPr>
          <w:p w:rsidRPr="009E4584" w:rsidR="00903175" w:rsidP="009E4584" w:rsidRDefault="00903175" w14:paraId="37A7B9FF" w14:textId="77777777">
            <w:pPr>
              <w:pStyle w:val="Normalutanindragellerluft"/>
              <w:spacing w:line="240" w:lineRule="exact"/>
              <w:jc w:val="right"/>
              <w:rPr>
                <w:sz w:val="20"/>
                <w:szCs w:val="20"/>
              </w:rPr>
            </w:pPr>
          </w:p>
        </w:tc>
      </w:tr>
      <w:tr w:rsidRPr="009E4584" w:rsidR="00903175" w:rsidTr="00A84F1B" w14:paraId="681BB036" w14:textId="77777777">
        <w:trPr>
          <w:trHeight w:val="300"/>
        </w:trPr>
        <w:tc>
          <w:tcPr>
            <w:tcW w:w="1172" w:type="dxa"/>
            <w:noWrap/>
            <w:hideMark/>
          </w:tcPr>
          <w:p w:rsidRPr="009E4584" w:rsidR="00903175" w:rsidP="009E4584" w:rsidRDefault="00903175" w14:paraId="1F2021AF" w14:textId="77777777">
            <w:pPr>
              <w:pStyle w:val="Normalutanindragellerluft"/>
              <w:spacing w:line="240" w:lineRule="exact"/>
              <w:rPr>
                <w:sz w:val="20"/>
                <w:szCs w:val="20"/>
              </w:rPr>
            </w:pPr>
            <w:r w:rsidRPr="009E4584">
              <w:rPr>
                <w:sz w:val="20"/>
                <w:szCs w:val="20"/>
              </w:rPr>
              <w:t>1:4</w:t>
            </w:r>
          </w:p>
        </w:tc>
        <w:tc>
          <w:tcPr>
            <w:tcW w:w="4352" w:type="dxa"/>
            <w:noWrap/>
            <w:hideMark/>
          </w:tcPr>
          <w:p w:rsidRPr="009E4584" w:rsidR="00903175" w:rsidP="009E4584" w:rsidRDefault="00903175" w14:paraId="2EB8F3CB" w14:textId="77777777">
            <w:pPr>
              <w:pStyle w:val="Normalutanindragellerluft"/>
              <w:spacing w:line="240" w:lineRule="exact"/>
              <w:rPr>
                <w:sz w:val="20"/>
                <w:szCs w:val="20"/>
              </w:rPr>
            </w:pPr>
            <w:r w:rsidRPr="009E4584">
              <w:rPr>
                <w:sz w:val="20"/>
                <w:szCs w:val="20"/>
              </w:rPr>
              <w:t>Stöd med anledning av flyktingsituationen</w:t>
            </w:r>
          </w:p>
        </w:tc>
        <w:tc>
          <w:tcPr>
            <w:tcW w:w="1422" w:type="dxa"/>
            <w:noWrap/>
            <w:vAlign w:val="bottom"/>
            <w:hideMark/>
          </w:tcPr>
          <w:p w:rsidRPr="009E4584" w:rsidR="00903175" w:rsidP="009E4584" w:rsidRDefault="00903175" w14:paraId="086D7596" w14:textId="47E78A26">
            <w:pPr>
              <w:pStyle w:val="Normalutanindragellerluft"/>
              <w:spacing w:line="240" w:lineRule="exact"/>
              <w:jc w:val="right"/>
              <w:rPr>
                <w:sz w:val="20"/>
                <w:szCs w:val="20"/>
              </w:rPr>
            </w:pPr>
            <w:r w:rsidRPr="009E4584">
              <w:rPr>
                <w:sz w:val="20"/>
                <w:szCs w:val="20"/>
              </w:rPr>
              <w:t>5</w:t>
            </w:r>
            <w:r w:rsidR="00A84F1B">
              <w:rPr>
                <w:sz w:val="20"/>
                <w:szCs w:val="20"/>
              </w:rPr>
              <w:t xml:space="preserve"> </w:t>
            </w:r>
            <w:r w:rsidRPr="009E4584">
              <w:rPr>
                <w:sz w:val="20"/>
                <w:szCs w:val="20"/>
              </w:rPr>
              <w:t>000</w:t>
            </w:r>
            <w:r w:rsidR="00A84F1B">
              <w:rPr>
                <w:sz w:val="20"/>
                <w:szCs w:val="20"/>
              </w:rPr>
              <w:t xml:space="preserve"> </w:t>
            </w:r>
            <w:r w:rsidRPr="009E4584">
              <w:rPr>
                <w:sz w:val="20"/>
                <w:szCs w:val="20"/>
              </w:rPr>
              <w:t>000</w:t>
            </w:r>
          </w:p>
        </w:tc>
        <w:tc>
          <w:tcPr>
            <w:tcW w:w="1739" w:type="dxa"/>
            <w:noWrap/>
            <w:vAlign w:val="bottom"/>
            <w:hideMark/>
          </w:tcPr>
          <w:p w:rsidRPr="009E4584" w:rsidR="00903175" w:rsidP="009E4584" w:rsidRDefault="00903175" w14:paraId="6A44AFDD" w14:textId="77777777">
            <w:pPr>
              <w:pStyle w:val="Normalutanindragellerluft"/>
              <w:spacing w:line="240" w:lineRule="exact"/>
              <w:jc w:val="right"/>
              <w:rPr>
                <w:sz w:val="20"/>
                <w:szCs w:val="20"/>
              </w:rPr>
            </w:pPr>
          </w:p>
        </w:tc>
      </w:tr>
      <w:tr w:rsidRPr="009E4584" w:rsidR="00903175" w:rsidTr="00A84F1B" w14:paraId="2682A078" w14:textId="77777777">
        <w:trPr>
          <w:trHeight w:val="300"/>
        </w:trPr>
        <w:tc>
          <w:tcPr>
            <w:tcW w:w="1172" w:type="dxa"/>
            <w:noWrap/>
            <w:hideMark/>
          </w:tcPr>
          <w:p w:rsidRPr="009E4584" w:rsidR="00903175" w:rsidP="009E4584" w:rsidRDefault="00903175" w14:paraId="0943FC49" w14:textId="77777777">
            <w:pPr>
              <w:pStyle w:val="Normalutanindragellerluft"/>
              <w:spacing w:line="240" w:lineRule="exact"/>
              <w:rPr>
                <w:sz w:val="20"/>
                <w:szCs w:val="20"/>
              </w:rPr>
            </w:pPr>
            <w:r w:rsidRPr="009E4584">
              <w:rPr>
                <w:sz w:val="20"/>
                <w:szCs w:val="20"/>
              </w:rPr>
              <w:t>1:5</w:t>
            </w:r>
          </w:p>
        </w:tc>
        <w:tc>
          <w:tcPr>
            <w:tcW w:w="4352" w:type="dxa"/>
            <w:noWrap/>
            <w:hideMark/>
          </w:tcPr>
          <w:p w:rsidRPr="009E4584" w:rsidR="00903175" w:rsidP="009E4584" w:rsidRDefault="00903175" w14:paraId="103228E1" w14:textId="77777777">
            <w:pPr>
              <w:pStyle w:val="Normalutanindragellerluft"/>
              <w:spacing w:line="240" w:lineRule="exact"/>
              <w:rPr>
                <w:sz w:val="20"/>
                <w:szCs w:val="20"/>
              </w:rPr>
            </w:pPr>
            <w:r w:rsidRPr="009E4584">
              <w:rPr>
                <w:sz w:val="20"/>
                <w:szCs w:val="20"/>
              </w:rPr>
              <w:t>Bidrag för arbete mot långtidsarbetslöshet</w:t>
            </w:r>
          </w:p>
        </w:tc>
        <w:tc>
          <w:tcPr>
            <w:tcW w:w="1422" w:type="dxa"/>
            <w:noWrap/>
            <w:vAlign w:val="bottom"/>
            <w:hideMark/>
          </w:tcPr>
          <w:p w:rsidRPr="009E4584" w:rsidR="00903175" w:rsidP="009E4584" w:rsidRDefault="00903175" w14:paraId="6F570798" w14:textId="7D3323E0">
            <w:pPr>
              <w:pStyle w:val="Normalutanindragellerluft"/>
              <w:spacing w:line="240" w:lineRule="exact"/>
              <w:jc w:val="right"/>
              <w:rPr>
                <w:sz w:val="20"/>
                <w:szCs w:val="20"/>
              </w:rPr>
            </w:pPr>
            <w:r w:rsidRPr="009E4584">
              <w:rPr>
                <w:sz w:val="20"/>
                <w:szCs w:val="20"/>
              </w:rPr>
              <w:t>500</w:t>
            </w:r>
            <w:r w:rsidR="00A84F1B">
              <w:rPr>
                <w:sz w:val="20"/>
                <w:szCs w:val="20"/>
              </w:rPr>
              <w:t xml:space="preserve"> </w:t>
            </w:r>
            <w:r w:rsidRPr="009E4584">
              <w:rPr>
                <w:sz w:val="20"/>
                <w:szCs w:val="20"/>
              </w:rPr>
              <w:t>000</w:t>
            </w:r>
          </w:p>
        </w:tc>
        <w:tc>
          <w:tcPr>
            <w:tcW w:w="1739" w:type="dxa"/>
            <w:noWrap/>
            <w:vAlign w:val="bottom"/>
            <w:hideMark/>
          </w:tcPr>
          <w:p w:rsidRPr="009E4584" w:rsidR="00903175" w:rsidP="009E4584" w:rsidRDefault="009E4584" w14:paraId="78CB3379" w14:textId="6FBE2742">
            <w:pPr>
              <w:pStyle w:val="Normalutanindragellerluft"/>
              <w:spacing w:line="240" w:lineRule="exact"/>
              <w:jc w:val="right"/>
              <w:rPr>
                <w:sz w:val="20"/>
                <w:szCs w:val="20"/>
              </w:rPr>
            </w:pPr>
            <w:r>
              <w:rPr>
                <w:sz w:val="20"/>
                <w:szCs w:val="20"/>
              </w:rPr>
              <w:t>–</w:t>
            </w:r>
            <w:r w:rsidRPr="009E4584" w:rsidR="00903175">
              <w:rPr>
                <w:sz w:val="20"/>
                <w:szCs w:val="20"/>
              </w:rPr>
              <w:t>500</w:t>
            </w:r>
            <w:r w:rsidR="00A84F1B">
              <w:rPr>
                <w:sz w:val="20"/>
                <w:szCs w:val="20"/>
              </w:rPr>
              <w:t xml:space="preserve"> </w:t>
            </w:r>
            <w:r w:rsidRPr="009E4584" w:rsidR="00903175">
              <w:rPr>
                <w:sz w:val="20"/>
                <w:szCs w:val="20"/>
              </w:rPr>
              <w:t>000</w:t>
            </w:r>
          </w:p>
        </w:tc>
      </w:tr>
      <w:tr w:rsidRPr="009E4584" w:rsidR="00903175" w:rsidTr="00A84F1B" w14:paraId="7042061D" w14:textId="77777777">
        <w:trPr>
          <w:trHeight w:val="300"/>
        </w:trPr>
        <w:tc>
          <w:tcPr>
            <w:tcW w:w="1172" w:type="dxa"/>
            <w:tcBorders>
              <w:bottom w:val="single" w:color="auto" w:sz="4" w:space="0"/>
            </w:tcBorders>
            <w:noWrap/>
            <w:hideMark/>
          </w:tcPr>
          <w:p w:rsidRPr="009E4584" w:rsidR="00903175" w:rsidP="009E4584" w:rsidRDefault="00903175" w14:paraId="7C52EAA4" w14:textId="77777777">
            <w:pPr>
              <w:pStyle w:val="Normalutanindragellerluft"/>
              <w:spacing w:line="240" w:lineRule="exact"/>
              <w:rPr>
                <w:b/>
                <w:sz w:val="20"/>
                <w:szCs w:val="20"/>
              </w:rPr>
            </w:pPr>
          </w:p>
        </w:tc>
        <w:tc>
          <w:tcPr>
            <w:tcW w:w="4352" w:type="dxa"/>
            <w:tcBorders>
              <w:bottom w:val="single" w:color="auto" w:sz="4" w:space="0"/>
            </w:tcBorders>
            <w:noWrap/>
            <w:hideMark/>
          </w:tcPr>
          <w:p w:rsidRPr="009E4584" w:rsidR="00903175" w:rsidP="009E4584" w:rsidRDefault="00903175" w14:paraId="1400879F" w14:textId="77777777">
            <w:pPr>
              <w:pStyle w:val="Normalutanindragellerluft"/>
              <w:spacing w:line="240" w:lineRule="exact"/>
              <w:rPr>
                <w:b/>
                <w:sz w:val="20"/>
                <w:szCs w:val="20"/>
              </w:rPr>
            </w:pPr>
            <w:r w:rsidRPr="009E4584">
              <w:rPr>
                <w:b/>
                <w:sz w:val="20"/>
                <w:szCs w:val="20"/>
              </w:rPr>
              <w:t>Summa</w:t>
            </w:r>
          </w:p>
        </w:tc>
        <w:tc>
          <w:tcPr>
            <w:tcW w:w="1422" w:type="dxa"/>
            <w:tcBorders>
              <w:bottom w:val="single" w:color="auto" w:sz="4" w:space="0"/>
            </w:tcBorders>
            <w:noWrap/>
            <w:vAlign w:val="bottom"/>
            <w:hideMark/>
          </w:tcPr>
          <w:p w:rsidRPr="009E4584" w:rsidR="00903175" w:rsidP="009E4584" w:rsidRDefault="00903175" w14:paraId="735FA3EB" w14:textId="094826F6">
            <w:pPr>
              <w:pStyle w:val="Normalutanindragellerluft"/>
              <w:spacing w:line="240" w:lineRule="exact"/>
              <w:jc w:val="right"/>
              <w:rPr>
                <w:b/>
                <w:sz w:val="20"/>
                <w:szCs w:val="20"/>
              </w:rPr>
            </w:pPr>
            <w:r w:rsidRPr="009E4584">
              <w:rPr>
                <w:b/>
                <w:sz w:val="20"/>
                <w:szCs w:val="20"/>
              </w:rPr>
              <w:t>115</w:t>
            </w:r>
            <w:r w:rsidR="00A84F1B">
              <w:rPr>
                <w:b/>
                <w:sz w:val="20"/>
                <w:szCs w:val="20"/>
              </w:rPr>
              <w:t xml:space="preserve"> </w:t>
            </w:r>
            <w:r w:rsidRPr="009E4584">
              <w:rPr>
                <w:b/>
                <w:sz w:val="20"/>
                <w:szCs w:val="20"/>
              </w:rPr>
              <w:t>892</w:t>
            </w:r>
            <w:r w:rsidR="00A84F1B">
              <w:rPr>
                <w:b/>
                <w:sz w:val="20"/>
                <w:szCs w:val="20"/>
              </w:rPr>
              <w:t xml:space="preserve"> </w:t>
            </w:r>
            <w:r w:rsidRPr="009E4584">
              <w:rPr>
                <w:b/>
                <w:sz w:val="20"/>
                <w:szCs w:val="20"/>
              </w:rPr>
              <w:t>772</w:t>
            </w:r>
          </w:p>
        </w:tc>
        <w:tc>
          <w:tcPr>
            <w:tcW w:w="1739" w:type="dxa"/>
            <w:tcBorders>
              <w:bottom w:val="single" w:color="auto" w:sz="4" w:space="0"/>
            </w:tcBorders>
            <w:noWrap/>
            <w:vAlign w:val="bottom"/>
            <w:hideMark/>
          </w:tcPr>
          <w:p w:rsidRPr="009E4584" w:rsidR="00903175" w:rsidP="009E4584" w:rsidRDefault="00903175" w14:paraId="37206150" w14:textId="431F6E97">
            <w:pPr>
              <w:pStyle w:val="Normalutanindragellerluft"/>
              <w:spacing w:line="240" w:lineRule="exact"/>
              <w:jc w:val="right"/>
              <w:rPr>
                <w:b/>
                <w:sz w:val="20"/>
                <w:szCs w:val="20"/>
              </w:rPr>
            </w:pPr>
            <w:r w:rsidRPr="009E4584">
              <w:rPr>
                <w:b/>
                <w:sz w:val="20"/>
                <w:szCs w:val="20"/>
              </w:rPr>
              <w:t>2</w:t>
            </w:r>
            <w:r w:rsidR="00A84F1B">
              <w:rPr>
                <w:b/>
                <w:sz w:val="20"/>
                <w:szCs w:val="20"/>
              </w:rPr>
              <w:t xml:space="preserve"> </w:t>
            </w:r>
            <w:r w:rsidRPr="009E4584">
              <w:rPr>
                <w:b/>
                <w:sz w:val="20"/>
                <w:szCs w:val="20"/>
              </w:rPr>
              <w:t>102</w:t>
            </w:r>
            <w:r w:rsidR="00A84F1B">
              <w:rPr>
                <w:b/>
                <w:sz w:val="20"/>
                <w:szCs w:val="20"/>
              </w:rPr>
              <w:t xml:space="preserve"> </w:t>
            </w:r>
            <w:r w:rsidRPr="009E4584">
              <w:rPr>
                <w:b/>
                <w:sz w:val="20"/>
                <w:szCs w:val="20"/>
              </w:rPr>
              <w:t>000</w:t>
            </w:r>
          </w:p>
        </w:tc>
      </w:tr>
      <w:tr w:rsidRPr="009E4584" w:rsidR="00903175" w:rsidTr="00A84F1B" w14:paraId="7C408F7A" w14:textId="77777777">
        <w:trPr>
          <w:trHeight w:val="300"/>
        </w:trPr>
        <w:tc>
          <w:tcPr>
            <w:tcW w:w="1172" w:type="dxa"/>
            <w:tcBorders>
              <w:top w:val="single" w:color="auto" w:sz="4" w:space="0"/>
            </w:tcBorders>
            <w:noWrap/>
            <w:hideMark/>
          </w:tcPr>
          <w:p w:rsidRPr="009E4584" w:rsidR="00903175" w:rsidP="009E4584" w:rsidRDefault="00903175" w14:paraId="2FF16E63" w14:textId="77777777">
            <w:pPr>
              <w:pStyle w:val="Normalutanindragellerluft"/>
              <w:spacing w:line="240" w:lineRule="exact"/>
              <w:rPr>
                <w:sz w:val="20"/>
                <w:szCs w:val="20"/>
              </w:rPr>
            </w:pPr>
          </w:p>
        </w:tc>
        <w:tc>
          <w:tcPr>
            <w:tcW w:w="4352" w:type="dxa"/>
            <w:tcBorders>
              <w:top w:val="single" w:color="auto" w:sz="4" w:space="0"/>
            </w:tcBorders>
            <w:noWrap/>
            <w:hideMark/>
          </w:tcPr>
          <w:p w:rsidRPr="00A84F1B" w:rsidR="00903175" w:rsidP="009E4584" w:rsidRDefault="00903175" w14:paraId="5C249C83" w14:textId="77777777">
            <w:pPr>
              <w:pStyle w:val="Normalutanindragellerluft"/>
              <w:spacing w:line="240" w:lineRule="exact"/>
              <w:rPr>
                <w:b/>
                <w:sz w:val="20"/>
                <w:szCs w:val="20"/>
              </w:rPr>
            </w:pPr>
            <w:r w:rsidRPr="00A84F1B">
              <w:rPr>
                <w:b/>
                <w:sz w:val="20"/>
                <w:szCs w:val="20"/>
              </w:rPr>
              <w:t>Specificering av anslagsförändringar</w:t>
            </w:r>
          </w:p>
        </w:tc>
        <w:tc>
          <w:tcPr>
            <w:tcW w:w="1422" w:type="dxa"/>
            <w:tcBorders>
              <w:top w:val="single" w:color="auto" w:sz="4" w:space="0"/>
            </w:tcBorders>
            <w:noWrap/>
            <w:vAlign w:val="bottom"/>
            <w:hideMark/>
          </w:tcPr>
          <w:p w:rsidRPr="009E4584" w:rsidR="00903175" w:rsidP="009E4584" w:rsidRDefault="00903175" w14:paraId="0395318C" w14:textId="77777777">
            <w:pPr>
              <w:pStyle w:val="Normalutanindragellerluft"/>
              <w:spacing w:line="240" w:lineRule="exact"/>
              <w:jc w:val="right"/>
              <w:rPr>
                <w:sz w:val="20"/>
                <w:szCs w:val="20"/>
              </w:rPr>
            </w:pPr>
          </w:p>
        </w:tc>
        <w:tc>
          <w:tcPr>
            <w:tcW w:w="1739" w:type="dxa"/>
            <w:tcBorders>
              <w:top w:val="single" w:color="auto" w:sz="4" w:space="0"/>
            </w:tcBorders>
            <w:noWrap/>
            <w:vAlign w:val="bottom"/>
            <w:hideMark/>
          </w:tcPr>
          <w:p w:rsidRPr="009E4584" w:rsidR="00903175" w:rsidP="009E4584" w:rsidRDefault="00903175" w14:paraId="0D9A872D" w14:textId="77777777">
            <w:pPr>
              <w:pStyle w:val="Normalutanindragellerluft"/>
              <w:spacing w:line="240" w:lineRule="exact"/>
              <w:jc w:val="right"/>
              <w:rPr>
                <w:sz w:val="20"/>
                <w:szCs w:val="20"/>
              </w:rPr>
            </w:pPr>
          </w:p>
        </w:tc>
      </w:tr>
      <w:tr w:rsidRPr="009E4584" w:rsidR="00903175" w:rsidTr="00A84F1B" w14:paraId="19E7DC41" w14:textId="77777777">
        <w:trPr>
          <w:trHeight w:val="300"/>
        </w:trPr>
        <w:tc>
          <w:tcPr>
            <w:tcW w:w="1172" w:type="dxa"/>
            <w:noWrap/>
            <w:hideMark/>
          </w:tcPr>
          <w:p w:rsidRPr="009E4584" w:rsidR="00903175" w:rsidP="009E4584" w:rsidRDefault="00903175" w14:paraId="53CD3C1F"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03885465"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201A6615"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2FCB00BB" w14:textId="46824E72">
            <w:pPr>
              <w:pStyle w:val="Normalutanindragellerluft"/>
              <w:spacing w:line="240" w:lineRule="exact"/>
              <w:jc w:val="right"/>
              <w:rPr>
                <w:sz w:val="20"/>
                <w:szCs w:val="20"/>
              </w:rPr>
            </w:pPr>
            <w:r w:rsidRPr="009E4584">
              <w:rPr>
                <w:sz w:val="20"/>
                <w:szCs w:val="20"/>
              </w:rPr>
              <w:t>1</w:t>
            </w:r>
            <w:r w:rsidR="00A84F1B">
              <w:rPr>
                <w:sz w:val="20"/>
                <w:szCs w:val="20"/>
              </w:rPr>
              <w:t xml:space="preserve"> </w:t>
            </w:r>
            <w:r w:rsidRPr="009E4584">
              <w:rPr>
                <w:sz w:val="20"/>
                <w:szCs w:val="20"/>
              </w:rPr>
              <w:t>650</w:t>
            </w:r>
            <w:r w:rsidR="00A84F1B">
              <w:rPr>
                <w:sz w:val="20"/>
                <w:szCs w:val="20"/>
              </w:rPr>
              <w:t xml:space="preserve"> </w:t>
            </w:r>
            <w:r w:rsidRPr="009E4584">
              <w:rPr>
                <w:sz w:val="20"/>
                <w:szCs w:val="20"/>
              </w:rPr>
              <w:t>000</w:t>
            </w:r>
          </w:p>
        </w:tc>
      </w:tr>
      <w:tr w:rsidRPr="009E4584" w:rsidR="00903175" w:rsidTr="00A84F1B" w14:paraId="11B8F25D" w14:textId="77777777">
        <w:trPr>
          <w:trHeight w:val="300"/>
        </w:trPr>
        <w:tc>
          <w:tcPr>
            <w:tcW w:w="1172" w:type="dxa"/>
            <w:noWrap/>
            <w:hideMark/>
          </w:tcPr>
          <w:p w:rsidRPr="009E4584" w:rsidR="00903175" w:rsidP="009E4584" w:rsidRDefault="00903175" w14:paraId="6EF966AD"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70E4FC79"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1BB69117"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45E8DED2" w14:textId="78F8FBE7">
            <w:pPr>
              <w:pStyle w:val="Normalutanindragellerluft"/>
              <w:spacing w:line="240" w:lineRule="exact"/>
              <w:jc w:val="right"/>
              <w:rPr>
                <w:sz w:val="20"/>
                <w:szCs w:val="20"/>
              </w:rPr>
            </w:pPr>
            <w:r w:rsidRPr="009E4584">
              <w:rPr>
                <w:sz w:val="20"/>
                <w:szCs w:val="20"/>
              </w:rPr>
              <w:t>650</w:t>
            </w:r>
            <w:r w:rsidR="00A84F1B">
              <w:rPr>
                <w:sz w:val="20"/>
                <w:szCs w:val="20"/>
              </w:rPr>
              <w:t xml:space="preserve"> </w:t>
            </w:r>
            <w:r w:rsidRPr="009E4584">
              <w:rPr>
                <w:sz w:val="20"/>
                <w:szCs w:val="20"/>
              </w:rPr>
              <w:t>000</w:t>
            </w:r>
          </w:p>
        </w:tc>
      </w:tr>
      <w:tr w:rsidRPr="009E4584" w:rsidR="00903175" w:rsidTr="00A84F1B" w14:paraId="5C7DC7C2" w14:textId="77777777">
        <w:trPr>
          <w:trHeight w:val="300"/>
        </w:trPr>
        <w:tc>
          <w:tcPr>
            <w:tcW w:w="1172" w:type="dxa"/>
            <w:noWrap/>
            <w:hideMark/>
          </w:tcPr>
          <w:p w:rsidRPr="009E4584" w:rsidR="00903175" w:rsidP="009E4584" w:rsidRDefault="00903175" w14:paraId="7F36859D"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69B0E233"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41E2BCA2"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326B613A" w14:textId="49081D5E">
            <w:pPr>
              <w:pStyle w:val="Normalutanindragellerluft"/>
              <w:spacing w:line="240" w:lineRule="exact"/>
              <w:jc w:val="right"/>
              <w:rPr>
                <w:sz w:val="20"/>
                <w:szCs w:val="20"/>
              </w:rPr>
            </w:pPr>
            <w:r w:rsidRPr="009E4584">
              <w:rPr>
                <w:sz w:val="20"/>
                <w:szCs w:val="20"/>
              </w:rPr>
              <w:t>400</w:t>
            </w:r>
            <w:r w:rsidR="00A84F1B">
              <w:rPr>
                <w:sz w:val="20"/>
                <w:szCs w:val="20"/>
              </w:rPr>
              <w:t xml:space="preserve"> </w:t>
            </w:r>
            <w:r w:rsidRPr="009E4584">
              <w:rPr>
                <w:sz w:val="20"/>
                <w:szCs w:val="20"/>
              </w:rPr>
              <w:t>000</w:t>
            </w:r>
          </w:p>
        </w:tc>
      </w:tr>
      <w:tr w:rsidRPr="009E4584" w:rsidR="00903175" w:rsidTr="00A84F1B" w14:paraId="552E9DE6" w14:textId="77777777">
        <w:trPr>
          <w:trHeight w:val="300"/>
        </w:trPr>
        <w:tc>
          <w:tcPr>
            <w:tcW w:w="1172" w:type="dxa"/>
            <w:noWrap/>
            <w:hideMark/>
          </w:tcPr>
          <w:p w:rsidRPr="009E4584" w:rsidR="00903175" w:rsidP="009E4584" w:rsidRDefault="00903175" w14:paraId="60654793"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2877B409"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13428AC0"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7AD1942E" w14:textId="086BB866">
            <w:pPr>
              <w:pStyle w:val="Normalutanindragellerluft"/>
              <w:spacing w:line="240" w:lineRule="exact"/>
              <w:jc w:val="right"/>
              <w:rPr>
                <w:sz w:val="20"/>
                <w:szCs w:val="20"/>
              </w:rPr>
            </w:pPr>
            <w:r w:rsidRPr="009E4584">
              <w:rPr>
                <w:sz w:val="20"/>
                <w:szCs w:val="20"/>
              </w:rPr>
              <w:t>245</w:t>
            </w:r>
            <w:r w:rsidR="00A84F1B">
              <w:rPr>
                <w:sz w:val="20"/>
                <w:szCs w:val="20"/>
              </w:rPr>
              <w:t xml:space="preserve"> </w:t>
            </w:r>
            <w:r w:rsidRPr="009E4584">
              <w:rPr>
                <w:sz w:val="20"/>
                <w:szCs w:val="20"/>
              </w:rPr>
              <w:t>000</w:t>
            </w:r>
          </w:p>
        </w:tc>
      </w:tr>
      <w:tr w:rsidRPr="009E4584" w:rsidR="00903175" w:rsidTr="00A84F1B" w14:paraId="007D760C" w14:textId="77777777">
        <w:trPr>
          <w:trHeight w:val="300"/>
        </w:trPr>
        <w:tc>
          <w:tcPr>
            <w:tcW w:w="1172" w:type="dxa"/>
            <w:noWrap/>
            <w:hideMark/>
          </w:tcPr>
          <w:p w:rsidRPr="009E4584" w:rsidR="00903175" w:rsidP="009E4584" w:rsidRDefault="00903175" w14:paraId="786C5DB0"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705320AC"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40194A84"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254C7050" w14:textId="55EFEE4B">
            <w:pPr>
              <w:pStyle w:val="Normalutanindragellerluft"/>
              <w:spacing w:line="240" w:lineRule="exact"/>
              <w:jc w:val="right"/>
              <w:rPr>
                <w:sz w:val="20"/>
                <w:szCs w:val="20"/>
              </w:rPr>
            </w:pPr>
            <w:r w:rsidRPr="009E4584">
              <w:rPr>
                <w:sz w:val="20"/>
                <w:szCs w:val="20"/>
              </w:rPr>
              <w:t>200</w:t>
            </w:r>
            <w:r w:rsidR="00A84F1B">
              <w:rPr>
                <w:sz w:val="20"/>
                <w:szCs w:val="20"/>
              </w:rPr>
              <w:t xml:space="preserve"> </w:t>
            </w:r>
            <w:r w:rsidRPr="009E4584">
              <w:rPr>
                <w:sz w:val="20"/>
                <w:szCs w:val="20"/>
              </w:rPr>
              <w:t>000</w:t>
            </w:r>
          </w:p>
        </w:tc>
      </w:tr>
      <w:tr w:rsidRPr="009E4584" w:rsidR="00903175" w:rsidTr="00A84F1B" w14:paraId="1ED9F82F" w14:textId="77777777">
        <w:trPr>
          <w:trHeight w:val="300"/>
        </w:trPr>
        <w:tc>
          <w:tcPr>
            <w:tcW w:w="1172" w:type="dxa"/>
            <w:noWrap/>
            <w:hideMark/>
          </w:tcPr>
          <w:p w:rsidRPr="009E4584" w:rsidR="00903175" w:rsidP="009E4584" w:rsidRDefault="00903175" w14:paraId="68265AB0"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2271F1D9"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0857E3F5"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2ED0E47A" w14:textId="65A22010">
            <w:pPr>
              <w:pStyle w:val="Normalutanindragellerluft"/>
              <w:spacing w:line="240" w:lineRule="exact"/>
              <w:jc w:val="right"/>
              <w:rPr>
                <w:sz w:val="20"/>
                <w:szCs w:val="20"/>
              </w:rPr>
            </w:pPr>
            <w:r w:rsidRPr="009E4584">
              <w:rPr>
                <w:sz w:val="20"/>
                <w:szCs w:val="20"/>
              </w:rPr>
              <w:t>125</w:t>
            </w:r>
            <w:r w:rsidR="00A84F1B">
              <w:rPr>
                <w:sz w:val="20"/>
                <w:szCs w:val="20"/>
              </w:rPr>
              <w:t xml:space="preserve"> </w:t>
            </w:r>
            <w:r w:rsidRPr="009E4584">
              <w:rPr>
                <w:sz w:val="20"/>
                <w:szCs w:val="20"/>
              </w:rPr>
              <w:t>000</w:t>
            </w:r>
          </w:p>
        </w:tc>
      </w:tr>
      <w:tr w:rsidRPr="009E4584" w:rsidR="00903175" w:rsidTr="00A84F1B" w14:paraId="5992036F" w14:textId="77777777">
        <w:trPr>
          <w:trHeight w:val="300"/>
        </w:trPr>
        <w:tc>
          <w:tcPr>
            <w:tcW w:w="1172" w:type="dxa"/>
            <w:noWrap/>
            <w:hideMark/>
          </w:tcPr>
          <w:p w:rsidRPr="009E4584" w:rsidR="00903175" w:rsidP="009E4584" w:rsidRDefault="00903175" w14:paraId="2B12F114"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10B7431E"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619687E0"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66E77C22" w14:textId="7ED22B05">
            <w:pPr>
              <w:pStyle w:val="Normalutanindragellerluft"/>
              <w:spacing w:line="240" w:lineRule="exact"/>
              <w:jc w:val="right"/>
              <w:rPr>
                <w:sz w:val="20"/>
                <w:szCs w:val="20"/>
              </w:rPr>
            </w:pPr>
            <w:r w:rsidRPr="009E4584">
              <w:rPr>
                <w:sz w:val="20"/>
                <w:szCs w:val="20"/>
              </w:rPr>
              <w:t>120</w:t>
            </w:r>
            <w:r w:rsidR="00A84F1B">
              <w:rPr>
                <w:sz w:val="20"/>
                <w:szCs w:val="20"/>
              </w:rPr>
              <w:t xml:space="preserve"> </w:t>
            </w:r>
            <w:r w:rsidRPr="009E4584">
              <w:rPr>
                <w:sz w:val="20"/>
                <w:szCs w:val="20"/>
              </w:rPr>
              <w:t>000</w:t>
            </w:r>
          </w:p>
        </w:tc>
      </w:tr>
      <w:tr w:rsidRPr="009E4584" w:rsidR="00903175" w:rsidTr="00A84F1B" w14:paraId="02748FD3" w14:textId="77777777">
        <w:trPr>
          <w:trHeight w:val="300"/>
        </w:trPr>
        <w:tc>
          <w:tcPr>
            <w:tcW w:w="1172" w:type="dxa"/>
            <w:noWrap/>
            <w:hideMark/>
          </w:tcPr>
          <w:p w:rsidRPr="009E4584" w:rsidR="00903175" w:rsidP="009E4584" w:rsidRDefault="00903175" w14:paraId="519AA66B" w14:textId="77777777">
            <w:pPr>
              <w:pStyle w:val="Normalutanindragellerluft"/>
              <w:spacing w:line="240" w:lineRule="exact"/>
              <w:rPr>
                <w:sz w:val="20"/>
                <w:szCs w:val="20"/>
              </w:rPr>
            </w:pPr>
            <w:r w:rsidRPr="009E4584">
              <w:rPr>
                <w:sz w:val="20"/>
                <w:szCs w:val="20"/>
              </w:rPr>
              <w:lastRenderedPageBreak/>
              <w:t>1:1</w:t>
            </w:r>
          </w:p>
        </w:tc>
        <w:tc>
          <w:tcPr>
            <w:tcW w:w="4352" w:type="dxa"/>
            <w:noWrap/>
            <w:hideMark/>
          </w:tcPr>
          <w:p w:rsidRPr="009E4584" w:rsidR="00903175" w:rsidP="009E4584" w:rsidRDefault="00903175" w14:paraId="34EF42B2"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59DE68C0"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44656F88" w14:textId="74B637C5">
            <w:pPr>
              <w:pStyle w:val="Normalutanindragellerluft"/>
              <w:spacing w:line="240" w:lineRule="exact"/>
              <w:jc w:val="right"/>
              <w:rPr>
                <w:sz w:val="20"/>
                <w:szCs w:val="20"/>
              </w:rPr>
            </w:pPr>
            <w:r w:rsidRPr="009E4584">
              <w:rPr>
                <w:sz w:val="20"/>
                <w:szCs w:val="20"/>
              </w:rPr>
              <w:t>100</w:t>
            </w:r>
            <w:r w:rsidR="00A84F1B">
              <w:rPr>
                <w:sz w:val="20"/>
                <w:szCs w:val="20"/>
              </w:rPr>
              <w:t xml:space="preserve"> </w:t>
            </w:r>
            <w:r w:rsidRPr="009E4584">
              <w:rPr>
                <w:sz w:val="20"/>
                <w:szCs w:val="20"/>
              </w:rPr>
              <w:t>000</w:t>
            </w:r>
          </w:p>
        </w:tc>
      </w:tr>
      <w:tr w:rsidRPr="009E4584" w:rsidR="00903175" w:rsidTr="00A84F1B" w14:paraId="186062CD" w14:textId="77777777">
        <w:trPr>
          <w:trHeight w:val="300"/>
        </w:trPr>
        <w:tc>
          <w:tcPr>
            <w:tcW w:w="1172" w:type="dxa"/>
            <w:noWrap/>
            <w:hideMark/>
          </w:tcPr>
          <w:p w:rsidRPr="009E4584" w:rsidR="00903175" w:rsidP="009E4584" w:rsidRDefault="00903175" w14:paraId="4CBE35D8"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38246F0C"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68C4E617"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64BBEC2D" w14:textId="0578E9E4">
            <w:pPr>
              <w:pStyle w:val="Normalutanindragellerluft"/>
              <w:spacing w:line="240" w:lineRule="exact"/>
              <w:jc w:val="right"/>
              <w:rPr>
                <w:sz w:val="20"/>
                <w:szCs w:val="20"/>
              </w:rPr>
            </w:pPr>
            <w:r w:rsidRPr="009E4584">
              <w:rPr>
                <w:sz w:val="20"/>
                <w:szCs w:val="20"/>
              </w:rPr>
              <w:t>65</w:t>
            </w:r>
            <w:r w:rsidR="00A84F1B">
              <w:rPr>
                <w:sz w:val="20"/>
                <w:szCs w:val="20"/>
              </w:rPr>
              <w:t xml:space="preserve"> </w:t>
            </w:r>
            <w:r w:rsidRPr="009E4584">
              <w:rPr>
                <w:sz w:val="20"/>
                <w:szCs w:val="20"/>
              </w:rPr>
              <w:t>000</w:t>
            </w:r>
          </w:p>
        </w:tc>
      </w:tr>
      <w:tr w:rsidRPr="009E4584" w:rsidR="00903175" w:rsidTr="00A84F1B" w14:paraId="3AE21C33" w14:textId="77777777">
        <w:trPr>
          <w:trHeight w:val="300"/>
        </w:trPr>
        <w:tc>
          <w:tcPr>
            <w:tcW w:w="1172" w:type="dxa"/>
            <w:noWrap/>
            <w:hideMark/>
          </w:tcPr>
          <w:p w:rsidRPr="009E4584" w:rsidR="00903175" w:rsidP="009E4584" w:rsidRDefault="00903175" w14:paraId="44BB0DE4"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5710BF3D"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38857814"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E4584" w14:paraId="735C66D6" w14:textId="2716C54F">
            <w:pPr>
              <w:pStyle w:val="Normalutanindragellerluft"/>
              <w:spacing w:line="240" w:lineRule="exact"/>
              <w:jc w:val="right"/>
              <w:rPr>
                <w:sz w:val="20"/>
                <w:szCs w:val="20"/>
              </w:rPr>
            </w:pPr>
            <w:r>
              <w:rPr>
                <w:sz w:val="20"/>
                <w:szCs w:val="20"/>
              </w:rPr>
              <w:t>–</w:t>
            </w:r>
            <w:r w:rsidRPr="009E4584" w:rsidR="00903175">
              <w:rPr>
                <w:sz w:val="20"/>
                <w:szCs w:val="20"/>
              </w:rPr>
              <w:t>576</w:t>
            </w:r>
            <w:r w:rsidR="00A84F1B">
              <w:rPr>
                <w:sz w:val="20"/>
                <w:szCs w:val="20"/>
              </w:rPr>
              <w:t xml:space="preserve"> </w:t>
            </w:r>
            <w:r w:rsidRPr="009E4584" w:rsidR="00903175">
              <w:rPr>
                <w:sz w:val="20"/>
                <w:szCs w:val="20"/>
              </w:rPr>
              <w:t>000</w:t>
            </w:r>
          </w:p>
        </w:tc>
      </w:tr>
      <w:tr w:rsidRPr="009E4584" w:rsidR="00903175" w:rsidTr="00A84F1B" w14:paraId="7B4D0616" w14:textId="77777777">
        <w:trPr>
          <w:trHeight w:val="300"/>
        </w:trPr>
        <w:tc>
          <w:tcPr>
            <w:tcW w:w="1172" w:type="dxa"/>
            <w:noWrap/>
            <w:hideMark/>
          </w:tcPr>
          <w:p w:rsidRPr="009E4584" w:rsidR="00903175" w:rsidP="009E4584" w:rsidRDefault="00903175" w14:paraId="0F609F21"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08C57D39"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1B61AB15"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E4584" w14:paraId="0CED0106" w14:textId="7E23106D">
            <w:pPr>
              <w:pStyle w:val="Normalutanindragellerluft"/>
              <w:spacing w:line="240" w:lineRule="exact"/>
              <w:jc w:val="right"/>
              <w:rPr>
                <w:sz w:val="20"/>
                <w:szCs w:val="20"/>
              </w:rPr>
            </w:pPr>
            <w:r>
              <w:rPr>
                <w:sz w:val="20"/>
                <w:szCs w:val="20"/>
              </w:rPr>
              <w:t>–</w:t>
            </w:r>
            <w:r w:rsidRPr="009E4584" w:rsidR="00903175">
              <w:rPr>
                <w:sz w:val="20"/>
                <w:szCs w:val="20"/>
              </w:rPr>
              <w:t>200</w:t>
            </w:r>
            <w:r w:rsidR="00A84F1B">
              <w:rPr>
                <w:sz w:val="20"/>
                <w:szCs w:val="20"/>
              </w:rPr>
              <w:t xml:space="preserve"> </w:t>
            </w:r>
            <w:r w:rsidRPr="009E4584" w:rsidR="00903175">
              <w:rPr>
                <w:sz w:val="20"/>
                <w:szCs w:val="20"/>
              </w:rPr>
              <w:t>000</w:t>
            </w:r>
          </w:p>
        </w:tc>
      </w:tr>
      <w:tr w:rsidRPr="009E4584" w:rsidR="00903175" w:rsidTr="00A84F1B" w14:paraId="19398544" w14:textId="77777777">
        <w:trPr>
          <w:trHeight w:val="300"/>
        </w:trPr>
        <w:tc>
          <w:tcPr>
            <w:tcW w:w="1172" w:type="dxa"/>
            <w:noWrap/>
            <w:hideMark/>
          </w:tcPr>
          <w:p w:rsidRPr="009E4584" w:rsidR="00903175" w:rsidP="009E4584" w:rsidRDefault="00903175" w14:paraId="54EF8210"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035D7443"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3341D6A7"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E4584" w14:paraId="7FD493DD" w14:textId="1768221D">
            <w:pPr>
              <w:pStyle w:val="Normalutanindragellerluft"/>
              <w:spacing w:line="240" w:lineRule="exact"/>
              <w:jc w:val="right"/>
              <w:rPr>
                <w:sz w:val="20"/>
                <w:szCs w:val="20"/>
              </w:rPr>
            </w:pPr>
            <w:r>
              <w:rPr>
                <w:sz w:val="20"/>
                <w:szCs w:val="20"/>
              </w:rPr>
              <w:t>–</w:t>
            </w:r>
            <w:r w:rsidRPr="009E4584" w:rsidR="00903175">
              <w:rPr>
                <w:sz w:val="20"/>
                <w:szCs w:val="20"/>
              </w:rPr>
              <w:t>107</w:t>
            </w:r>
            <w:r w:rsidR="00A84F1B">
              <w:rPr>
                <w:sz w:val="20"/>
                <w:szCs w:val="20"/>
              </w:rPr>
              <w:t xml:space="preserve"> </w:t>
            </w:r>
            <w:r w:rsidRPr="009E4584" w:rsidR="00903175">
              <w:rPr>
                <w:sz w:val="20"/>
                <w:szCs w:val="20"/>
              </w:rPr>
              <w:t>000</w:t>
            </w:r>
          </w:p>
        </w:tc>
      </w:tr>
      <w:tr w:rsidRPr="009E4584" w:rsidR="00903175" w:rsidTr="00A84F1B" w14:paraId="14678D03" w14:textId="77777777">
        <w:trPr>
          <w:trHeight w:val="300"/>
        </w:trPr>
        <w:tc>
          <w:tcPr>
            <w:tcW w:w="1172" w:type="dxa"/>
            <w:noWrap/>
            <w:hideMark/>
          </w:tcPr>
          <w:p w:rsidRPr="009E4584" w:rsidR="00903175" w:rsidP="009E4584" w:rsidRDefault="00903175" w14:paraId="4EBA3E78"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59FB6758"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1CB88E70"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E4584" w14:paraId="6F3D0EA4" w14:textId="7DDE771A">
            <w:pPr>
              <w:pStyle w:val="Normalutanindragellerluft"/>
              <w:spacing w:line="240" w:lineRule="exact"/>
              <w:jc w:val="right"/>
              <w:rPr>
                <w:sz w:val="20"/>
                <w:szCs w:val="20"/>
              </w:rPr>
            </w:pPr>
            <w:r>
              <w:rPr>
                <w:sz w:val="20"/>
                <w:szCs w:val="20"/>
              </w:rPr>
              <w:t>–</w:t>
            </w:r>
            <w:r w:rsidRPr="009E4584" w:rsidR="00903175">
              <w:rPr>
                <w:sz w:val="20"/>
                <w:szCs w:val="20"/>
              </w:rPr>
              <w:t>70</w:t>
            </w:r>
            <w:r w:rsidR="00A84F1B">
              <w:rPr>
                <w:sz w:val="20"/>
                <w:szCs w:val="20"/>
              </w:rPr>
              <w:t xml:space="preserve"> </w:t>
            </w:r>
            <w:r w:rsidRPr="009E4584" w:rsidR="00903175">
              <w:rPr>
                <w:sz w:val="20"/>
                <w:szCs w:val="20"/>
              </w:rPr>
              <w:t>000</w:t>
            </w:r>
          </w:p>
        </w:tc>
      </w:tr>
      <w:tr w:rsidRPr="009E4584" w:rsidR="00903175" w:rsidTr="00A84F1B" w14:paraId="7D2F7E74" w14:textId="77777777">
        <w:trPr>
          <w:trHeight w:val="300"/>
        </w:trPr>
        <w:tc>
          <w:tcPr>
            <w:tcW w:w="1172" w:type="dxa"/>
            <w:noWrap/>
            <w:hideMark/>
          </w:tcPr>
          <w:p w:rsidRPr="009E4584" w:rsidR="00903175" w:rsidP="009E4584" w:rsidRDefault="00903175" w14:paraId="63996110" w14:textId="77777777">
            <w:pPr>
              <w:pStyle w:val="Normalutanindragellerluft"/>
              <w:spacing w:line="240" w:lineRule="exact"/>
              <w:rPr>
                <w:sz w:val="20"/>
                <w:szCs w:val="20"/>
              </w:rPr>
            </w:pPr>
            <w:r w:rsidRPr="009E4584">
              <w:rPr>
                <w:sz w:val="20"/>
                <w:szCs w:val="20"/>
              </w:rPr>
              <w:t>1:1</w:t>
            </w:r>
          </w:p>
        </w:tc>
        <w:tc>
          <w:tcPr>
            <w:tcW w:w="4352" w:type="dxa"/>
            <w:noWrap/>
            <w:hideMark/>
          </w:tcPr>
          <w:p w:rsidRPr="009E4584" w:rsidR="00903175" w:rsidP="009E4584" w:rsidRDefault="00903175" w14:paraId="0E2D8CC4" w14:textId="77777777">
            <w:pPr>
              <w:pStyle w:val="Normalutanindragellerluft"/>
              <w:spacing w:line="240" w:lineRule="exact"/>
              <w:rPr>
                <w:sz w:val="20"/>
                <w:szCs w:val="20"/>
              </w:rPr>
            </w:pPr>
            <w:r w:rsidRPr="009E4584">
              <w:rPr>
                <w:sz w:val="20"/>
                <w:szCs w:val="20"/>
              </w:rPr>
              <w:t>Kommunalekonomisk utjämning</w:t>
            </w:r>
          </w:p>
        </w:tc>
        <w:tc>
          <w:tcPr>
            <w:tcW w:w="1422" w:type="dxa"/>
            <w:noWrap/>
            <w:vAlign w:val="bottom"/>
            <w:hideMark/>
          </w:tcPr>
          <w:p w:rsidRPr="009E4584" w:rsidR="00903175" w:rsidP="009E4584" w:rsidRDefault="00903175" w14:paraId="047DE88A" w14:textId="77777777">
            <w:pPr>
              <w:pStyle w:val="Normalutanindragellerluft"/>
              <w:spacing w:line="240" w:lineRule="exact"/>
              <w:jc w:val="right"/>
              <w:rPr>
                <w:sz w:val="20"/>
                <w:szCs w:val="20"/>
              </w:rPr>
            </w:pPr>
          </w:p>
        </w:tc>
        <w:tc>
          <w:tcPr>
            <w:tcW w:w="1739" w:type="dxa"/>
            <w:noWrap/>
            <w:vAlign w:val="bottom"/>
            <w:hideMark/>
          </w:tcPr>
          <w:p w:rsidRPr="009E4584" w:rsidR="00903175" w:rsidP="009E4584" w:rsidRDefault="00903175" w14:paraId="6D4EA57C" w14:textId="77777777">
            <w:pPr>
              <w:pStyle w:val="Normalutanindragellerluft"/>
              <w:spacing w:line="240" w:lineRule="exact"/>
              <w:jc w:val="right"/>
              <w:rPr>
                <w:sz w:val="20"/>
                <w:szCs w:val="20"/>
              </w:rPr>
            </w:pPr>
            <w:r w:rsidRPr="009E4584">
              <w:rPr>
                <w:sz w:val="20"/>
                <w:szCs w:val="20"/>
              </w:rPr>
              <w:t>0</w:t>
            </w:r>
          </w:p>
        </w:tc>
      </w:tr>
      <w:tr w:rsidRPr="009E4584" w:rsidR="00903175" w:rsidTr="00A84F1B" w14:paraId="48D4378E" w14:textId="77777777">
        <w:trPr>
          <w:trHeight w:val="300"/>
        </w:trPr>
        <w:tc>
          <w:tcPr>
            <w:tcW w:w="1172" w:type="dxa"/>
            <w:tcBorders>
              <w:bottom w:val="single" w:color="auto" w:sz="4" w:space="0"/>
            </w:tcBorders>
            <w:noWrap/>
            <w:hideMark/>
          </w:tcPr>
          <w:p w:rsidRPr="009E4584" w:rsidR="00903175" w:rsidP="009E4584" w:rsidRDefault="00903175" w14:paraId="22132473" w14:textId="77777777">
            <w:pPr>
              <w:pStyle w:val="Normalutanindragellerluft"/>
              <w:spacing w:line="240" w:lineRule="exact"/>
              <w:rPr>
                <w:sz w:val="20"/>
                <w:szCs w:val="20"/>
              </w:rPr>
            </w:pPr>
            <w:r w:rsidRPr="009E4584">
              <w:rPr>
                <w:sz w:val="20"/>
                <w:szCs w:val="20"/>
              </w:rPr>
              <w:t>1:5</w:t>
            </w:r>
          </w:p>
        </w:tc>
        <w:tc>
          <w:tcPr>
            <w:tcW w:w="4352" w:type="dxa"/>
            <w:tcBorders>
              <w:bottom w:val="single" w:color="auto" w:sz="4" w:space="0"/>
            </w:tcBorders>
            <w:noWrap/>
            <w:hideMark/>
          </w:tcPr>
          <w:p w:rsidRPr="009E4584" w:rsidR="00903175" w:rsidP="009E4584" w:rsidRDefault="00903175" w14:paraId="536A1071" w14:textId="77777777">
            <w:pPr>
              <w:pStyle w:val="Normalutanindragellerluft"/>
              <w:spacing w:line="240" w:lineRule="exact"/>
              <w:rPr>
                <w:sz w:val="20"/>
                <w:szCs w:val="20"/>
              </w:rPr>
            </w:pPr>
            <w:r w:rsidRPr="009E4584">
              <w:rPr>
                <w:sz w:val="20"/>
                <w:szCs w:val="20"/>
              </w:rPr>
              <w:t>Bidrag för arbete med långtidsarbetslöshet</w:t>
            </w:r>
          </w:p>
        </w:tc>
        <w:tc>
          <w:tcPr>
            <w:tcW w:w="1422" w:type="dxa"/>
            <w:tcBorders>
              <w:bottom w:val="single" w:color="auto" w:sz="4" w:space="0"/>
            </w:tcBorders>
            <w:noWrap/>
            <w:vAlign w:val="bottom"/>
            <w:hideMark/>
          </w:tcPr>
          <w:p w:rsidRPr="009E4584" w:rsidR="00903175" w:rsidP="009E4584" w:rsidRDefault="00903175" w14:paraId="27058F87" w14:textId="77777777">
            <w:pPr>
              <w:pStyle w:val="Normalutanindragellerluft"/>
              <w:spacing w:line="240" w:lineRule="exact"/>
              <w:jc w:val="right"/>
              <w:rPr>
                <w:sz w:val="20"/>
                <w:szCs w:val="20"/>
              </w:rPr>
            </w:pPr>
          </w:p>
        </w:tc>
        <w:tc>
          <w:tcPr>
            <w:tcW w:w="1739" w:type="dxa"/>
            <w:tcBorders>
              <w:bottom w:val="single" w:color="auto" w:sz="4" w:space="0"/>
            </w:tcBorders>
            <w:noWrap/>
            <w:vAlign w:val="bottom"/>
            <w:hideMark/>
          </w:tcPr>
          <w:p w:rsidRPr="009E4584" w:rsidR="00903175" w:rsidP="009E4584" w:rsidRDefault="009E4584" w14:paraId="1B5FE4AB" w14:textId="5ADFDF4A">
            <w:pPr>
              <w:pStyle w:val="Normalutanindragellerluft"/>
              <w:spacing w:line="240" w:lineRule="exact"/>
              <w:jc w:val="right"/>
              <w:rPr>
                <w:sz w:val="20"/>
                <w:szCs w:val="20"/>
              </w:rPr>
            </w:pPr>
            <w:r>
              <w:rPr>
                <w:sz w:val="20"/>
                <w:szCs w:val="20"/>
              </w:rPr>
              <w:t>–</w:t>
            </w:r>
            <w:r w:rsidRPr="009E4584" w:rsidR="00903175">
              <w:rPr>
                <w:sz w:val="20"/>
                <w:szCs w:val="20"/>
              </w:rPr>
              <w:t>500</w:t>
            </w:r>
            <w:r w:rsidR="00A84F1B">
              <w:rPr>
                <w:sz w:val="20"/>
                <w:szCs w:val="20"/>
              </w:rPr>
              <w:t xml:space="preserve"> </w:t>
            </w:r>
            <w:r w:rsidRPr="009E4584" w:rsidR="00903175">
              <w:rPr>
                <w:sz w:val="20"/>
                <w:szCs w:val="20"/>
              </w:rPr>
              <w:t>000</w:t>
            </w:r>
          </w:p>
        </w:tc>
      </w:tr>
    </w:tbl>
    <w:p w:rsidR="00A84F1B" w:rsidP="008E0FE2" w:rsidRDefault="00A84F1B" w14:paraId="10642EB6" w14:textId="0B7A8063">
      <w:pPr>
        <w:pStyle w:val="Normalutanindragellerluft"/>
      </w:pPr>
    </w:p>
    <w:p w:rsidR="00A84F1B" w:rsidP="00A84F1B" w:rsidRDefault="00A84F1B" w14:paraId="759C1FC4" w14:textId="77777777">
      <w:r>
        <w:br w:type="page"/>
      </w:r>
    </w:p>
    <w:sdt>
      <w:sdtPr>
        <w:alias w:val="CC_Underskrifter"/>
        <w:tag w:val="CC_Underskrifter"/>
        <w:id w:val="583496634"/>
        <w:lock w:val="sdtContentLocked"/>
        <w:placeholder>
          <w:docPart w:val="1E016599A6AA44F5B56A25D9CEDC33CB"/>
        </w:placeholder>
      </w:sdtPr>
      <w:sdtEndPr/>
      <w:sdtContent>
        <w:p w:rsidR="003B313A" w:rsidP="00000652" w:rsidRDefault="003B313A" w14:paraId="6E60B3B6" w14:textId="77777777"/>
        <w:p w:rsidRPr="008E0FE2" w:rsidR="004801AC" w:rsidP="00000652" w:rsidRDefault="00535BE7" w14:paraId="0EDB44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3C74D3" w:rsidRDefault="003C74D3" w14:paraId="06A748F7" w14:textId="77777777"/>
    <w:sectPr w:rsidR="003C74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291A6" w14:textId="77777777" w:rsidR="00A5289E" w:rsidRDefault="00A5289E" w:rsidP="000C1CAD">
      <w:pPr>
        <w:spacing w:line="240" w:lineRule="auto"/>
      </w:pPr>
      <w:r>
        <w:separator/>
      </w:r>
    </w:p>
  </w:endnote>
  <w:endnote w:type="continuationSeparator" w:id="0">
    <w:p w14:paraId="7C3A5B74" w14:textId="77777777" w:rsidR="00A5289E" w:rsidRDefault="00A52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6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E1317" w14:textId="6C55E3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BE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F3C20" w14:textId="77777777" w:rsidR="00A5289E" w:rsidRDefault="00A5289E" w:rsidP="000C1CAD">
      <w:pPr>
        <w:spacing w:line="240" w:lineRule="auto"/>
      </w:pPr>
      <w:r>
        <w:separator/>
      </w:r>
    </w:p>
  </w:footnote>
  <w:footnote w:type="continuationSeparator" w:id="0">
    <w:p w14:paraId="4DB2603B" w14:textId="77777777" w:rsidR="00A5289E" w:rsidRDefault="00A52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F703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BE7" w14:paraId="52DC5EB4" w14:textId="77777777">
                          <w:pPr>
                            <w:jc w:val="right"/>
                          </w:pPr>
                          <w:sdt>
                            <w:sdtPr>
                              <w:alias w:val="CC_Noformat_Partikod"/>
                              <w:tag w:val="CC_Noformat_Partikod"/>
                              <w:id w:val="-53464382"/>
                              <w:placeholder>
                                <w:docPart w:val="31830C44042C43BEA6FC1A2FF83E045B"/>
                              </w:placeholder>
                              <w:text/>
                            </w:sdtPr>
                            <w:sdtEndPr/>
                            <w:sdtContent>
                              <w:r w:rsidR="00A5289E">
                                <w:t>L</w:t>
                              </w:r>
                            </w:sdtContent>
                          </w:sdt>
                          <w:sdt>
                            <w:sdtPr>
                              <w:alias w:val="CC_Noformat_Partinummer"/>
                              <w:tag w:val="CC_Noformat_Partinummer"/>
                              <w:id w:val="-1709555926"/>
                              <w:placeholder>
                                <w:docPart w:val="D2CD29047357406F8482781312A9BE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4F1B" w14:paraId="52DC5EB4" w14:textId="77777777">
                    <w:pPr>
                      <w:jc w:val="right"/>
                    </w:pPr>
                    <w:sdt>
                      <w:sdtPr>
                        <w:alias w:val="CC_Noformat_Partikod"/>
                        <w:tag w:val="CC_Noformat_Partikod"/>
                        <w:id w:val="-53464382"/>
                        <w:placeholder>
                          <w:docPart w:val="31830C44042C43BEA6FC1A2FF83E045B"/>
                        </w:placeholder>
                        <w:text/>
                      </w:sdtPr>
                      <w:sdtEndPr/>
                      <w:sdtContent>
                        <w:r w:rsidR="00A5289E">
                          <w:t>L</w:t>
                        </w:r>
                      </w:sdtContent>
                    </w:sdt>
                    <w:sdt>
                      <w:sdtPr>
                        <w:alias w:val="CC_Noformat_Partinummer"/>
                        <w:tag w:val="CC_Noformat_Partinummer"/>
                        <w:id w:val="-1709555926"/>
                        <w:placeholder>
                          <w:docPart w:val="D2CD29047357406F8482781312A9BE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29F8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0EA84B" w14:textId="77777777">
    <w:pPr>
      <w:jc w:val="right"/>
    </w:pPr>
  </w:p>
  <w:p w:rsidR="00262EA3" w:rsidP="00776B74" w:rsidRDefault="00262EA3" w14:paraId="475B0F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5BE7" w14:paraId="3A145B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BE7" w14:paraId="3A06C5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5289E">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35BE7" w14:paraId="30C304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BE7" w14:paraId="4487EF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:2951</w:t>
        </w:r>
      </w:sdtContent>
    </w:sdt>
  </w:p>
  <w:p w:rsidR="00262EA3" w:rsidP="00E03A3D" w:rsidRDefault="00535BE7" w14:paraId="2DF1A9AA"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A5289E" w14:paraId="2B06A292"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977D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5289E"/>
    <w:rsid w:val="000000E0"/>
    <w:rsid w:val="00000652"/>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9F"/>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13A"/>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4D3"/>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E7"/>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2CE"/>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175"/>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22B"/>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A4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84"/>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89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1B"/>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82"/>
    <w:rsid w:val="00CC789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F6"/>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A74150"/>
  <w15:chartTrackingRefBased/>
  <w15:docId w15:val="{21DB7413-A6EF-4CEB-8F26-71BC7E1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09951">
      <w:bodyDiv w:val="1"/>
      <w:marLeft w:val="0"/>
      <w:marRight w:val="0"/>
      <w:marTop w:val="0"/>
      <w:marBottom w:val="0"/>
      <w:divBdr>
        <w:top w:val="none" w:sz="0" w:space="0" w:color="auto"/>
        <w:left w:val="none" w:sz="0" w:space="0" w:color="auto"/>
        <w:bottom w:val="none" w:sz="0" w:space="0" w:color="auto"/>
        <w:right w:val="none" w:sz="0" w:space="0" w:color="auto"/>
      </w:divBdr>
    </w:div>
    <w:div w:id="14245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97A7272BBC459F868F24491A5EC5AA"/>
        <w:category>
          <w:name w:val="Allmänt"/>
          <w:gallery w:val="placeholder"/>
        </w:category>
        <w:types>
          <w:type w:val="bbPlcHdr"/>
        </w:types>
        <w:behaviors>
          <w:behavior w:val="content"/>
        </w:behaviors>
        <w:guid w:val="{98FFB33A-CDB1-404B-BEEB-C83D461A8E1A}"/>
      </w:docPartPr>
      <w:docPartBody>
        <w:p w:rsidR="00E224B5" w:rsidRDefault="00E224B5">
          <w:pPr>
            <w:pStyle w:val="8F97A7272BBC459F868F24491A5EC5AA"/>
          </w:pPr>
          <w:r w:rsidRPr="005A0A93">
            <w:rPr>
              <w:rStyle w:val="Platshllartext"/>
            </w:rPr>
            <w:t>Förslag till riksdagsbeslut</w:t>
          </w:r>
        </w:p>
      </w:docPartBody>
    </w:docPart>
    <w:docPart>
      <w:docPartPr>
        <w:name w:val="2E06759FB777475094D95C696E242A45"/>
        <w:category>
          <w:name w:val="Allmänt"/>
          <w:gallery w:val="placeholder"/>
        </w:category>
        <w:types>
          <w:type w:val="bbPlcHdr"/>
        </w:types>
        <w:behaviors>
          <w:behavior w:val="content"/>
        </w:behaviors>
        <w:guid w:val="{90FC9F89-2F9B-4386-9395-E6DB2B2CDBF2}"/>
      </w:docPartPr>
      <w:docPartBody>
        <w:p w:rsidR="00E224B5" w:rsidRDefault="00E224B5">
          <w:pPr>
            <w:pStyle w:val="2E06759FB777475094D95C696E242A45"/>
          </w:pPr>
          <w:r w:rsidRPr="005A0A93">
            <w:rPr>
              <w:rStyle w:val="Platshllartext"/>
            </w:rPr>
            <w:t>Motivering</w:t>
          </w:r>
        </w:p>
      </w:docPartBody>
    </w:docPart>
    <w:docPart>
      <w:docPartPr>
        <w:name w:val="31830C44042C43BEA6FC1A2FF83E045B"/>
        <w:category>
          <w:name w:val="Allmänt"/>
          <w:gallery w:val="placeholder"/>
        </w:category>
        <w:types>
          <w:type w:val="bbPlcHdr"/>
        </w:types>
        <w:behaviors>
          <w:behavior w:val="content"/>
        </w:behaviors>
        <w:guid w:val="{6F11A201-D660-4294-BD4D-D7125C13B16B}"/>
      </w:docPartPr>
      <w:docPartBody>
        <w:p w:rsidR="00E224B5" w:rsidRDefault="00E224B5">
          <w:pPr>
            <w:pStyle w:val="31830C44042C43BEA6FC1A2FF83E045B"/>
          </w:pPr>
          <w:r>
            <w:rPr>
              <w:rStyle w:val="Platshllartext"/>
            </w:rPr>
            <w:t xml:space="preserve"> </w:t>
          </w:r>
        </w:p>
      </w:docPartBody>
    </w:docPart>
    <w:docPart>
      <w:docPartPr>
        <w:name w:val="D2CD29047357406F8482781312A9BE21"/>
        <w:category>
          <w:name w:val="Allmänt"/>
          <w:gallery w:val="placeholder"/>
        </w:category>
        <w:types>
          <w:type w:val="bbPlcHdr"/>
        </w:types>
        <w:behaviors>
          <w:behavior w:val="content"/>
        </w:behaviors>
        <w:guid w:val="{E0D4856C-2F22-4D7A-A380-E5722CF82BFE}"/>
      </w:docPartPr>
      <w:docPartBody>
        <w:p w:rsidR="00E224B5" w:rsidRDefault="00E224B5">
          <w:pPr>
            <w:pStyle w:val="D2CD29047357406F8482781312A9BE21"/>
          </w:pPr>
          <w:r>
            <w:t xml:space="preserve"> </w:t>
          </w:r>
        </w:p>
      </w:docPartBody>
    </w:docPart>
    <w:docPart>
      <w:docPartPr>
        <w:name w:val="1E016599A6AA44F5B56A25D9CEDC33CB"/>
        <w:category>
          <w:name w:val="Allmänt"/>
          <w:gallery w:val="placeholder"/>
        </w:category>
        <w:types>
          <w:type w:val="bbPlcHdr"/>
        </w:types>
        <w:behaviors>
          <w:behavior w:val="content"/>
        </w:behaviors>
        <w:guid w:val="{29C37F80-3DC5-4C4B-81B0-D2AF161AF7A4}"/>
      </w:docPartPr>
      <w:docPartBody>
        <w:p w:rsidR="00497748" w:rsidRDefault="004977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B5"/>
    <w:rsid w:val="00497748"/>
    <w:rsid w:val="00E22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97A7272BBC459F868F24491A5EC5AA">
    <w:name w:val="8F97A7272BBC459F868F24491A5EC5AA"/>
  </w:style>
  <w:style w:type="paragraph" w:customStyle="1" w:styleId="81C41989B58C4675AD61B1F747C1D452">
    <w:name w:val="81C41989B58C4675AD61B1F747C1D4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35816CB59844BF900948FEBD8A2107">
    <w:name w:val="BA35816CB59844BF900948FEBD8A2107"/>
  </w:style>
  <w:style w:type="paragraph" w:customStyle="1" w:styleId="2E06759FB777475094D95C696E242A45">
    <w:name w:val="2E06759FB777475094D95C696E242A45"/>
  </w:style>
  <w:style w:type="paragraph" w:customStyle="1" w:styleId="052B136B340849F09D8385CB19914FCB">
    <w:name w:val="052B136B340849F09D8385CB19914FCB"/>
  </w:style>
  <w:style w:type="paragraph" w:customStyle="1" w:styleId="01E11437D10A47A6B696D3670A6DEFA1">
    <w:name w:val="01E11437D10A47A6B696D3670A6DEFA1"/>
  </w:style>
  <w:style w:type="paragraph" w:customStyle="1" w:styleId="31830C44042C43BEA6FC1A2FF83E045B">
    <w:name w:val="31830C44042C43BEA6FC1A2FF83E045B"/>
  </w:style>
  <w:style w:type="paragraph" w:customStyle="1" w:styleId="D2CD29047357406F8482781312A9BE21">
    <w:name w:val="D2CD29047357406F8482781312A9B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C9F5D-FEE3-4E5D-A3E0-0EEFD246B4F7}"/>
</file>

<file path=customXml/itemProps2.xml><?xml version="1.0" encoding="utf-8"?>
<ds:datastoreItem xmlns:ds="http://schemas.openxmlformats.org/officeDocument/2006/customXml" ds:itemID="{50EE4402-3B28-4166-A45E-C47D53D3CF19}"/>
</file>

<file path=customXml/itemProps3.xml><?xml version="1.0" encoding="utf-8"?>
<ds:datastoreItem xmlns:ds="http://schemas.openxmlformats.org/officeDocument/2006/customXml" ds:itemID="{AC15B617-CB94-44EC-8072-F1DA7025A41C}"/>
</file>

<file path=docProps/app.xml><?xml version="1.0" encoding="utf-8"?>
<Properties xmlns="http://schemas.openxmlformats.org/officeDocument/2006/extended-properties" xmlns:vt="http://schemas.openxmlformats.org/officeDocument/2006/docPropsVTypes">
  <Template>Normal</Template>
  <TotalTime>18</TotalTime>
  <Pages>4</Pages>
  <Words>1120</Words>
  <Characters>6637</Characters>
  <Application>Microsoft Office Word</Application>
  <DocSecurity>0</DocSecurity>
  <Lines>195</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25 Allmänna bidrag till kommuner</vt:lpstr>
      <vt:lpstr>
      </vt:lpstr>
    </vt:vector>
  </TitlesOfParts>
  <Company>Sveriges riksdag</Company>
  <LinksUpToDate>false</LinksUpToDate>
  <CharactersWithSpaces>7650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