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108" w:rsidRPr="00983108" w:rsidRDefault="00983108">
      <w:pPr>
        <w:pStyle w:val="Frslagsrubrik"/>
        <w:shd w:val="clear" w:color="000000" w:fill="auto"/>
      </w:pPr>
      <w:r w:rsidRPr="00983108">
        <w:t>Förslag till riksdagsbeslut</w:t>
      </w:r>
    </w:p>
    <w:p w:rsidR="00983108" w:rsidRPr="00983108" w:rsidRDefault="00983108">
      <w:pPr>
        <w:pStyle w:val="Hemstlatt"/>
        <w:numPr>
          <w:ilvl w:val="0"/>
          <w:numId w:val="1"/>
        </w:numPr>
        <w:shd w:val="clear" w:color="000000" w:fill="auto"/>
      </w:pPr>
      <w:r w:rsidRPr="00983108">
        <w:t>Riksdagen anvisar med följande ändringar i fö</w:t>
      </w:r>
      <w:r w:rsidRPr="00983108">
        <w:t>r</w:t>
      </w:r>
      <w:r w:rsidRPr="00983108">
        <w:t>hållande till regeringens förslag anslagen under utgiftsområde 2 Sa</w:t>
      </w:r>
      <w:r w:rsidRPr="00983108">
        <w:t>m</w:t>
      </w:r>
      <w:r w:rsidRPr="00983108">
        <w:t>hällsekonomi och finansförvaltning  och utgiftsområde 22 Kommunik</w:t>
      </w:r>
      <w:r w:rsidRPr="00983108">
        <w:t>a</w:t>
      </w:r>
      <w:r w:rsidRPr="00983108">
        <w:t>tioner enligt uppställningen.</w:t>
      </w:r>
    </w:p>
    <w:tbl>
      <w:tblPr>
        <w:tblW w:w="5897" w:type="dxa"/>
        <w:tblInd w:w="243" w:type="dxa"/>
        <w:tblBorders>
          <w:top w:val="single" w:sz="4" w:space="0" w:color="000000"/>
        </w:tblBorders>
        <w:tblCellMar>
          <w:top w:w="15" w:type="dxa"/>
          <w:left w:w="15" w:type="dxa"/>
          <w:bottom w:w="15" w:type="dxa"/>
          <w:right w:w="15" w:type="dxa"/>
        </w:tblCellMar>
        <w:tblLook w:val="0000" w:firstRow="0" w:lastRow="0" w:firstColumn="0" w:lastColumn="0" w:noHBand="0" w:noVBand="0"/>
      </w:tblPr>
      <w:tblGrid>
        <w:gridCol w:w="1395"/>
        <w:gridCol w:w="2329"/>
        <w:gridCol w:w="929"/>
        <w:gridCol w:w="1244"/>
      </w:tblGrid>
      <w:tr w:rsidR="00000000" w:rsidRPr="00983108">
        <w:tc>
          <w:tcPr>
            <w:tcW w:w="1395" w:type="dxa"/>
            <w:tcBorders>
              <w:top w:val="nil"/>
              <w:left w:val="nil"/>
              <w:bottom w:val="single" w:sz="4" w:space="0" w:color="auto"/>
              <w:right w:val="nil"/>
            </w:tcBorders>
          </w:tcPr>
          <w:p w:rsidR="00983108" w:rsidRPr="00983108" w:rsidRDefault="00983108">
            <w:pPr>
              <w:shd w:val="clear" w:color="000000" w:fill="auto"/>
              <w:spacing w:before="60" w:line="200" w:lineRule="exact"/>
              <w:rPr>
                <w:i/>
                <w:color w:val="000000"/>
                <w:sz w:val="16"/>
              </w:rPr>
            </w:pPr>
            <w:r w:rsidRPr="00983108">
              <w:rPr>
                <w:i/>
                <w:color w:val="000000"/>
                <w:sz w:val="16"/>
              </w:rPr>
              <w:t>Tusental kronor</w:t>
            </w:r>
          </w:p>
        </w:tc>
        <w:tc>
          <w:tcPr>
            <w:tcW w:w="2329" w:type="dxa"/>
            <w:tcBorders>
              <w:top w:val="nil"/>
              <w:left w:val="nil"/>
              <w:bottom w:val="single" w:sz="4" w:space="0" w:color="auto"/>
              <w:right w:val="nil"/>
            </w:tcBorders>
            <w:tcMar>
              <w:top w:w="0" w:type="dxa"/>
              <w:left w:w="57" w:type="dxa"/>
              <w:bottom w:w="0" w:type="dxa"/>
              <w:right w:w="57" w:type="dxa"/>
            </w:tcMar>
          </w:tcPr>
          <w:p w:rsidR="00983108" w:rsidRPr="00983108" w:rsidRDefault="00983108">
            <w:pPr>
              <w:shd w:val="clear" w:color="000000" w:fill="auto"/>
              <w:spacing w:before="60" w:line="200" w:lineRule="exact"/>
              <w:rPr>
                <w:color w:val="000000"/>
                <w:sz w:val="16"/>
              </w:rPr>
            </w:pPr>
          </w:p>
        </w:tc>
        <w:tc>
          <w:tcPr>
            <w:tcW w:w="929" w:type="dxa"/>
            <w:tcBorders>
              <w:top w:val="nil"/>
              <w:left w:val="nil"/>
              <w:bottom w:val="single" w:sz="4" w:space="0" w:color="auto"/>
              <w:right w:val="nil"/>
            </w:tcBorders>
          </w:tcPr>
          <w:p w:rsidR="00983108" w:rsidRPr="00983108" w:rsidRDefault="00983108">
            <w:pPr>
              <w:shd w:val="clear" w:color="000000" w:fill="auto"/>
              <w:spacing w:before="60" w:line="200" w:lineRule="exact"/>
              <w:jc w:val="right"/>
              <w:rPr>
                <w:sz w:val="16"/>
              </w:rPr>
            </w:pPr>
          </w:p>
        </w:tc>
        <w:tc>
          <w:tcPr>
            <w:tcW w:w="1244" w:type="dxa"/>
            <w:tcBorders>
              <w:top w:val="nil"/>
              <w:left w:val="nil"/>
              <w:bottom w:val="single" w:sz="4" w:space="0" w:color="auto"/>
              <w:right w:val="nil"/>
            </w:tcBorders>
          </w:tcPr>
          <w:p w:rsidR="00983108" w:rsidRPr="00983108" w:rsidRDefault="00983108">
            <w:pPr>
              <w:shd w:val="clear" w:color="000000" w:fill="auto"/>
              <w:spacing w:before="60" w:line="200" w:lineRule="exact"/>
              <w:jc w:val="right"/>
              <w:rPr>
                <w:sz w:val="16"/>
              </w:rPr>
            </w:pPr>
          </w:p>
        </w:tc>
      </w:tr>
      <w:tr w:rsidR="00000000" w:rsidRPr="00983108">
        <w:tc>
          <w:tcPr>
            <w:tcW w:w="1395" w:type="dxa"/>
            <w:tcBorders>
              <w:top w:val="single" w:sz="4" w:space="0" w:color="auto"/>
              <w:left w:val="nil"/>
              <w:bottom w:val="single" w:sz="4" w:space="0" w:color="auto"/>
              <w:right w:val="nil"/>
            </w:tcBorders>
          </w:tcPr>
          <w:p w:rsidR="00983108" w:rsidRPr="00983108" w:rsidRDefault="00983108">
            <w:pPr>
              <w:shd w:val="clear" w:color="000000" w:fill="auto"/>
              <w:spacing w:before="60" w:line="200" w:lineRule="exact"/>
              <w:rPr>
                <w:color w:val="000000"/>
                <w:sz w:val="16"/>
              </w:rPr>
            </w:pPr>
            <w:r w:rsidRPr="00983108">
              <w:rPr>
                <w:color w:val="000000"/>
                <w:sz w:val="16"/>
              </w:rPr>
              <w:t>Anslag</w:t>
            </w:r>
          </w:p>
        </w:tc>
        <w:tc>
          <w:tcPr>
            <w:tcW w:w="2329" w:type="dxa"/>
            <w:tcBorders>
              <w:top w:val="single" w:sz="4" w:space="0" w:color="auto"/>
              <w:left w:val="nil"/>
              <w:bottom w:val="single" w:sz="4" w:space="0" w:color="auto"/>
              <w:right w:val="nil"/>
            </w:tcBorders>
            <w:tcMar>
              <w:top w:w="0" w:type="dxa"/>
              <w:left w:w="57" w:type="dxa"/>
              <w:bottom w:w="0" w:type="dxa"/>
              <w:right w:w="57" w:type="dxa"/>
            </w:tcMar>
          </w:tcPr>
          <w:p w:rsidR="00983108" w:rsidRPr="00983108" w:rsidRDefault="00983108">
            <w:pPr>
              <w:shd w:val="clear" w:color="000000" w:fill="auto"/>
              <w:spacing w:before="60" w:line="200" w:lineRule="exact"/>
              <w:rPr>
                <w:color w:val="000000"/>
                <w:sz w:val="16"/>
              </w:rPr>
            </w:pPr>
          </w:p>
        </w:tc>
        <w:tc>
          <w:tcPr>
            <w:tcW w:w="929" w:type="dxa"/>
            <w:tcBorders>
              <w:top w:val="single" w:sz="4" w:space="0" w:color="auto"/>
              <w:left w:val="nil"/>
              <w:bottom w:val="single" w:sz="4" w:space="0" w:color="auto"/>
              <w:right w:val="nil"/>
            </w:tcBorders>
          </w:tcPr>
          <w:p w:rsidR="00983108" w:rsidRPr="00983108" w:rsidRDefault="00983108">
            <w:pPr>
              <w:shd w:val="clear" w:color="000000" w:fill="auto"/>
              <w:spacing w:before="60" w:line="200" w:lineRule="exact"/>
              <w:jc w:val="right"/>
              <w:rPr>
                <w:sz w:val="16"/>
              </w:rPr>
            </w:pPr>
          </w:p>
        </w:tc>
        <w:tc>
          <w:tcPr>
            <w:tcW w:w="1244" w:type="dxa"/>
            <w:tcBorders>
              <w:top w:val="single" w:sz="4" w:space="0" w:color="auto"/>
              <w:left w:val="nil"/>
              <w:bottom w:val="single" w:sz="4" w:space="0" w:color="auto"/>
              <w:right w:val="nil"/>
            </w:tcBorders>
          </w:tcPr>
          <w:p w:rsidR="00983108" w:rsidRPr="00983108" w:rsidRDefault="00983108">
            <w:pPr>
              <w:shd w:val="clear" w:color="000000" w:fill="auto"/>
              <w:spacing w:before="60" w:line="200" w:lineRule="exact"/>
              <w:jc w:val="right"/>
              <w:rPr>
                <w:sz w:val="16"/>
              </w:rPr>
            </w:pPr>
            <w:r w:rsidRPr="00983108">
              <w:rPr>
                <w:sz w:val="16"/>
              </w:rPr>
              <w:t>Avvikelse från proposition</w:t>
            </w:r>
          </w:p>
        </w:tc>
      </w:tr>
      <w:tr w:rsidR="00000000" w:rsidRPr="00983108">
        <w:tc>
          <w:tcPr>
            <w:tcW w:w="1395" w:type="dxa"/>
            <w:tcBorders>
              <w:top w:val="nil"/>
              <w:left w:val="nil"/>
              <w:bottom w:val="nil"/>
              <w:right w:val="nil"/>
            </w:tcBorders>
          </w:tcPr>
          <w:p w:rsidR="00983108" w:rsidRPr="00983108" w:rsidRDefault="00983108">
            <w:pPr>
              <w:shd w:val="clear" w:color="000000" w:fill="auto"/>
              <w:spacing w:before="60" w:line="200" w:lineRule="exact"/>
              <w:rPr>
                <w:color w:val="000000"/>
                <w:sz w:val="16"/>
              </w:rPr>
            </w:pPr>
            <w:r w:rsidRPr="00983108">
              <w:rPr>
                <w:color w:val="000000"/>
                <w:sz w:val="16"/>
              </w:rPr>
              <w:t>Utg.omr. 2, 1:4</w:t>
            </w:r>
          </w:p>
        </w:tc>
        <w:tc>
          <w:tcPr>
            <w:tcW w:w="2329" w:type="dxa"/>
            <w:tcBorders>
              <w:top w:val="nil"/>
              <w:left w:val="nil"/>
              <w:bottom w:val="nil"/>
              <w:right w:val="nil"/>
            </w:tcBorders>
            <w:tcMar>
              <w:top w:w="0" w:type="dxa"/>
              <w:left w:w="57" w:type="dxa"/>
              <w:bottom w:w="0" w:type="dxa"/>
              <w:right w:w="57" w:type="dxa"/>
            </w:tcMar>
          </w:tcPr>
          <w:p w:rsidR="00983108" w:rsidRPr="00983108" w:rsidRDefault="00983108">
            <w:pPr>
              <w:shd w:val="clear" w:color="000000" w:fill="auto"/>
              <w:spacing w:before="60" w:line="200" w:lineRule="exact"/>
              <w:rPr>
                <w:color w:val="000000"/>
                <w:sz w:val="16"/>
              </w:rPr>
            </w:pPr>
            <w:r w:rsidRPr="00983108">
              <w:rPr>
                <w:color w:val="000000"/>
                <w:sz w:val="16"/>
              </w:rPr>
              <w:t>Arbetsgivarpolitiska frågor</w:t>
            </w:r>
          </w:p>
        </w:tc>
        <w:tc>
          <w:tcPr>
            <w:tcW w:w="929" w:type="dxa"/>
            <w:tcBorders>
              <w:top w:val="nil"/>
              <w:left w:val="nil"/>
              <w:bottom w:val="nil"/>
              <w:right w:val="nil"/>
            </w:tcBorders>
          </w:tcPr>
          <w:p w:rsidR="00983108" w:rsidRPr="00983108" w:rsidRDefault="00983108">
            <w:pPr>
              <w:shd w:val="clear" w:color="000000" w:fill="auto"/>
              <w:spacing w:before="60" w:line="200" w:lineRule="exact"/>
              <w:jc w:val="right"/>
              <w:rPr>
                <w:sz w:val="16"/>
              </w:rPr>
            </w:pPr>
          </w:p>
        </w:tc>
        <w:tc>
          <w:tcPr>
            <w:tcW w:w="1244" w:type="dxa"/>
            <w:tcBorders>
              <w:top w:val="nil"/>
              <w:left w:val="nil"/>
              <w:bottom w:val="nil"/>
              <w:right w:val="nil"/>
            </w:tcBorders>
          </w:tcPr>
          <w:p w:rsidR="00983108" w:rsidRPr="00983108" w:rsidRDefault="00983108">
            <w:pPr>
              <w:shd w:val="clear" w:color="000000" w:fill="auto"/>
              <w:spacing w:before="60" w:line="200" w:lineRule="exact"/>
              <w:jc w:val="right"/>
              <w:rPr>
                <w:sz w:val="16"/>
              </w:rPr>
            </w:pPr>
            <w:r w:rsidRPr="00983108">
              <w:rPr>
                <w:sz w:val="16"/>
              </w:rPr>
              <w:t>–1 000</w:t>
            </w:r>
          </w:p>
        </w:tc>
      </w:tr>
      <w:tr w:rsidR="00000000" w:rsidRPr="00983108">
        <w:tc>
          <w:tcPr>
            <w:tcW w:w="1395" w:type="dxa"/>
            <w:tcBorders>
              <w:top w:val="nil"/>
              <w:left w:val="nil"/>
              <w:bottom w:val="nil"/>
              <w:right w:val="nil"/>
            </w:tcBorders>
          </w:tcPr>
          <w:p w:rsidR="00983108" w:rsidRPr="00983108" w:rsidRDefault="00983108">
            <w:pPr>
              <w:shd w:val="clear" w:color="000000" w:fill="auto"/>
              <w:spacing w:before="60" w:line="200" w:lineRule="exact"/>
              <w:rPr>
                <w:color w:val="000000"/>
                <w:sz w:val="16"/>
              </w:rPr>
            </w:pPr>
            <w:r w:rsidRPr="00983108">
              <w:rPr>
                <w:color w:val="000000"/>
                <w:sz w:val="16"/>
              </w:rPr>
              <w:t xml:space="preserve">Utg.omr. 22, 1:2 </w:t>
            </w:r>
          </w:p>
        </w:tc>
        <w:tc>
          <w:tcPr>
            <w:tcW w:w="2329" w:type="dxa"/>
            <w:tcBorders>
              <w:top w:val="nil"/>
              <w:left w:val="nil"/>
              <w:bottom w:val="nil"/>
              <w:right w:val="nil"/>
            </w:tcBorders>
            <w:tcMar>
              <w:top w:w="0" w:type="dxa"/>
              <w:left w:w="57" w:type="dxa"/>
              <w:bottom w:w="0" w:type="dxa"/>
              <w:right w:w="57" w:type="dxa"/>
            </w:tcMar>
          </w:tcPr>
          <w:p w:rsidR="00983108" w:rsidRPr="00983108" w:rsidRDefault="00983108">
            <w:pPr>
              <w:shd w:val="clear" w:color="000000" w:fill="auto"/>
              <w:spacing w:before="60" w:line="200" w:lineRule="exact"/>
              <w:rPr>
                <w:color w:val="000000"/>
                <w:sz w:val="16"/>
              </w:rPr>
            </w:pPr>
            <w:r w:rsidRPr="00983108">
              <w:rPr>
                <w:color w:val="000000"/>
                <w:sz w:val="16"/>
              </w:rPr>
              <w:t>Väghållning och statsbidrag</w:t>
            </w:r>
          </w:p>
        </w:tc>
        <w:tc>
          <w:tcPr>
            <w:tcW w:w="929" w:type="dxa"/>
            <w:tcBorders>
              <w:top w:val="nil"/>
              <w:left w:val="nil"/>
              <w:bottom w:val="nil"/>
              <w:right w:val="nil"/>
            </w:tcBorders>
          </w:tcPr>
          <w:p w:rsidR="00983108" w:rsidRPr="00983108" w:rsidRDefault="00983108">
            <w:pPr>
              <w:shd w:val="clear" w:color="000000" w:fill="auto"/>
              <w:spacing w:before="60" w:line="200" w:lineRule="exact"/>
              <w:jc w:val="right"/>
              <w:rPr>
                <w:sz w:val="16"/>
              </w:rPr>
            </w:pPr>
          </w:p>
        </w:tc>
        <w:tc>
          <w:tcPr>
            <w:tcW w:w="1244" w:type="dxa"/>
            <w:tcBorders>
              <w:top w:val="nil"/>
              <w:left w:val="nil"/>
              <w:bottom w:val="nil"/>
              <w:right w:val="nil"/>
            </w:tcBorders>
          </w:tcPr>
          <w:p w:rsidR="00983108" w:rsidRPr="00983108" w:rsidRDefault="00983108">
            <w:pPr>
              <w:shd w:val="clear" w:color="000000" w:fill="auto"/>
              <w:spacing w:before="60" w:line="200" w:lineRule="exact"/>
              <w:jc w:val="right"/>
              <w:rPr>
                <w:sz w:val="16"/>
              </w:rPr>
            </w:pPr>
            <w:r w:rsidRPr="00983108">
              <w:rPr>
                <w:sz w:val="16"/>
              </w:rPr>
              <w:t>+509 000</w:t>
            </w:r>
          </w:p>
        </w:tc>
      </w:tr>
      <w:tr w:rsidR="00000000" w:rsidRPr="00983108">
        <w:tc>
          <w:tcPr>
            <w:tcW w:w="1395" w:type="dxa"/>
            <w:tcBorders>
              <w:top w:val="nil"/>
              <w:left w:val="nil"/>
              <w:bottom w:val="nil"/>
              <w:right w:val="nil"/>
            </w:tcBorders>
          </w:tcPr>
          <w:p w:rsidR="00983108" w:rsidRPr="00983108" w:rsidRDefault="00983108">
            <w:pPr>
              <w:shd w:val="clear" w:color="000000" w:fill="auto"/>
              <w:spacing w:before="60" w:line="200" w:lineRule="exact"/>
              <w:rPr>
                <w:color w:val="000000"/>
                <w:sz w:val="16"/>
              </w:rPr>
            </w:pPr>
            <w:r w:rsidRPr="00983108">
              <w:rPr>
                <w:color w:val="000000"/>
                <w:sz w:val="16"/>
              </w:rPr>
              <w:t>Utg.omr. 22, 1:3</w:t>
            </w:r>
          </w:p>
        </w:tc>
        <w:tc>
          <w:tcPr>
            <w:tcW w:w="2329" w:type="dxa"/>
            <w:tcBorders>
              <w:top w:val="nil"/>
              <w:left w:val="nil"/>
              <w:bottom w:val="nil"/>
              <w:right w:val="nil"/>
            </w:tcBorders>
            <w:tcMar>
              <w:top w:w="0" w:type="dxa"/>
              <w:left w:w="57" w:type="dxa"/>
              <w:bottom w:w="0" w:type="dxa"/>
              <w:right w:w="57" w:type="dxa"/>
            </w:tcMar>
          </w:tcPr>
          <w:p w:rsidR="00983108" w:rsidRPr="00983108" w:rsidRDefault="00983108">
            <w:pPr>
              <w:shd w:val="clear" w:color="000000" w:fill="auto"/>
              <w:spacing w:before="60" w:line="200" w:lineRule="exact"/>
              <w:rPr>
                <w:color w:val="000000"/>
                <w:sz w:val="16"/>
              </w:rPr>
            </w:pPr>
            <w:r w:rsidRPr="00983108">
              <w:rPr>
                <w:color w:val="000000"/>
                <w:sz w:val="16"/>
              </w:rPr>
              <w:t>Banverket: Administration</w:t>
            </w:r>
          </w:p>
        </w:tc>
        <w:tc>
          <w:tcPr>
            <w:tcW w:w="929" w:type="dxa"/>
            <w:tcBorders>
              <w:top w:val="nil"/>
              <w:left w:val="nil"/>
              <w:bottom w:val="nil"/>
              <w:right w:val="nil"/>
            </w:tcBorders>
          </w:tcPr>
          <w:p w:rsidR="00983108" w:rsidRPr="00983108" w:rsidRDefault="00983108">
            <w:pPr>
              <w:shd w:val="clear" w:color="000000" w:fill="auto"/>
              <w:spacing w:before="60" w:line="200" w:lineRule="exact"/>
              <w:jc w:val="right"/>
              <w:rPr>
                <w:sz w:val="16"/>
              </w:rPr>
            </w:pPr>
          </w:p>
        </w:tc>
        <w:tc>
          <w:tcPr>
            <w:tcW w:w="1244" w:type="dxa"/>
            <w:tcBorders>
              <w:top w:val="nil"/>
              <w:left w:val="nil"/>
              <w:bottom w:val="nil"/>
              <w:right w:val="nil"/>
            </w:tcBorders>
          </w:tcPr>
          <w:p w:rsidR="00983108" w:rsidRPr="00983108" w:rsidRDefault="00983108">
            <w:pPr>
              <w:shd w:val="clear" w:color="000000" w:fill="auto"/>
              <w:spacing w:before="60" w:line="200" w:lineRule="exact"/>
              <w:jc w:val="right"/>
              <w:rPr>
                <w:sz w:val="16"/>
              </w:rPr>
            </w:pPr>
            <w:r w:rsidRPr="00983108">
              <w:rPr>
                <w:sz w:val="16"/>
              </w:rPr>
              <w:t>–117 000</w:t>
            </w:r>
          </w:p>
        </w:tc>
      </w:tr>
      <w:tr w:rsidR="00000000" w:rsidRPr="00983108">
        <w:tc>
          <w:tcPr>
            <w:tcW w:w="1395" w:type="dxa"/>
            <w:tcBorders>
              <w:top w:val="nil"/>
              <w:left w:val="nil"/>
              <w:bottom w:val="nil"/>
              <w:right w:val="nil"/>
            </w:tcBorders>
          </w:tcPr>
          <w:p w:rsidR="00983108" w:rsidRPr="00983108" w:rsidRDefault="00983108">
            <w:pPr>
              <w:shd w:val="clear" w:color="000000" w:fill="auto"/>
              <w:spacing w:before="60" w:line="200" w:lineRule="exact"/>
              <w:rPr>
                <w:color w:val="000000"/>
                <w:sz w:val="16"/>
              </w:rPr>
            </w:pPr>
            <w:r w:rsidRPr="00983108">
              <w:rPr>
                <w:color w:val="000000"/>
                <w:sz w:val="16"/>
              </w:rPr>
              <w:t>Utg.omr. 22, 1:4</w:t>
            </w:r>
          </w:p>
        </w:tc>
        <w:tc>
          <w:tcPr>
            <w:tcW w:w="2329" w:type="dxa"/>
            <w:tcBorders>
              <w:top w:val="nil"/>
              <w:left w:val="nil"/>
              <w:bottom w:val="nil"/>
              <w:right w:val="nil"/>
            </w:tcBorders>
            <w:tcMar>
              <w:top w:w="0" w:type="dxa"/>
              <w:left w:w="57" w:type="dxa"/>
              <w:bottom w:w="0" w:type="dxa"/>
              <w:right w:w="57" w:type="dxa"/>
            </w:tcMar>
          </w:tcPr>
          <w:p w:rsidR="00983108" w:rsidRPr="00983108" w:rsidRDefault="00983108">
            <w:pPr>
              <w:shd w:val="clear" w:color="000000" w:fill="auto"/>
              <w:spacing w:before="60" w:line="200" w:lineRule="exact"/>
              <w:rPr>
                <w:sz w:val="16"/>
                <w:szCs w:val="16"/>
              </w:rPr>
            </w:pPr>
            <w:r w:rsidRPr="00983108">
              <w:rPr>
                <w:sz w:val="16"/>
                <w:szCs w:val="16"/>
              </w:rPr>
              <w:t>Banverket: Banhållning och sektorsuppgifter</w:t>
            </w:r>
          </w:p>
        </w:tc>
        <w:tc>
          <w:tcPr>
            <w:tcW w:w="929" w:type="dxa"/>
            <w:tcBorders>
              <w:top w:val="nil"/>
              <w:left w:val="nil"/>
              <w:bottom w:val="nil"/>
              <w:right w:val="nil"/>
            </w:tcBorders>
          </w:tcPr>
          <w:p w:rsidR="00983108" w:rsidRPr="00983108" w:rsidRDefault="00983108">
            <w:pPr>
              <w:shd w:val="clear" w:color="000000" w:fill="auto"/>
              <w:spacing w:before="60" w:line="200" w:lineRule="exact"/>
              <w:jc w:val="right"/>
              <w:rPr>
                <w:sz w:val="16"/>
              </w:rPr>
            </w:pPr>
          </w:p>
        </w:tc>
        <w:tc>
          <w:tcPr>
            <w:tcW w:w="1244" w:type="dxa"/>
            <w:tcBorders>
              <w:top w:val="nil"/>
              <w:left w:val="nil"/>
              <w:bottom w:val="nil"/>
              <w:right w:val="nil"/>
            </w:tcBorders>
          </w:tcPr>
          <w:p w:rsidR="00983108" w:rsidRPr="00983108" w:rsidRDefault="00983108">
            <w:pPr>
              <w:shd w:val="clear" w:color="000000" w:fill="auto"/>
              <w:spacing w:before="60" w:line="200" w:lineRule="exact"/>
              <w:jc w:val="right"/>
              <w:rPr>
                <w:sz w:val="16"/>
              </w:rPr>
            </w:pPr>
            <w:r w:rsidRPr="00983108">
              <w:rPr>
                <w:sz w:val="16"/>
              </w:rPr>
              <w:t>–383 000</w:t>
            </w:r>
          </w:p>
        </w:tc>
      </w:tr>
      <w:tr w:rsidR="00000000" w:rsidRPr="00983108">
        <w:tc>
          <w:tcPr>
            <w:tcW w:w="1395" w:type="dxa"/>
            <w:tcBorders>
              <w:top w:val="nil"/>
              <w:left w:val="nil"/>
              <w:bottom w:val="single" w:sz="4" w:space="0" w:color="auto"/>
              <w:right w:val="nil"/>
            </w:tcBorders>
          </w:tcPr>
          <w:p w:rsidR="00983108" w:rsidRPr="00983108" w:rsidRDefault="00983108">
            <w:pPr>
              <w:shd w:val="clear" w:color="000000" w:fill="auto"/>
              <w:spacing w:before="60" w:line="200" w:lineRule="exact"/>
              <w:rPr>
                <w:color w:val="000000"/>
                <w:sz w:val="16"/>
              </w:rPr>
            </w:pPr>
            <w:r w:rsidRPr="00983108">
              <w:rPr>
                <w:color w:val="000000"/>
                <w:sz w:val="16"/>
              </w:rPr>
              <w:t>Utg.omr. 22, 1:5</w:t>
            </w:r>
          </w:p>
        </w:tc>
        <w:tc>
          <w:tcPr>
            <w:tcW w:w="2329" w:type="dxa"/>
            <w:tcBorders>
              <w:top w:val="nil"/>
              <w:left w:val="nil"/>
              <w:bottom w:val="single" w:sz="4" w:space="0" w:color="auto"/>
              <w:right w:val="nil"/>
            </w:tcBorders>
            <w:tcMar>
              <w:top w:w="0" w:type="dxa"/>
              <w:left w:w="57" w:type="dxa"/>
              <w:bottom w:w="0" w:type="dxa"/>
              <w:right w:w="57" w:type="dxa"/>
            </w:tcMar>
          </w:tcPr>
          <w:p w:rsidR="00983108" w:rsidRPr="00983108" w:rsidRDefault="00983108">
            <w:pPr>
              <w:shd w:val="clear" w:color="000000" w:fill="auto"/>
              <w:spacing w:before="60" w:line="200" w:lineRule="exact"/>
              <w:rPr>
                <w:color w:val="000000"/>
                <w:sz w:val="16"/>
              </w:rPr>
            </w:pPr>
            <w:r w:rsidRPr="00983108">
              <w:rPr>
                <w:color w:val="000000"/>
                <w:sz w:val="16"/>
              </w:rPr>
              <w:t>Transportstyrelsen</w:t>
            </w:r>
          </w:p>
        </w:tc>
        <w:tc>
          <w:tcPr>
            <w:tcW w:w="929" w:type="dxa"/>
            <w:tcBorders>
              <w:top w:val="nil"/>
              <w:left w:val="nil"/>
              <w:bottom w:val="single" w:sz="4" w:space="0" w:color="auto"/>
              <w:right w:val="nil"/>
            </w:tcBorders>
          </w:tcPr>
          <w:p w:rsidR="00983108" w:rsidRPr="00983108" w:rsidRDefault="00983108">
            <w:pPr>
              <w:shd w:val="clear" w:color="000000" w:fill="auto"/>
              <w:spacing w:before="60" w:line="200" w:lineRule="exact"/>
              <w:jc w:val="right"/>
              <w:rPr>
                <w:sz w:val="16"/>
              </w:rPr>
            </w:pPr>
          </w:p>
        </w:tc>
        <w:tc>
          <w:tcPr>
            <w:tcW w:w="1244" w:type="dxa"/>
            <w:tcBorders>
              <w:top w:val="nil"/>
              <w:left w:val="nil"/>
              <w:bottom w:val="single" w:sz="4" w:space="0" w:color="auto"/>
              <w:right w:val="nil"/>
            </w:tcBorders>
          </w:tcPr>
          <w:p w:rsidR="00983108" w:rsidRPr="00983108" w:rsidRDefault="00983108">
            <w:pPr>
              <w:shd w:val="clear" w:color="000000" w:fill="auto"/>
              <w:spacing w:before="60" w:line="200" w:lineRule="exact"/>
              <w:jc w:val="right"/>
              <w:rPr>
                <w:sz w:val="16"/>
              </w:rPr>
            </w:pPr>
            <w:r w:rsidRPr="00983108">
              <w:rPr>
                <w:sz w:val="16"/>
              </w:rPr>
              <w:t>–9 000</w:t>
            </w:r>
          </w:p>
        </w:tc>
      </w:tr>
    </w:tbl>
    <w:p w:rsidR="00983108" w:rsidRPr="00983108" w:rsidRDefault="00983108">
      <w:pPr>
        <w:pStyle w:val="Hemstlatt"/>
        <w:numPr>
          <w:ilvl w:val="0"/>
          <w:numId w:val="1"/>
        </w:numPr>
        <w:shd w:val="clear" w:color="000000" w:fill="auto"/>
      </w:pPr>
      <w:r w:rsidRPr="00983108">
        <w:t>Riksdagen avslår förslaget om att bemyndiga regeringen att under 2009 besluta om anskaffning av 115 nya splitterskyddade hjulg</w:t>
      </w:r>
      <w:r w:rsidRPr="00983108">
        <w:t>å</w:t>
      </w:r>
      <w:r w:rsidRPr="00983108">
        <w:t>ende fordon mot bakgrund av att regeringens motivering till beslutet är bristfällig.</w:t>
      </w:r>
    </w:p>
    <w:p w:rsidR="00983108" w:rsidRPr="00983108" w:rsidRDefault="00983108">
      <w:pPr>
        <w:pStyle w:val="Hemstlatt"/>
        <w:numPr>
          <w:ilvl w:val="0"/>
          <w:numId w:val="1"/>
        </w:numPr>
        <w:shd w:val="clear" w:color="000000" w:fill="auto"/>
      </w:pPr>
      <w:r w:rsidRPr="00983108">
        <w:t>Riksdagen tillkännager för regeringen som sin mening vad som anförs i motionen om att bemyndiga regeringen att under 2009 för anslaget 1:3 Anskaffning av materiel och anläggningar besluta om b</w:t>
      </w:r>
      <w:r w:rsidRPr="00983108">
        <w:t>e</w:t>
      </w:r>
      <w:r w:rsidRPr="00983108">
        <w:t>ställningar som inklusive tidigare gjorda åtaganden medför behov av framtida anslag på högst 35 000 000 000 kr efter 2009.</w:t>
      </w:r>
    </w:p>
    <w:p w:rsidR="00983108" w:rsidRPr="00983108" w:rsidRDefault="00983108">
      <w:pPr>
        <w:pStyle w:val="Hemstlatt"/>
        <w:numPr>
          <w:ilvl w:val="0"/>
          <w:numId w:val="1"/>
        </w:numPr>
        <w:shd w:val="clear" w:color="000000" w:fill="auto"/>
      </w:pPr>
      <w:r w:rsidRPr="00983108">
        <w:t>Riksdagen tillkännager för regeringen som sin mening vad som anförs i motionen om att bemyndiga regeringen att under 2009 för anslaget 1:4 Vidmakthållande, avveckling m.m. av materiel och anläg</w:t>
      </w:r>
      <w:r w:rsidRPr="00983108">
        <w:t>g</w:t>
      </w:r>
      <w:r w:rsidRPr="00983108">
        <w:t>ningar besluta om beställningar som inklusive tidigare gjorda åtaganden medför behov av framtida anslag på högst 7 250 000 000 kr efter 2009.</w:t>
      </w:r>
    </w:p>
    <w:p w:rsidR="00983108" w:rsidRPr="00983108" w:rsidRDefault="00983108">
      <w:pPr>
        <w:pStyle w:val="Rubrik1"/>
        <w:shd w:val="clear" w:color="000000" w:fill="auto"/>
      </w:pPr>
      <w:r w:rsidRPr="00983108">
        <w:br w:type="page"/>
      </w:r>
      <w:r w:rsidRPr="00983108">
        <w:lastRenderedPageBreak/>
        <w:t xml:space="preserve">Kommentar till förändringar i anslag i tilläggsbudget 2 för 2009 </w:t>
      </w:r>
    </w:p>
    <w:p w:rsidR="00983108" w:rsidRPr="00983108" w:rsidRDefault="00983108">
      <w:pPr>
        <w:shd w:val="clear" w:color="000000" w:fill="auto"/>
      </w:pPr>
      <w:r w:rsidRPr="00983108">
        <w:rPr>
          <w:i/>
        </w:rPr>
        <w:t>Utgiftsområde 2, anslag 1:4</w:t>
      </w:r>
      <w:r w:rsidRPr="00983108">
        <w:t xml:space="preserve">. Regeringen föreslår att anslaget ökas med 1 miljon kronor för att sätta i gång ett tvåårigt projekt om offentligt etos i statsförvaltningen. Vi menar att detta projekt är ett exempel på en utgift som bör dras in för att värna statsfinanserna. </w:t>
      </w:r>
    </w:p>
    <w:p w:rsidR="00983108" w:rsidRPr="00983108" w:rsidRDefault="00983108">
      <w:pPr>
        <w:pStyle w:val="Normaltindrag"/>
        <w:shd w:val="clear" w:color="000000" w:fill="auto"/>
      </w:pPr>
      <w:r w:rsidRPr="00983108">
        <w:rPr>
          <w:i/>
        </w:rPr>
        <w:t xml:space="preserve">Utgiftsområde 22, anslag 1:2 och 1:5. </w:t>
      </w:r>
      <w:r w:rsidRPr="00983108">
        <w:t>Vi säger nej till avreglering av fo</w:t>
      </w:r>
      <w:r w:rsidRPr="00983108">
        <w:t>r</w:t>
      </w:r>
      <w:r w:rsidRPr="00983108">
        <w:t>donsbesiktningen, och därav också nej till att överföra 9 miljoner kronor från anslag 1:2 till 1:5 för att finansiera Transportstyrelsens förberedande åtgärder för avregleringen. Avregleringen av fordonsbesiktningen görs helt av ideol</w:t>
      </w:r>
      <w:r w:rsidRPr="00983108">
        <w:t>o</w:t>
      </w:r>
      <w:r w:rsidRPr="00983108">
        <w:t>giska skäl. Svensk bilprovning håller Europas lägsta priser, har en kundnöj</w:t>
      </w:r>
      <w:r w:rsidRPr="00983108">
        <w:t>d</w:t>
      </w:r>
      <w:r w:rsidRPr="00983108">
        <w:t>het enligt senaste undersökningen på 94 % och kan erbjuda ett finmaskigt nät att provstationer i alla delar av landet.</w:t>
      </w:r>
    </w:p>
    <w:p w:rsidR="00983108" w:rsidRPr="00983108" w:rsidRDefault="00983108">
      <w:pPr>
        <w:pStyle w:val="Normaltindrag"/>
        <w:shd w:val="clear" w:color="000000" w:fill="auto"/>
      </w:pPr>
      <w:r w:rsidRPr="00983108">
        <w:rPr>
          <w:i/>
        </w:rPr>
        <w:t xml:space="preserve">Anslag 1:3 och 1:4. </w:t>
      </w:r>
      <w:r w:rsidRPr="00983108">
        <w:t>Vi säger nej till bolagisering av Banverkets produ</w:t>
      </w:r>
      <w:r w:rsidRPr="00983108">
        <w:t>k</w:t>
      </w:r>
      <w:r w:rsidRPr="00983108">
        <w:t>tion, och därav också nej till ökade anslag till Banverket för att kompensera för administrativa omställningskostnader, samt nej till det kapitaltillskott till Banverket som krävs när nettotillgångarna i Banverket Produktion överförs till det nya aktiebolaget. Det saknas i allt väsentligt rationella skäl till att g</w:t>
      </w:r>
      <w:r w:rsidRPr="00983108">
        <w:t>e</w:t>
      </w:r>
      <w:r w:rsidRPr="00983108">
        <w:t>nom bolagisering avskilja den producerande verksamheten från Banverket. Järnvägen är ett slutet system. Därför behövs en mycket tydlig samordnin</w:t>
      </w:r>
      <w:r w:rsidRPr="00983108">
        <w:t>g av trafikledning och underhållsverksamhet. Möjligheten att åstadkomma en sund konkurrenssituation när det gäller järnvägsunderhåll är därtill mycket begrä</w:t>
      </w:r>
      <w:r w:rsidRPr="00983108">
        <w:t>n</w:t>
      </w:r>
      <w:r w:rsidRPr="00983108">
        <w:t>sad. Totalt finns 4–5 verksamma bolag i hela Europa.</w:t>
      </w:r>
    </w:p>
    <w:p w:rsidR="00983108" w:rsidRPr="00983108" w:rsidRDefault="00983108">
      <w:pPr>
        <w:shd w:val="clear" w:color="000000" w:fill="auto"/>
        <w:spacing w:before="0"/>
        <w:ind w:firstLine="227"/>
      </w:pPr>
      <w:r w:rsidRPr="00983108">
        <w:rPr>
          <w:rStyle w:val="NormaltindragChar"/>
          <w:i/>
        </w:rPr>
        <w:t>Kommentar till anslag 1:2 och 1:4</w:t>
      </w:r>
      <w:r w:rsidRPr="00983108">
        <w:t>. De medel som åtgår för kostnader i samband med bolagisering av Banverket Produktion vill vi i stället använda för förstärkta underhållsinsatser i väg- och järnvägsnätet. Att öka investerin</w:t>
      </w:r>
      <w:r w:rsidRPr="00983108">
        <w:t>g</w:t>
      </w:r>
      <w:r w:rsidRPr="00983108">
        <w:t>arna i underhåll av våra vägar och järnvägar är mycket behövligt. Eftersom a</w:t>
      </w:r>
      <w:r w:rsidRPr="00983108">
        <w:t>n</w:t>
      </w:r>
      <w:r w:rsidRPr="00983108">
        <w:t>läggningsbranschen är arbetsintensiv och nära sammankopplad med andra branscher (hög multiplikator) kommer de ökade investeringarna dessutom att ge ett betydande tillskott av nya jobb. Av den föreslagna besparingen på 1 015 miljoner kronor vill</w:t>
      </w:r>
      <w:r w:rsidRPr="00983108">
        <w:t xml:space="preserve"> vi anslå 500 miljoner till underhåll av vägnätet (anslag 1:2) och 515 miljoner till underhåll av järnvägsnätet (anslag 1:4). Med den föreslagna besparingen på 9 miljoner blir vårt förslag till anslag 1:2 +509 miljoner. Med vårt nej till kapitaltillskottet på 898 miljoner blir vårt förslag till anslag 1:4 –383 miljoner.  </w:t>
      </w:r>
    </w:p>
    <w:p w:rsidR="00983108" w:rsidRPr="00983108" w:rsidRDefault="00983108">
      <w:pPr>
        <w:pStyle w:val="Rubrik1"/>
        <w:shd w:val="clear" w:color="000000" w:fill="auto"/>
      </w:pPr>
      <w:r w:rsidRPr="00983108">
        <w:t xml:space="preserve">Kommentar till övriga förslag till riksdagsbeslut </w:t>
      </w:r>
    </w:p>
    <w:p w:rsidR="00983108" w:rsidRPr="00983108" w:rsidRDefault="00983108">
      <w:pPr>
        <w:shd w:val="clear" w:color="000000" w:fill="auto"/>
      </w:pPr>
      <w:r w:rsidRPr="00983108">
        <w:rPr>
          <w:i/>
        </w:rPr>
        <w:t>Anskaffning av 115 nya splitterskyddade hjulgående fordon (utg.omr. 6</w:t>
      </w:r>
      <w:r w:rsidRPr="00983108">
        <w:t>). Vi socialdemokrater delar regeringens bedömning att det finns behov av att e</w:t>
      </w:r>
      <w:r w:rsidRPr="00983108">
        <w:t>r</w:t>
      </w:r>
      <w:r w:rsidRPr="00983108">
        <w:t>sätta äldre bandfordon med splitterskyddade hjulgående fordon för att öka försvarets operativa och taktiska rörlighet. Regeringen lämnar i tilläggsbu</w:t>
      </w:r>
      <w:r w:rsidRPr="00983108">
        <w:t>d</w:t>
      </w:r>
      <w:r w:rsidRPr="00983108">
        <w:t>getpropositionen förslag om att riksdagen ska bemyndiga regeringen att fatta beslut om att anskaffa nya splitterskyddade hjulgående fordon redan i höst, under 2009. Men regeringens underlag inför detta beslut är bristfälligt. Det enda regeringen hänvisar till är att de inte vill fö</w:t>
      </w:r>
      <w:r w:rsidRPr="00983108">
        <w:t>rsena den pågående upphan</w:t>
      </w:r>
      <w:r w:rsidRPr="00983108">
        <w:t>d</w:t>
      </w:r>
      <w:r w:rsidRPr="00983108">
        <w:t>lingen hos FMV. Denna process prövas nu av rättslig instans. Vi har varnat regeringen för en alltför naiv tilltro till marknadskrafterna inom detta område. Försvarsmaterielsektorn är i dag och under överskådlig framtid inte en fung</w:t>
      </w:r>
      <w:r w:rsidRPr="00983108">
        <w:t>e</w:t>
      </w:r>
      <w:r w:rsidRPr="00983108">
        <w:t>rande marknad. Regeringens dogmatiska inställning till att alltid köpa från den befintliga marknaden, den s.k. hyllan, missgynnar Försvarsmakten, den inhemska försvarsindustrin och Sverige. Vi menar att när det kommer till försvarsmateriel så måste hänsy</w:t>
      </w:r>
      <w:r w:rsidRPr="00983108">
        <w:t>n tas till t.ex. Sveriges spjutspetskompetens, framtida behov och Sveriges militära alliansfrihet. Det är viktigt att ge fö</w:t>
      </w:r>
      <w:r w:rsidRPr="00983108">
        <w:t>r</w:t>
      </w:r>
      <w:r w:rsidRPr="00983108">
        <w:t>svarsindustrin i Sverige goda förutsättningar. Företagen efterfrågar långsi</w:t>
      </w:r>
      <w:r w:rsidRPr="00983108">
        <w:t>k</w:t>
      </w:r>
      <w:r w:rsidRPr="00983108">
        <w:t>tighet för att våga satsa på utveckling och kompetens. Det är därför allvarligt att regeringen har misslyckats med att ta fram en försvarsindustristrategi. Mot denna bakgrund är vi socialdemokrater inte beredda att ge regeringen kla</w:t>
      </w:r>
      <w:r w:rsidRPr="00983108">
        <w:t>r</w:t>
      </w:r>
      <w:r w:rsidRPr="00983108">
        <w:t>tecken till att besluta om anskaffningen av dessa fordon redan under 2009.</w:t>
      </w:r>
    </w:p>
    <w:p w:rsidR="00983108" w:rsidRPr="00983108" w:rsidRDefault="00983108">
      <w:pPr>
        <w:pStyle w:val="Normaltindrag"/>
        <w:shd w:val="clear" w:color="000000" w:fill="auto"/>
      </w:pPr>
      <w:r w:rsidRPr="00983108">
        <w:rPr>
          <w:i/>
          <w:color w:val="000000"/>
        </w:rPr>
        <w:t>Ansk</w:t>
      </w:r>
      <w:r w:rsidRPr="00983108">
        <w:rPr>
          <w:i/>
          <w:color w:val="000000"/>
        </w:rPr>
        <w:t xml:space="preserve">affning av materiel och anläggningar samt </w:t>
      </w:r>
      <w:r w:rsidRPr="00983108">
        <w:rPr>
          <w:i/>
        </w:rPr>
        <w:t>vidmakthållande, avvec</w:t>
      </w:r>
      <w:r w:rsidRPr="00983108">
        <w:rPr>
          <w:i/>
        </w:rPr>
        <w:t>k</w:t>
      </w:r>
      <w:r w:rsidRPr="00983108">
        <w:rPr>
          <w:i/>
        </w:rPr>
        <w:t>ling m.m. av materiel och anläggningar (utg.omr. 6)</w:t>
      </w:r>
      <w:r w:rsidRPr="00983108">
        <w:rPr>
          <w:i/>
          <w:color w:val="000000"/>
        </w:rPr>
        <w:t>.</w:t>
      </w:r>
      <w:r w:rsidRPr="00983108">
        <w:rPr>
          <w:i/>
        </w:rPr>
        <w:t xml:space="preserve"> </w:t>
      </w:r>
      <w:r w:rsidRPr="00983108">
        <w:t>Vi säger nej till att minska bemyndiganderamen inom anslag 1:3 med 5,5 miljarder kronor, och att göra motsvarande ökning i bemyndiganderamen inom anslag 1:4,  i enli</w:t>
      </w:r>
      <w:r w:rsidRPr="00983108">
        <w:t>g</w:t>
      </w:r>
      <w:r w:rsidRPr="00983108">
        <w:t>het med tyngdpunktsförskjutningen från utveckling till anskaffning av färdig materiel. När vi behöver satsa på jobben för att möta arbetslösheten så väljer regeringen att satsa mindre på att egenutveckla och köpa inhemskt produc</w:t>
      </w:r>
      <w:r w:rsidRPr="00983108">
        <w:t>erad försvarsmateriel för att i stället köpa från andra länder. Detta hotar den i</w:t>
      </w:r>
      <w:r w:rsidRPr="00983108">
        <w:t>n</w:t>
      </w:r>
      <w:r w:rsidRPr="00983108">
        <w:t>hemska försvarsindustrin som sysselsätter lika många personer som fordon</w:t>
      </w:r>
      <w:r w:rsidRPr="00983108">
        <w:t>s</w:t>
      </w:r>
      <w:r w:rsidRPr="00983108">
        <w:t>industrin. Vi delar inte regeringens nya materielpolicy och vill värna jobben och spjutspetskompetensen inom försvarsindustrin.</w:t>
      </w:r>
    </w:p>
    <w:p w:rsidR="00983108" w:rsidRPr="00983108" w:rsidRDefault="00983108">
      <w:pPr>
        <w:pStyle w:val="Rubrik1"/>
        <w:shd w:val="clear" w:color="000000" w:fill="auto"/>
      </w:pPr>
      <w:r w:rsidRPr="00983108">
        <w:t xml:space="preserve">Övriga kommentarer </w:t>
      </w:r>
    </w:p>
    <w:p w:rsidR="00983108" w:rsidRPr="00983108" w:rsidRDefault="00983108">
      <w:pPr>
        <w:shd w:val="clear" w:color="000000" w:fill="auto"/>
      </w:pPr>
      <w:r w:rsidRPr="00983108">
        <w:rPr>
          <w:i/>
        </w:rPr>
        <w:t>Ersättning till kommuner för räddningstjänst (utg.omr. 6).</w:t>
      </w:r>
      <w:r w:rsidRPr="00983108">
        <w:t xml:space="preserve"> Vi menar att det hade varit rimligare att finansiera ökningen av kommunernas ersättningar för räddningstjänstinsatser från anslag 2:7 – i stället för från förbandsanslaget.</w:t>
      </w:r>
    </w:p>
    <w:p w:rsidR="00983108" w:rsidRPr="00983108" w:rsidRDefault="00983108">
      <w:pPr>
        <w:pStyle w:val="Normaltindrag"/>
        <w:shd w:val="clear" w:color="000000" w:fill="auto"/>
      </w:pPr>
      <w:r w:rsidRPr="00983108">
        <w:rPr>
          <w:i/>
        </w:rPr>
        <w:t>Extra utdelning från Vattenfall för att skapa en riskkapitalfond.</w:t>
      </w:r>
      <w:r w:rsidRPr="00983108">
        <w:rPr>
          <w:rFonts w:ascii="Garamond" w:hAnsi="Garamond"/>
          <w:i/>
        </w:rPr>
        <w:t xml:space="preserve"> </w:t>
      </w:r>
      <w:r w:rsidRPr="00983108">
        <w:t>Nyföret</w:t>
      </w:r>
      <w:r w:rsidRPr="00983108">
        <w:t>a</w:t>
      </w:r>
      <w:r w:rsidRPr="00983108">
        <w:t>gandet minskar i Sverige. Det är allvarligt i en situation där de små och m</w:t>
      </w:r>
      <w:r w:rsidRPr="00983108">
        <w:t>e</w:t>
      </w:r>
      <w:r w:rsidRPr="00983108">
        <w:t>delstora företagen står för en viktig del av en framtida ekonomisk återhäm</w:t>
      </w:r>
      <w:r w:rsidRPr="00983108">
        <w:t>t</w:t>
      </w:r>
      <w:r w:rsidRPr="00983108">
        <w:t>ning. Företagens möjligheter att få tillgång till kapital har allvarligt försä</w:t>
      </w:r>
      <w:r w:rsidRPr="00983108">
        <w:t>m</w:t>
      </w:r>
      <w:r w:rsidRPr="00983108">
        <w:t>rats. Vi vill genomföra en extra utdelning från Vattenfall med 5 miljarder kronor för att skapa en ny riskkapitalfond. Den nya riskkapitalfonden ska agera marknadskompletterande. Fonden ska aktivt stimulera det breda nä</w:t>
      </w:r>
      <w:r w:rsidRPr="00983108">
        <w:t>r</w:t>
      </w:r>
      <w:r w:rsidRPr="00983108">
        <w:t>ingslivets kapitalbehov, men med särskilt fokus på in</w:t>
      </w:r>
      <w:r w:rsidRPr="00983108">
        <w:t>novativa små och m</w:t>
      </w:r>
      <w:r w:rsidRPr="00983108">
        <w:t>e</w:t>
      </w:r>
      <w:r w:rsidRPr="00983108">
        <w:t>delstora industri- och tjänsteföretag. Insatser som stärker det svenska näring</w:t>
      </w:r>
      <w:r w:rsidRPr="00983108">
        <w:t>s</w:t>
      </w:r>
      <w:r w:rsidRPr="00983108">
        <w:t>livets långsiktiga konkurrenskraft ska särskilt prioriteras. Detta kan t.ex. a</w:t>
      </w:r>
      <w:r w:rsidRPr="00983108">
        <w:t>n</w:t>
      </w:r>
      <w:r w:rsidRPr="00983108">
        <w:t>vändas för satsningar på företag som verkar i branschen för miljöteknik.</w:t>
      </w:r>
    </w:p>
    <w:p w:rsidR="00983108" w:rsidRPr="00983108" w:rsidRDefault="00983108">
      <w:pPr>
        <w:pStyle w:val="Normaltindrag"/>
        <w:shd w:val="clear" w:color="000000" w:fill="auto"/>
      </w:pPr>
      <w:r w:rsidRPr="00983108">
        <w:rPr>
          <w:i/>
        </w:rPr>
        <w:t>Flytt av anslagssparande för stöd och rehabilitering av utförsäkrade.</w:t>
      </w:r>
      <w:r w:rsidRPr="00983108">
        <w:t xml:space="preserve"> På utgiftsområde 10, anslag 1.2 Sjuk- och aktivitetsersättningar m.m. finns ett betydande anslagssparande. Vi menar att dessa medel gör bättre nytta om de används för stöd och rehabilitering till dem som nu utförsäkras från den til</w:t>
      </w:r>
      <w:r w:rsidRPr="00983108">
        <w:t>l</w:t>
      </w:r>
      <w:r w:rsidRPr="00983108">
        <w:t>fälliga sjuk- och aktivitetsersättningen. Vi vill därför förstärka insatserna för rehabilitering med 330 miljoner kronor redan i tilläggsbudget 2 för 2009 för denna grupp. Insatserna ska tydligt syfta till att stärka individens arbetsfö</w:t>
      </w:r>
      <w:r w:rsidRPr="00983108">
        <w:t>r</w:t>
      </w:r>
      <w:r w:rsidRPr="00983108">
        <w:t>måga.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3108">
        <w:trPr>
          <w:cantSplit/>
        </w:trPr>
        <w:tc>
          <w:tcPr>
            <w:tcW w:w="3046" w:type="dxa"/>
          </w:tcPr>
          <w:p w:rsidR="00983108" w:rsidRPr="00983108" w:rsidRDefault="00983108">
            <w:pPr>
              <w:pStyle w:val="UnderskriftDatum"/>
              <w:shd w:val="clear" w:color="000000" w:fill="auto"/>
              <w:spacing w:before="240"/>
            </w:pPr>
            <w:r w:rsidRPr="00983108">
              <w:t>Stockholm den 6 oktober 2009</w:t>
            </w:r>
          </w:p>
        </w:tc>
        <w:tc>
          <w:tcPr>
            <w:tcW w:w="3047" w:type="dxa"/>
          </w:tcPr>
          <w:p w:rsidR="00983108" w:rsidRPr="00983108" w:rsidRDefault="00983108">
            <w:pPr>
              <w:pStyle w:val="Underskrifter"/>
              <w:shd w:val="clear" w:color="000000" w:fill="auto"/>
              <w:spacing w:before="240"/>
            </w:pPr>
          </w:p>
        </w:tc>
      </w:tr>
      <w:tr w:rsidR="00000000" w:rsidRPr="00983108">
        <w:trPr>
          <w:cantSplit/>
        </w:trPr>
        <w:tc>
          <w:tcPr>
            <w:tcW w:w="3046" w:type="dxa"/>
          </w:tcPr>
          <w:p w:rsidR="00983108" w:rsidRPr="00983108" w:rsidRDefault="00983108">
            <w:pPr>
              <w:pStyle w:val="Underskrifter"/>
              <w:shd w:val="clear" w:color="000000" w:fill="auto"/>
            </w:pPr>
            <w:r w:rsidRPr="00983108">
              <w:t>Mona Sahlin (s)</w:t>
            </w:r>
          </w:p>
        </w:tc>
        <w:tc>
          <w:tcPr>
            <w:tcW w:w="3046" w:type="dxa"/>
          </w:tcPr>
          <w:p w:rsidR="00983108" w:rsidRPr="00983108" w:rsidRDefault="00983108">
            <w:pPr>
              <w:pStyle w:val="Underskrifter"/>
              <w:shd w:val="clear" w:color="000000" w:fill="auto"/>
            </w:pPr>
          </w:p>
        </w:tc>
      </w:tr>
      <w:tr w:rsidR="00000000" w:rsidRPr="00983108">
        <w:trPr>
          <w:cantSplit/>
        </w:trPr>
        <w:tc>
          <w:tcPr>
            <w:tcW w:w="3046" w:type="dxa"/>
          </w:tcPr>
          <w:p w:rsidR="00983108" w:rsidRPr="00983108" w:rsidRDefault="00983108">
            <w:pPr>
              <w:pStyle w:val="Underskrifter"/>
              <w:shd w:val="clear" w:color="000000" w:fill="auto"/>
            </w:pPr>
            <w:r w:rsidRPr="00983108">
              <w:t>Sven-Erik Österberg (s)</w:t>
            </w:r>
          </w:p>
        </w:tc>
        <w:tc>
          <w:tcPr>
            <w:tcW w:w="3046" w:type="dxa"/>
          </w:tcPr>
          <w:p w:rsidR="00983108" w:rsidRPr="00983108" w:rsidRDefault="00983108">
            <w:pPr>
              <w:pStyle w:val="Underskrifter"/>
              <w:shd w:val="clear" w:color="000000" w:fill="auto"/>
            </w:pPr>
            <w:r w:rsidRPr="00983108">
              <w:t>Leif Jakobsson (s)</w:t>
            </w:r>
          </w:p>
        </w:tc>
      </w:tr>
      <w:tr w:rsidR="00000000" w:rsidRPr="00983108">
        <w:trPr>
          <w:cantSplit/>
        </w:trPr>
        <w:tc>
          <w:tcPr>
            <w:tcW w:w="3046" w:type="dxa"/>
          </w:tcPr>
          <w:p w:rsidR="00983108" w:rsidRPr="00983108" w:rsidRDefault="00983108">
            <w:pPr>
              <w:pStyle w:val="Underskrifter"/>
              <w:shd w:val="clear" w:color="000000" w:fill="auto"/>
            </w:pPr>
            <w:r w:rsidRPr="00983108">
              <w:t>Kristina Zakrisson (s)</w:t>
            </w:r>
          </w:p>
        </w:tc>
        <w:tc>
          <w:tcPr>
            <w:tcW w:w="3046" w:type="dxa"/>
          </w:tcPr>
          <w:p w:rsidR="00983108" w:rsidRPr="00983108" w:rsidRDefault="00983108">
            <w:pPr>
              <w:pStyle w:val="Underskrifter"/>
              <w:shd w:val="clear" w:color="000000" w:fill="auto"/>
            </w:pPr>
            <w:r w:rsidRPr="00983108">
              <w:t>Tone Tingsgård (s)</w:t>
            </w:r>
          </w:p>
        </w:tc>
      </w:tr>
      <w:tr w:rsidR="00000000" w:rsidRPr="00983108">
        <w:trPr>
          <w:cantSplit/>
        </w:trPr>
        <w:tc>
          <w:tcPr>
            <w:tcW w:w="3046" w:type="dxa"/>
          </w:tcPr>
          <w:p w:rsidR="00983108" w:rsidRPr="00983108" w:rsidRDefault="00983108">
            <w:pPr>
              <w:pStyle w:val="Underskrifter"/>
              <w:shd w:val="clear" w:color="000000" w:fill="auto"/>
            </w:pPr>
            <w:r w:rsidRPr="00983108">
              <w:t>Berit Andnor (s)</w:t>
            </w:r>
          </w:p>
        </w:tc>
        <w:tc>
          <w:tcPr>
            <w:tcW w:w="3046" w:type="dxa"/>
          </w:tcPr>
          <w:p w:rsidR="00983108" w:rsidRPr="00983108" w:rsidRDefault="00983108">
            <w:pPr>
              <w:pStyle w:val="Underskrifter"/>
              <w:shd w:val="clear" w:color="000000" w:fill="auto"/>
            </w:pPr>
            <w:r w:rsidRPr="00983108">
              <w:t>Thomas Östros (s)</w:t>
            </w:r>
          </w:p>
        </w:tc>
      </w:tr>
      <w:tr w:rsidR="00000000" w:rsidRPr="00983108">
        <w:trPr>
          <w:cantSplit/>
        </w:trPr>
        <w:tc>
          <w:tcPr>
            <w:tcW w:w="3046" w:type="dxa"/>
          </w:tcPr>
          <w:p w:rsidR="00983108" w:rsidRPr="00983108" w:rsidRDefault="00983108">
            <w:pPr>
              <w:pStyle w:val="Underskrifter"/>
              <w:shd w:val="clear" w:color="000000" w:fill="auto"/>
            </w:pPr>
            <w:r w:rsidRPr="00983108">
              <w:t>Lars Johansson (s)</w:t>
            </w:r>
          </w:p>
        </w:tc>
        <w:tc>
          <w:tcPr>
            <w:tcW w:w="3046" w:type="dxa"/>
          </w:tcPr>
          <w:p w:rsidR="00983108" w:rsidRPr="00983108" w:rsidRDefault="00983108">
            <w:pPr>
              <w:pStyle w:val="Underskrifter"/>
              <w:shd w:val="clear" w:color="000000" w:fill="auto"/>
            </w:pPr>
            <w:r w:rsidRPr="00983108">
              <w:t>Thomas Bodström (s)</w:t>
            </w:r>
          </w:p>
        </w:tc>
      </w:tr>
      <w:tr w:rsidR="00000000" w:rsidRPr="00983108">
        <w:trPr>
          <w:cantSplit/>
        </w:trPr>
        <w:tc>
          <w:tcPr>
            <w:tcW w:w="3046" w:type="dxa"/>
          </w:tcPr>
          <w:p w:rsidR="00983108" w:rsidRPr="00983108" w:rsidRDefault="00983108">
            <w:pPr>
              <w:pStyle w:val="Underskrifter"/>
              <w:shd w:val="clear" w:color="000000" w:fill="auto"/>
            </w:pPr>
            <w:r w:rsidRPr="00983108">
              <w:t>Carina Moberg (s)</w:t>
            </w:r>
          </w:p>
        </w:tc>
        <w:tc>
          <w:tcPr>
            <w:tcW w:w="3046" w:type="dxa"/>
          </w:tcPr>
          <w:p w:rsidR="00983108" w:rsidRPr="00983108" w:rsidRDefault="00983108">
            <w:pPr>
              <w:pStyle w:val="Underskrifter"/>
              <w:shd w:val="clear" w:color="000000" w:fill="auto"/>
            </w:pPr>
            <w:r w:rsidRPr="00983108">
              <w:t>Urban Ahlin (s)</w:t>
            </w:r>
          </w:p>
        </w:tc>
      </w:tr>
      <w:tr w:rsidR="00000000" w:rsidRPr="00983108">
        <w:trPr>
          <w:cantSplit/>
        </w:trPr>
        <w:tc>
          <w:tcPr>
            <w:tcW w:w="3046" w:type="dxa"/>
          </w:tcPr>
          <w:p w:rsidR="00983108" w:rsidRPr="00983108" w:rsidRDefault="00983108">
            <w:pPr>
              <w:pStyle w:val="Underskrifter"/>
              <w:shd w:val="clear" w:color="000000" w:fill="auto"/>
            </w:pPr>
            <w:r w:rsidRPr="00983108">
              <w:t>Anders Karlsson (s)</w:t>
            </w:r>
          </w:p>
        </w:tc>
        <w:tc>
          <w:tcPr>
            <w:tcW w:w="3046" w:type="dxa"/>
          </w:tcPr>
          <w:p w:rsidR="00983108" w:rsidRPr="00983108" w:rsidRDefault="00983108">
            <w:pPr>
              <w:pStyle w:val="Underskrifter"/>
              <w:shd w:val="clear" w:color="000000" w:fill="auto"/>
            </w:pPr>
            <w:r w:rsidRPr="00983108">
              <w:t>Veronica Palm (s)</w:t>
            </w:r>
          </w:p>
        </w:tc>
      </w:tr>
      <w:tr w:rsidR="00000000" w:rsidRPr="00983108">
        <w:trPr>
          <w:cantSplit/>
        </w:trPr>
        <w:tc>
          <w:tcPr>
            <w:tcW w:w="3046" w:type="dxa"/>
          </w:tcPr>
          <w:p w:rsidR="00983108" w:rsidRPr="00983108" w:rsidRDefault="00983108">
            <w:pPr>
              <w:pStyle w:val="Underskrifter"/>
              <w:shd w:val="clear" w:color="000000" w:fill="auto"/>
            </w:pPr>
            <w:r w:rsidRPr="00983108">
              <w:t>Ylva Johansson (s)</w:t>
            </w:r>
          </w:p>
        </w:tc>
        <w:tc>
          <w:tcPr>
            <w:tcW w:w="3046" w:type="dxa"/>
          </w:tcPr>
          <w:p w:rsidR="00983108" w:rsidRPr="00983108" w:rsidRDefault="00983108">
            <w:pPr>
              <w:pStyle w:val="Underskrifter"/>
              <w:shd w:val="clear" w:color="000000" w:fill="auto"/>
            </w:pPr>
            <w:r w:rsidRPr="00983108">
              <w:t>Leif Pagrotsky (s)</w:t>
            </w:r>
          </w:p>
        </w:tc>
      </w:tr>
      <w:tr w:rsidR="00000000" w:rsidRPr="00983108">
        <w:trPr>
          <w:cantSplit/>
        </w:trPr>
        <w:tc>
          <w:tcPr>
            <w:tcW w:w="3046" w:type="dxa"/>
          </w:tcPr>
          <w:p w:rsidR="00983108" w:rsidRPr="00983108" w:rsidRDefault="00983108">
            <w:pPr>
              <w:pStyle w:val="Underskrifter"/>
              <w:shd w:val="clear" w:color="000000" w:fill="auto"/>
            </w:pPr>
            <w:r w:rsidRPr="00983108">
              <w:t>Marie Granlund (s)</w:t>
            </w:r>
          </w:p>
        </w:tc>
        <w:tc>
          <w:tcPr>
            <w:tcW w:w="3046" w:type="dxa"/>
          </w:tcPr>
          <w:p w:rsidR="00983108" w:rsidRPr="00983108" w:rsidRDefault="00983108">
            <w:pPr>
              <w:pStyle w:val="Underskrifter"/>
              <w:shd w:val="clear" w:color="000000" w:fill="auto"/>
            </w:pPr>
            <w:r w:rsidRPr="00983108">
              <w:t>Lena Hallengren (s)</w:t>
            </w:r>
          </w:p>
        </w:tc>
      </w:tr>
      <w:tr w:rsidR="00000000" w:rsidRPr="00983108">
        <w:trPr>
          <w:cantSplit/>
        </w:trPr>
        <w:tc>
          <w:tcPr>
            <w:tcW w:w="3046" w:type="dxa"/>
          </w:tcPr>
          <w:p w:rsidR="00983108" w:rsidRPr="00983108" w:rsidRDefault="00983108">
            <w:pPr>
              <w:pStyle w:val="Underskrifter"/>
              <w:shd w:val="clear" w:color="000000" w:fill="auto"/>
            </w:pPr>
            <w:r w:rsidRPr="00983108">
              <w:t>Anders Ygeman (s)</w:t>
            </w:r>
          </w:p>
        </w:tc>
        <w:tc>
          <w:tcPr>
            <w:tcW w:w="3046" w:type="dxa"/>
          </w:tcPr>
          <w:p w:rsidR="00983108" w:rsidRPr="00983108" w:rsidRDefault="00983108">
            <w:pPr>
              <w:pStyle w:val="Underskrifter"/>
              <w:shd w:val="clear" w:color="000000" w:fill="auto"/>
            </w:pPr>
            <w:r w:rsidRPr="00983108">
              <w:t>Tomas Eneroth (s)</w:t>
            </w:r>
          </w:p>
        </w:tc>
      </w:tr>
      <w:tr w:rsidR="00000000" w:rsidRPr="00983108">
        <w:trPr>
          <w:cantSplit/>
        </w:trPr>
        <w:tc>
          <w:tcPr>
            <w:tcW w:w="3046" w:type="dxa"/>
          </w:tcPr>
          <w:p w:rsidR="00983108" w:rsidRPr="00983108" w:rsidRDefault="00983108">
            <w:pPr>
              <w:pStyle w:val="Underskrifter"/>
              <w:shd w:val="clear" w:color="000000" w:fill="auto"/>
            </w:pPr>
            <w:r w:rsidRPr="00983108">
              <w:t>Berit Högman (s)</w:t>
            </w:r>
          </w:p>
        </w:tc>
        <w:tc>
          <w:tcPr>
            <w:tcW w:w="3046" w:type="dxa"/>
          </w:tcPr>
          <w:p w:rsidR="00983108" w:rsidRPr="00983108" w:rsidRDefault="00983108">
            <w:pPr>
              <w:pStyle w:val="Underskrifter"/>
              <w:shd w:val="clear" w:color="000000" w:fill="auto"/>
            </w:pPr>
            <w:r w:rsidRPr="00983108">
              <w:t>Susanne Eberstein (s)</w:t>
            </w:r>
          </w:p>
        </w:tc>
      </w:tr>
    </w:tbl>
    <w:p w:rsidR="00983108" w:rsidRPr="00983108" w:rsidRDefault="00983108">
      <w:pPr>
        <w:pStyle w:val="Normaltindrag"/>
        <w:shd w:val="clear" w:color="000000" w:fill="auto"/>
      </w:pPr>
    </w:p>
    <w:sectPr w:rsidR="00000000" w:rsidRPr="009831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108" w:rsidRPr="00983108" w:rsidRDefault="00983108">
      <w:r w:rsidRPr="00983108">
        <w:separator/>
      </w:r>
    </w:p>
  </w:endnote>
  <w:endnote w:type="continuationSeparator" w:id="0">
    <w:p w:rsidR="00983108" w:rsidRPr="00983108" w:rsidRDefault="00983108">
      <w:r w:rsidRPr="009831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108" w:rsidRPr="00983108" w:rsidRDefault="00983108">
    <w:pPr>
      <w:pStyle w:val="Sidfot"/>
    </w:pPr>
    <w:r w:rsidRPr="009831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49877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108" w:rsidRDefault="0098310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3108" w:rsidRDefault="0098310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108" w:rsidRPr="00983108" w:rsidRDefault="00983108">
    <w:pPr>
      <w:pStyle w:val="Sidfot"/>
    </w:pPr>
    <w:r w:rsidRPr="009831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12286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108" w:rsidRDefault="009831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3108" w:rsidRDefault="009831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108" w:rsidRPr="00983108" w:rsidRDefault="00983108">
    <w:pPr>
      <w:pStyle w:val="Sidfot"/>
    </w:pPr>
    <w:r w:rsidRPr="009831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48530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108" w:rsidRDefault="009831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3108" w:rsidRDefault="009831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108" w:rsidRPr="00983108" w:rsidRDefault="00983108">
      <w:r w:rsidRPr="00983108">
        <w:separator/>
      </w:r>
    </w:p>
  </w:footnote>
  <w:footnote w:type="continuationSeparator" w:id="0">
    <w:p w:rsidR="00983108" w:rsidRPr="00983108" w:rsidRDefault="00983108">
      <w:r w:rsidRPr="009831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108" w:rsidRPr="00983108" w:rsidRDefault="00983108">
    <w:pPr>
      <w:pStyle w:val="Sidhuvud"/>
    </w:pPr>
    <w:r w:rsidRPr="009831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613790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108" w:rsidRDefault="009831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3108" w:rsidRDefault="009831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108" w:rsidRPr="00983108" w:rsidRDefault="00983108">
    <w:pPr>
      <w:pStyle w:val="Sidhuvud"/>
    </w:pPr>
    <w:r w:rsidRPr="009831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049438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108" w:rsidRDefault="009831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3108" w:rsidRDefault="009831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108" w:rsidRPr="00983108" w:rsidRDefault="00983108">
    <w:pPr>
      <w:pStyle w:val="FSHNormal"/>
      <w:tabs>
        <w:tab w:val="right" w:pos="5840"/>
      </w:tabs>
    </w:pPr>
    <w:r w:rsidRPr="00983108">
      <w:br/>
    </w:r>
    <w:r w:rsidRPr="00983108">
      <w:fldChar w:fldCharType="begin" w:fldLock="1"/>
    </w:r>
    <w:r w:rsidRPr="00983108">
      <w:instrText xml:space="preserve"> DOCPROPERTY</w:instrText>
    </w:r>
    <w:r w:rsidRPr="00983108">
      <w:rPr>
        <w:sz w:val="18"/>
      </w:rPr>
      <w:instrText xml:space="preserve"> "YearUser" *\charformat </w:instrText>
    </w:r>
    <w:r w:rsidRPr="00983108">
      <w:fldChar w:fldCharType="separate"/>
    </w:r>
    <w:r w:rsidRPr="00983108">
      <w:t>2009/10</w:t>
    </w:r>
    <w:r w:rsidRPr="00983108">
      <w:fldChar w:fldCharType="end"/>
    </w:r>
    <w:r w:rsidRPr="00983108">
      <w:t xml:space="preserve"> </w:t>
    </w:r>
    <w:r w:rsidRPr="00983108">
      <w:tab/>
      <w:t xml:space="preserve">mnr: </w:t>
    </w:r>
    <w:r w:rsidRPr="00983108">
      <w:fldChar w:fldCharType="begin" w:fldLock="1"/>
    </w:r>
    <w:r w:rsidRPr="00983108">
      <w:instrText xml:space="preserve"> DOCPROPERTY</w:instrText>
    </w:r>
    <w:r w:rsidRPr="00983108">
      <w:rPr>
        <w:sz w:val="18"/>
      </w:rPr>
      <w:instrText xml:space="preserve"> "Motionsnummer" *\charformat </w:instrText>
    </w:r>
    <w:r w:rsidRPr="00983108">
      <w:fldChar w:fldCharType="separate"/>
    </w:r>
    <w:r w:rsidRPr="00983108">
      <w:t>Fi1</w:t>
    </w:r>
    <w:r w:rsidRPr="00983108">
      <w:fldChar w:fldCharType="end"/>
    </w:r>
    <w:r w:rsidRPr="00983108">
      <w:br/>
    </w:r>
    <w:r w:rsidRPr="00983108">
      <w:fldChar w:fldCharType="begin" w:fldLock="1"/>
    </w:r>
    <w:r w:rsidRPr="00983108">
      <w:instrText xml:space="preserve"> DOCPROPERTY</w:instrText>
    </w:r>
    <w:r w:rsidRPr="00983108">
      <w:rPr>
        <w:sz w:val="18"/>
      </w:rPr>
      <w:instrText xml:space="preserve"> "Samling" *\charformat </w:instrText>
    </w:r>
    <w:r w:rsidRPr="00983108">
      <w:fldChar w:fldCharType="end"/>
    </w:r>
    <w:r w:rsidRPr="00983108">
      <w:tab/>
      <w:t xml:space="preserve">pnr: </w:t>
    </w:r>
    <w:r w:rsidRPr="00983108">
      <w:fldChar w:fldCharType="begin" w:fldLock="1"/>
    </w:r>
    <w:r w:rsidRPr="00983108">
      <w:instrText xml:space="preserve"> DOCPROPERTY</w:instrText>
    </w:r>
    <w:r w:rsidRPr="00983108">
      <w:rPr>
        <w:sz w:val="18"/>
      </w:rPr>
      <w:instrText xml:space="preserve"> "Partinummer" *\charformat </w:instrText>
    </w:r>
    <w:r w:rsidRPr="00983108">
      <w:fldChar w:fldCharType="separate"/>
    </w:r>
    <w:r w:rsidRPr="00983108">
      <w:t>s43002</w:t>
    </w:r>
    <w:r w:rsidRPr="00983108">
      <w:fldChar w:fldCharType="end"/>
    </w:r>
  </w:p>
  <w:p w:rsidR="00983108" w:rsidRPr="00983108" w:rsidRDefault="00983108">
    <w:pPr>
      <w:pStyle w:val="FSHRub1"/>
    </w:pPr>
    <w:r w:rsidRPr="00983108">
      <w:t>Motion till riksdagen</w:t>
    </w:r>
    <w:r w:rsidRPr="00983108">
      <w:br/>
    </w:r>
    <w:r w:rsidRPr="00983108">
      <w:fldChar w:fldCharType="begin" w:fldLock="1"/>
    </w:r>
    <w:r w:rsidRPr="00983108">
      <w:instrText xml:space="preserve"> DOCPROPERTY "YearUser" *\charformat </w:instrText>
    </w:r>
    <w:r w:rsidRPr="00983108">
      <w:fldChar w:fldCharType="separate"/>
    </w:r>
    <w:r w:rsidRPr="00983108">
      <w:t>2009/10</w:t>
    </w:r>
    <w:r w:rsidRPr="00983108">
      <w:fldChar w:fldCharType="end"/>
    </w:r>
    <w:r w:rsidRPr="00983108">
      <w:t>:</w:t>
    </w:r>
    <w:r w:rsidRPr="00983108">
      <w:fldChar w:fldCharType="begin" w:fldLock="1"/>
    </w:r>
    <w:r w:rsidRPr="00983108">
      <w:instrText xml:space="preserve"> DOCPROPERTY "Motionsnummer" *\charformat </w:instrText>
    </w:r>
    <w:r w:rsidRPr="00983108">
      <w:fldChar w:fldCharType="separate"/>
    </w:r>
    <w:r w:rsidRPr="00983108">
      <w:t>Fi1</w:t>
    </w:r>
    <w:r w:rsidRPr="00983108">
      <w:fldChar w:fldCharType="end"/>
    </w:r>
  </w:p>
  <w:p w:rsidR="00983108" w:rsidRPr="00983108" w:rsidRDefault="00983108">
    <w:pPr>
      <w:pStyle w:val="FSHNormalS5"/>
    </w:pPr>
    <w:r w:rsidRPr="00983108">
      <w:fldChar w:fldCharType="begin" w:fldLock="1"/>
    </w:r>
    <w:r w:rsidRPr="00983108">
      <w:instrText xml:space="preserve"> DOCPROPERTY "MotionarText" *\charformat </w:instrText>
    </w:r>
    <w:r w:rsidRPr="00983108">
      <w:fldChar w:fldCharType="separate"/>
    </w:r>
    <w:r w:rsidRPr="00983108">
      <w:t>av Mona Sahlin m.fl. (s)</w:t>
    </w:r>
    <w:r w:rsidRPr="00983108">
      <w:fldChar w:fldCharType="end"/>
    </w:r>
    <w:r w:rsidRPr="00983108">
      <w:br/>
    </w:r>
    <w:r w:rsidRPr="00983108">
      <w:fldChar w:fldCharType="begin" w:fldLock="1"/>
    </w:r>
    <w:r w:rsidRPr="00983108">
      <w:instrText xml:space="preserve"> DOCPROPERTY "SvarFrasKort" *\charformat </w:instrText>
    </w:r>
    <w:r w:rsidRPr="00983108">
      <w:fldChar w:fldCharType="separate"/>
    </w:r>
    <w:r w:rsidRPr="00983108">
      <w:t>med anledning av prop. 2009/10:2</w:t>
    </w:r>
    <w:r w:rsidRPr="00983108">
      <w:fldChar w:fldCharType="end"/>
    </w:r>
  </w:p>
  <w:p w:rsidR="00983108" w:rsidRPr="00983108" w:rsidRDefault="00983108">
    <w:pPr>
      <w:pStyle w:val="FSHTitel"/>
    </w:pPr>
    <w:r w:rsidRPr="00983108">
      <w:fldChar w:fldCharType="begin" w:fldLock="1"/>
    </w:r>
    <w:r w:rsidRPr="00983108">
      <w:instrText xml:space="preserve"> DOCPROPERTY</w:instrText>
    </w:r>
    <w:r w:rsidRPr="00983108">
      <w:rPr>
        <w:sz w:val="18"/>
      </w:rPr>
      <w:instrText xml:space="preserve"> "RubrikSvar" *\charformat </w:instrText>
    </w:r>
    <w:r w:rsidRPr="00983108">
      <w:fldChar w:fldCharType="separate"/>
    </w:r>
    <w:r w:rsidRPr="00983108">
      <w:t>Hösttilläggsbudget för 2009</w:t>
    </w:r>
    <w:r w:rsidRPr="00983108">
      <w:fldChar w:fldCharType="end"/>
    </w:r>
  </w:p>
  <w:p w:rsidR="00983108" w:rsidRPr="00983108" w:rsidRDefault="00983108">
    <w:pPr>
      <w:pStyle w:val="Normal00"/>
    </w:pPr>
  </w:p>
  <w:p w:rsidR="00983108" w:rsidRPr="00983108" w:rsidRDefault="009831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62589"/>
    <w:multiLevelType w:val="hybridMultilevel"/>
    <w:tmpl w:val="731EB2A0"/>
    <w:lvl w:ilvl="0" w:tplc="3AFC54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3C22DE1"/>
    <w:multiLevelType w:val="hybridMultilevel"/>
    <w:tmpl w:val="88328A50"/>
    <w:lvl w:ilvl="0" w:tplc="4EDA52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6D21AD3"/>
    <w:multiLevelType w:val="hybridMultilevel"/>
    <w:tmpl w:val="ABD0E05A"/>
    <w:lvl w:ilvl="0" w:tplc="9A1496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0B21046"/>
    <w:multiLevelType w:val="hybridMultilevel"/>
    <w:tmpl w:val="774ADCB8"/>
    <w:lvl w:ilvl="0" w:tplc="F2BA94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28465E"/>
    <w:multiLevelType w:val="hybridMultilevel"/>
    <w:tmpl w:val="26389B12"/>
    <w:lvl w:ilvl="0" w:tplc="EB5CB1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7" w15:restartNumberingAfterBreak="0">
    <w:nsid w:val="2F133ACD"/>
    <w:multiLevelType w:val="hybridMultilevel"/>
    <w:tmpl w:val="CBD43E08"/>
    <w:lvl w:ilvl="0" w:tplc="42FAD4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BA97186"/>
    <w:multiLevelType w:val="hybridMultilevel"/>
    <w:tmpl w:val="CABE7458"/>
    <w:lvl w:ilvl="0" w:tplc="D8C47E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35D02BE"/>
    <w:multiLevelType w:val="hybridMultilevel"/>
    <w:tmpl w:val="D9DC54BA"/>
    <w:lvl w:ilvl="0" w:tplc="C19609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1" w15:restartNumberingAfterBreak="0">
    <w:nsid w:val="583B26BA"/>
    <w:multiLevelType w:val="hybridMultilevel"/>
    <w:tmpl w:val="B35AF1B8"/>
    <w:lvl w:ilvl="0" w:tplc="041D000F">
      <w:start w:val="1"/>
      <w:numFmt w:val="decimal"/>
      <w:lvlText w:val="%1."/>
      <w:lvlJc w:val="left"/>
      <w:pPr>
        <w:tabs>
          <w:tab w:val="num" w:pos="900"/>
        </w:tabs>
        <w:ind w:left="900" w:hanging="360"/>
      </w:pPr>
      <w:rPr>
        <w:rFonts w:hint="default"/>
      </w:rPr>
    </w:lvl>
    <w:lvl w:ilvl="1" w:tplc="041D0019" w:tentative="1">
      <w:start w:val="1"/>
      <w:numFmt w:val="lowerLetter"/>
      <w:lvlText w:val="%2."/>
      <w:lvlJc w:val="left"/>
      <w:pPr>
        <w:tabs>
          <w:tab w:val="num" w:pos="1620"/>
        </w:tabs>
        <w:ind w:left="1620" w:hanging="360"/>
      </w:pPr>
    </w:lvl>
    <w:lvl w:ilvl="2" w:tplc="041D001B" w:tentative="1">
      <w:start w:val="1"/>
      <w:numFmt w:val="lowerRoman"/>
      <w:lvlText w:val="%3."/>
      <w:lvlJc w:val="right"/>
      <w:pPr>
        <w:tabs>
          <w:tab w:val="num" w:pos="2340"/>
        </w:tabs>
        <w:ind w:left="2340" w:hanging="180"/>
      </w:pPr>
    </w:lvl>
    <w:lvl w:ilvl="3" w:tplc="041D000F" w:tentative="1">
      <w:start w:val="1"/>
      <w:numFmt w:val="decimal"/>
      <w:lvlText w:val="%4."/>
      <w:lvlJc w:val="left"/>
      <w:pPr>
        <w:tabs>
          <w:tab w:val="num" w:pos="3060"/>
        </w:tabs>
        <w:ind w:left="3060" w:hanging="360"/>
      </w:pPr>
    </w:lvl>
    <w:lvl w:ilvl="4" w:tplc="041D0019" w:tentative="1">
      <w:start w:val="1"/>
      <w:numFmt w:val="lowerLetter"/>
      <w:lvlText w:val="%5."/>
      <w:lvlJc w:val="left"/>
      <w:pPr>
        <w:tabs>
          <w:tab w:val="num" w:pos="3780"/>
        </w:tabs>
        <w:ind w:left="3780" w:hanging="360"/>
      </w:pPr>
    </w:lvl>
    <w:lvl w:ilvl="5" w:tplc="041D001B" w:tentative="1">
      <w:start w:val="1"/>
      <w:numFmt w:val="lowerRoman"/>
      <w:lvlText w:val="%6."/>
      <w:lvlJc w:val="right"/>
      <w:pPr>
        <w:tabs>
          <w:tab w:val="num" w:pos="4500"/>
        </w:tabs>
        <w:ind w:left="4500" w:hanging="180"/>
      </w:pPr>
    </w:lvl>
    <w:lvl w:ilvl="6" w:tplc="041D000F" w:tentative="1">
      <w:start w:val="1"/>
      <w:numFmt w:val="decimal"/>
      <w:lvlText w:val="%7."/>
      <w:lvlJc w:val="left"/>
      <w:pPr>
        <w:tabs>
          <w:tab w:val="num" w:pos="5220"/>
        </w:tabs>
        <w:ind w:left="5220" w:hanging="360"/>
      </w:pPr>
    </w:lvl>
    <w:lvl w:ilvl="7" w:tplc="041D0019" w:tentative="1">
      <w:start w:val="1"/>
      <w:numFmt w:val="lowerLetter"/>
      <w:lvlText w:val="%8."/>
      <w:lvlJc w:val="left"/>
      <w:pPr>
        <w:tabs>
          <w:tab w:val="num" w:pos="5940"/>
        </w:tabs>
        <w:ind w:left="5940" w:hanging="360"/>
      </w:pPr>
    </w:lvl>
    <w:lvl w:ilvl="8" w:tplc="041D001B" w:tentative="1">
      <w:start w:val="1"/>
      <w:numFmt w:val="lowerRoman"/>
      <w:lvlText w:val="%9."/>
      <w:lvlJc w:val="right"/>
      <w:pPr>
        <w:tabs>
          <w:tab w:val="num" w:pos="6660"/>
        </w:tabs>
        <w:ind w:left="6660" w:hanging="180"/>
      </w:p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5C97977"/>
    <w:multiLevelType w:val="hybridMultilevel"/>
    <w:tmpl w:val="4B8E0A70"/>
    <w:lvl w:ilvl="0" w:tplc="2A7643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F843ECE"/>
    <w:multiLevelType w:val="hybridMultilevel"/>
    <w:tmpl w:val="3F180770"/>
    <w:lvl w:ilvl="0" w:tplc="9ED49D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6591176">
    <w:abstractNumId w:val="8"/>
  </w:num>
  <w:num w:numId="2" w16cid:durableId="1223366720">
    <w:abstractNumId w:val="9"/>
  </w:num>
  <w:num w:numId="3" w16cid:durableId="281962694">
    <w:abstractNumId w:val="8"/>
  </w:num>
  <w:num w:numId="4" w16cid:durableId="790173502">
    <w:abstractNumId w:val="9"/>
  </w:num>
  <w:num w:numId="5" w16cid:durableId="1781416071">
    <w:abstractNumId w:val="22"/>
  </w:num>
  <w:num w:numId="6" w16cid:durableId="1312052650">
    <w:abstractNumId w:val="11"/>
  </w:num>
  <w:num w:numId="7" w16cid:durableId="639111318">
    <w:abstractNumId w:val="16"/>
  </w:num>
  <w:num w:numId="8" w16cid:durableId="2133547825">
    <w:abstractNumId w:val="20"/>
  </w:num>
  <w:num w:numId="9" w16cid:durableId="1077165490">
    <w:abstractNumId w:val="8"/>
  </w:num>
  <w:num w:numId="10" w16cid:durableId="520239426">
    <w:abstractNumId w:val="3"/>
  </w:num>
  <w:num w:numId="11" w16cid:durableId="1478301124">
    <w:abstractNumId w:val="2"/>
  </w:num>
  <w:num w:numId="12" w16cid:durableId="759984069">
    <w:abstractNumId w:val="1"/>
  </w:num>
  <w:num w:numId="13" w16cid:durableId="696858259">
    <w:abstractNumId w:val="0"/>
  </w:num>
  <w:num w:numId="14" w16cid:durableId="1465007866">
    <w:abstractNumId w:val="9"/>
  </w:num>
  <w:num w:numId="15" w16cid:durableId="992951279">
    <w:abstractNumId w:val="7"/>
  </w:num>
  <w:num w:numId="16" w16cid:durableId="2003465369">
    <w:abstractNumId w:val="6"/>
  </w:num>
  <w:num w:numId="17" w16cid:durableId="1659265355">
    <w:abstractNumId w:val="5"/>
  </w:num>
  <w:num w:numId="18" w16cid:durableId="978798780">
    <w:abstractNumId w:val="4"/>
  </w:num>
  <w:num w:numId="19" w16cid:durableId="725103121">
    <w:abstractNumId w:val="21"/>
  </w:num>
  <w:num w:numId="20" w16cid:durableId="1699038123">
    <w:abstractNumId w:val="18"/>
  </w:num>
  <w:num w:numId="21" w16cid:durableId="910626185">
    <w:abstractNumId w:val="13"/>
  </w:num>
  <w:num w:numId="22" w16cid:durableId="1973173456">
    <w:abstractNumId w:val="15"/>
  </w:num>
  <w:num w:numId="23" w16cid:durableId="1009406585">
    <w:abstractNumId w:val="17"/>
  </w:num>
  <w:num w:numId="24" w16cid:durableId="602498709">
    <w:abstractNumId w:val="24"/>
  </w:num>
  <w:num w:numId="25" w16cid:durableId="492570631">
    <w:abstractNumId w:val="19"/>
  </w:num>
  <w:num w:numId="26" w16cid:durableId="370158139">
    <w:abstractNumId w:val="10"/>
  </w:num>
  <w:num w:numId="27" w16cid:durableId="1307472390">
    <w:abstractNumId w:val="23"/>
  </w:num>
  <w:num w:numId="28" w16cid:durableId="399210042">
    <w:abstractNumId w:val="12"/>
  </w:num>
  <w:num w:numId="29" w16cid:durableId="15363896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6"/>
    <w:docVar w:name="PersonGUIDs" w:val="{87D82EC0-2606-4748-B2F8-C15B9C400F61},{3AE19472-61BC-4D27-950A-CDDC8BE74CDB},{6B3FDFA4-2A8F-43C6-9666-D2940B5F9B8E},{1B0EC7B2-9F16-4391-A824-2F6E746B104D},{8F3168D7-0428-4E9F-B316-03268863E52C},{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1E8E3E46-47A5-4AD8-A943-BBE396BFF773},{568AD98A-85D3-490B-AD8D-C0EF77912EFA},{DFF727DB-B89E-40E0-A020-F775D0369C44},{A507F21D-0507-473C-BE5A-C36D18D583BF},{042520C7-60F5-4483-8053-858F5CC61EA2},{A193B297-6B98-437B-A6FB-B6A494C4671C},{21D981AD-E09E-4AE1-8E77-E42F68C9CCDC}"/>
  </w:docVars>
  <w:rsids>
    <w:rsidRoot w:val="00276C70"/>
    <w:rsid w:val="00276C70"/>
    <w:rsid w:val="009831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ACEECE7-A0EC-4C65-8D1A-80506589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jc w:val="left"/>
    </w:pPr>
    <w:rPr>
      <w:rFonts w:ascii="Verdana" w:hAnsi="Verdana"/>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1188</Words>
  <Characters>7225</Characters>
  <Application>Microsoft Office Word</Application>
  <DocSecurity>4</DocSecurity>
  <Lines>168</Lines>
  <Paragraphs>66</Paragraphs>
  <ScaleCrop>false</ScaleCrop>
  <HeadingPairs>
    <vt:vector size="2" baseType="variant">
      <vt:variant>
        <vt:lpstr>Rubrik</vt:lpstr>
      </vt:variant>
      <vt:variant>
        <vt:i4>1</vt:i4>
      </vt:variant>
    </vt:vector>
  </HeadingPairs>
  <TitlesOfParts>
    <vt:vector size="1" baseType="lpstr">
      <vt:lpstr>s43002</vt:lpstr>
    </vt:vector>
  </TitlesOfParts>
  <Company>Riksdagen</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s43002</dc:title>
  <dc:subject>s43002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2009-10-28T12:40:00Z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mot2000_496_2009-09-16</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 Hösttilläggsbudget för 2009</vt:lpwstr>
  </property>
  <property fmtid="{D5CDD505-2E9C-101B-9397-08002B2CF9AE}" pid="11" name="SvarFrasKort">
    <vt:lpwstr>med anledning av prop. 2009/10:2</vt:lpwstr>
  </property>
  <property fmtid="{D5CDD505-2E9C-101B-9397-08002B2CF9AE}" pid="12" name="Svar">
    <vt:lpwstr>Proposition</vt:lpwstr>
  </property>
  <property fmtid="{D5CDD505-2E9C-101B-9397-08002B2CF9AE}" pid="13" name="SvarNr">
    <vt:lpwstr>2009/10:2</vt:lpwstr>
  </property>
  <property fmtid="{D5CDD505-2E9C-101B-9397-08002B2CF9AE}" pid="14" name="RubrikSvar">
    <vt:lpwstr>Hösttilläggsbudget för 2009</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s43002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(s)\Österberg, Sven-Erik (s)\Jakobsson, Leif (s)\Zakrisson, Kristina (s)\Tingsgård, Tone (s)\Andnor, Berit (s)\Östros, Thomas (s)\Johansson, Lars (s)\Bodström, Thomas (s)\Moberg, Carina (s)\Ahlin, Urban (s)\Karlsson, Anders (s)\</vt:lpwstr>
  </property>
  <property fmtid="{D5CDD505-2E9C-101B-9397-08002B2CF9AE}" pid="27" name="MotionarLista1">
    <vt:lpwstr>Palm, Veronica (s)\Johansson, Ylva (s)\Pagrotsky, Leif (s)\Granlund, Marie (s)\Hallengren, Lena (s)\Ygeman, Anders (s)\Eneroth, Tomas (s)\Högman, Berit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Sven-Erik Österberg (s), Leif Jakobsson (s), Kristina Zakrisson (s), Tone Tingsgård (s), Berit Andnor (s), Thomas Östros (s), Lars Johansson (s), Thomas Bodström (s), Carina Moberg (s), Urban Ahlin (s), Anders Karlsson (s), Veronica Palm </vt:lpwstr>
  </property>
  <property fmtid="{D5CDD505-2E9C-101B-9397-08002B2CF9AE}" pid="31" name="MotionarLotus1">
    <vt:lpwstr>(s), Ylva Johansson (s), Leif Pagrotsky (s), Marie Granlund (s), Lena Hallengren (s), Anders Ygeman (s), Tomas Eneroth (s), Berit Högman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Fi1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catharina.ljung@riksdagen.se</vt:lpwstr>
  </property>
  <property fmtid="{D5CDD505-2E9C-101B-9397-08002B2CF9AE}" pid="45" name="ReservUID">
    <vt:lpwstr>ca0120aa</vt:lpwstr>
  </property>
  <property fmtid="{D5CDD505-2E9C-101B-9397-08002B2CF9AE}" pid="46" name="MotionID">
    <vt:lpwstr>20092010000000000115000430020080</vt:lpwstr>
  </property>
  <property fmtid="{D5CDD505-2E9C-101B-9397-08002B2CF9AE}" pid="47" name="datum">
    <vt:lpwstr>091006</vt:lpwstr>
  </property>
  <property fmtid="{D5CDD505-2E9C-101B-9397-08002B2CF9AE}" pid="48" name="avsändar-e-post">
    <vt:lpwstr>catharina.ljung@riksdagen.se</vt:lpwstr>
  </property>
  <property fmtid="{D5CDD505-2E9C-101B-9397-08002B2CF9AE}" pid="49" name="id">
    <vt:lpwstr>20092010000000000115000430020080</vt:lpwstr>
  </property>
  <property fmtid="{D5CDD505-2E9C-101B-9397-08002B2CF9AE}" pid="50" name="nummer">
    <vt:lpwstr>1</vt:lpwstr>
  </property>
  <property fmtid="{D5CDD505-2E9C-101B-9397-08002B2CF9AE}" pid="51" name="utskottsbeteckning">
    <vt:lpwstr>Fi</vt:lpwstr>
  </property>
  <property fmtid="{D5CDD505-2E9C-101B-9397-08002B2CF9AE}" pid="52" name="GlobalUID">
    <vt:lpwstr>{05C873E9-7418-4A38-A7B4-CBA0295C0E6C}</vt:lpwstr>
  </property>
  <property fmtid="{D5CDD505-2E9C-101B-9397-08002B2CF9AE}" pid="53" name="Överföringar">
    <vt:i4>0</vt:i4>
  </property>
  <property fmtid="{D5CDD505-2E9C-101B-9397-08002B2CF9AE}" pid="54" name="Checksum">
    <vt:lpwstr>*0014172756764*</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091028 13:42:19.781</vt:lpwstr>
  </property>
  <property fmtid="{D5CDD505-2E9C-101B-9397-08002B2CF9AE}" pid="58" name="urixGuid">
    <vt:lpwstr>{28CB6C0F-C957-44AD-8D73-8D380753CCA1}</vt:lpwstr>
  </property>
</Properties>
</file>