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B4EC1">
        <w:tblPrEx>
          <w:tblCellMar>
            <w:top w:w="0" w:type="dxa"/>
            <w:bottom w:w="0" w:type="dxa"/>
          </w:tblCellMar>
        </w:tblPrEx>
        <w:trPr>
          <w:cantSplit/>
          <w:trHeight w:val="1720"/>
        </w:trPr>
        <w:tc>
          <w:tcPr>
            <w:tcW w:w="6024" w:type="dxa"/>
            <w:gridSpan w:val="2"/>
          </w:tcPr>
          <w:p w:rsidR="00252869" w:rsidRPr="001B4EC1" w:rsidRDefault="00252869">
            <w:pPr>
              <w:pStyle w:val="HuvudRubrik"/>
            </w:pPr>
            <w:r w:rsidRPr="001B4EC1">
              <w:t>Konstitutionsutskottets betänkande</w:t>
            </w:r>
          </w:p>
          <w:p w:rsidR="00252869" w:rsidRPr="001B4EC1" w:rsidRDefault="00252869">
            <w:pPr>
              <w:pStyle w:val="HuvudRubrikRad2"/>
            </w:pPr>
            <w:bookmarkStart w:id="0" w:name="BetänkandeNr"/>
            <w:bookmarkEnd w:id="0"/>
            <w:r w:rsidRPr="001B4EC1">
              <w:t>2003/04:KU20</w:t>
            </w:r>
          </w:p>
        </w:tc>
        <w:tc>
          <w:tcPr>
            <w:tcW w:w="1418" w:type="dxa"/>
            <w:tcBorders>
              <w:bottom w:val="nil"/>
            </w:tcBorders>
          </w:tcPr>
          <w:p w:rsidR="00252869" w:rsidRPr="001B4EC1" w:rsidRDefault="001B4EC1">
            <w:pPr>
              <w:spacing w:line="230" w:lineRule="auto"/>
              <w:jc w:val="center"/>
            </w:pPr>
            <w:r w:rsidRPr="001B4EC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52869" w:rsidRPr="001B4EC1" w:rsidRDefault="00252869">
            <w:pPr>
              <w:pStyle w:val="Normaltindrag"/>
              <w:jc w:val="center"/>
            </w:pPr>
          </w:p>
          <w:p w:rsidR="00252869" w:rsidRPr="001B4EC1" w:rsidRDefault="00252869">
            <w:pPr>
              <w:pStyle w:val="StatusSida1"/>
            </w:pPr>
          </w:p>
          <w:p w:rsidR="00252869" w:rsidRPr="001B4EC1" w:rsidRDefault="00252869">
            <w:pPr>
              <w:pStyle w:val="UtskriftsdatumSida1"/>
              <w:framePr w:wrap="around"/>
            </w:pPr>
          </w:p>
        </w:tc>
      </w:tr>
      <w:tr w:rsidR="00000000" w:rsidRPr="001B4EC1">
        <w:tblPrEx>
          <w:tblCellMar>
            <w:top w:w="0" w:type="dxa"/>
            <w:bottom w:w="0" w:type="dxa"/>
          </w:tblCellMar>
        </w:tblPrEx>
        <w:trPr>
          <w:cantSplit/>
        </w:trPr>
        <w:tc>
          <w:tcPr>
            <w:tcW w:w="6024" w:type="dxa"/>
            <w:gridSpan w:val="2"/>
            <w:tcBorders>
              <w:bottom w:val="single" w:sz="4" w:space="0" w:color="auto"/>
            </w:tcBorders>
          </w:tcPr>
          <w:p w:rsidR="00252869" w:rsidRPr="001B4EC1" w:rsidRDefault="00252869">
            <w:pPr>
              <w:pStyle w:val="DokumentRubrik"/>
              <w:rPr>
                <w:noProof w:val="0"/>
              </w:rPr>
            </w:pPr>
            <w:bookmarkStart w:id="1" w:name="Huvudrubrik"/>
            <w:bookmarkEnd w:id="1"/>
            <w:r w:rsidRPr="001B4EC1">
              <w:rPr>
                <w:noProof w:val="0"/>
              </w:rPr>
              <w:t>Granskningsbetänkande</w:t>
            </w:r>
          </w:p>
        </w:tc>
        <w:tc>
          <w:tcPr>
            <w:tcW w:w="1418" w:type="dxa"/>
            <w:tcBorders>
              <w:bottom w:val="nil"/>
            </w:tcBorders>
          </w:tcPr>
          <w:p w:rsidR="00252869" w:rsidRPr="001B4EC1" w:rsidRDefault="00252869"/>
        </w:tc>
      </w:tr>
      <w:tr w:rsidR="00000000" w:rsidRPr="001B4EC1">
        <w:tblPrEx>
          <w:tblCellMar>
            <w:top w:w="0" w:type="dxa"/>
            <w:bottom w:w="0" w:type="dxa"/>
          </w:tblCellMar>
        </w:tblPrEx>
        <w:trPr>
          <w:cantSplit/>
          <w:trHeight w:hRule="exact" w:val="360"/>
        </w:trPr>
        <w:tc>
          <w:tcPr>
            <w:tcW w:w="3012" w:type="dxa"/>
          </w:tcPr>
          <w:p w:rsidR="00252869" w:rsidRPr="001B4EC1" w:rsidRDefault="00252869"/>
        </w:tc>
        <w:tc>
          <w:tcPr>
            <w:tcW w:w="3012" w:type="dxa"/>
          </w:tcPr>
          <w:p w:rsidR="00252869" w:rsidRPr="001B4EC1" w:rsidRDefault="00252869"/>
        </w:tc>
        <w:tc>
          <w:tcPr>
            <w:tcW w:w="1418" w:type="dxa"/>
          </w:tcPr>
          <w:p w:rsidR="00252869" w:rsidRPr="001B4EC1" w:rsidRDefault="00252869"/>
        </w:tc>
      </w:tr>
    </w:tbl>
    <w:p w:rsidR="00252869" w:rsidRPr="001B4EC1" w:rsidRDefault="00252869">
      <w:pPr>
        <w:pStyle w:val="Rubrik1"/>
        <w:spacing w:after="180"/>
        <w:rPr>
          <w:noProof w:val="0"/>
        </w:rPr>
      </w:pPr>
      <w:bookmarkStart w:id="2" w:name="_Toc72648436"/>
      <w:r w:rsidRPr="001B4EC1">
        <w:rPr>
          <w:noProof w:val="0"/>
        </w:rPr>
        <w:t>Inledning</w:t>
      </w:r>
      <w:bookmarkEnd w:id="2"/>
    </w:p>
    <w:p w:rsidR="00252869" w:rsidRPr="001B4EC1" w:rsidRDefault="00252869">
      <w:r w:rsidRPr="001B4EC1">
        <w:t>Enligt 12 kap. 1 § regeringsformen skall konstitutionsutskottet granska stat</w:t>
      </w:r>
      <w:r w:rsidRPr="001B4EC1">
        <w:t>s</w:t>
      </w:r>
      <w:r w:rsidRPr="001B4EC1">
        <w:t>rådens tjänsteutövning och regeringsärendenas handläggning. Utskottet har rätt att för detta ändamål få ut protokollen över besluten i regeringsärenden och de handlingar som hör till ärendena.</w:t>
      </w:r>
    </w:p>
    <w:p w:rsidR="00252869" w:rsidRPr="001B4EC1" w:rsidRDefault="00252869">
      <w:pPr>
        <w:pStyle w:val="Normaltindrag"/>
        <w:rPr>
          <w:i/>
        </w:rPr>
      </w:pPr>
      <w:r w:rsidRPr="001B4EC1">
        <w:t xml:space="preserve">Som underlag för den granskning som nu redovisas har utskottet haft att tillgå material som tagits fram av utskottets kansli och av Regeringskansliet. Utskottet har också inhämtat vissa andra yttranden. Utredningsmaterialet redovisas i </w:t>
      </w:r>
      <w:r w:rsidRPr="001B4EC1">
        <w:rPr>
          <w:i/>
        </w:rPr>
        <w:t>bilagorna A1.1.1- A6.3.2.</w:t>
      </w:r>
    </w:p>
    <w:p w:rsidR="00252869" w:rsidRPr="001B4EC1" w:rsidRDefault="00252869">
      <w:pPr>
        <w:pStyle w:val="Normaltindrag"/>
        <w:rPr>
          <w:i/>
        </w:rPr>
      </w:pPr>
      <w:r w:rsidRPr="001B4EC1">
        <w:t xml:space="preserve">För att inhämta upplysningar har utskottet vidare hållit ett antal offentliga utfrågningar. Uppteckningar från utfrågningarna utgör </w:t>
      </w:r>
      <w:r w:rsidRPr="001B4EC1">
        <w:rPr>
          <w:i/>
        </w:rPr>
        <w:t>bilagorna B1-10 .</w:t>
      </w:r>
    </w:p>
    <w:p w:rsidR="00252869" w:rsidRPr="001B4EC1" w:rsidRDefault="00252869">
      <w:pPr>
        <w:pStyle w:val="Normaltindrag"/>
      </w:pPr>
      <w:r w:rsidRPr="001B4EC1">
        <w:t>I det följande lämnas först en sammanfattande redogörelse för det grans</w:t>
      </w:r>
      <w:r w:rsidRPr="001B4EC1">
        <w:t>k</w:t>
      </w:r>
      <w:r w:rsidRPr="001B4EC1">
        <w:t>ningsarbete som ligger till grund för betänkandet och resultatet av grans</w:t>
      </w:r>
      <w:r w:rsidRPr="001B4EC1">
        <w:t>k</w:t>
      </w:r>
      <w:r w:rsidRPr="001B4EC1">
        <w:t>ningen. De olika granskningsfrågorna behandlas därefter i betänkandets h</w:t>
      </w:r>
      <w:r w:rsidRPr="001B4EC1">
        <w:t>u</w:t>
      </w:r>
      <w:r w:rsidRPr="001B4EC1">
        <w:t>vudavsnitt. Därpå följer de reservationer som fogats till betänkandet.</w:t>
      </w:r>
    </w:p>
    <w:p w:rsidR="00252869" w:rsidRPr="001B4EC1" w:rsidRDefault="00252869">
      <w:pPr>
        <w:spacing w:before="0"/>
      </w:pPr>
    </w:p>
    <w:p w:rsidR="00252869" w:rsidRPr="001B4EC1" w:rsidRDefault="00252869">
      <w:pPr>
        <w:pStyle w:val="Rubrik1"/>
        <w:spacing w:before="125"/>
        <w:rPr>
          <w:noProof w:val="0"/>
        </w:rPr>
      </w:pPr>
      <w:bookmarkStart w:id="3" w:name="_Toc72648437"/>
      <w:r w:rsidRPr="001B4EC1">
        <w:rPr>
          <w:noProof w:val="0"/>
        </w:rPr>
        <w:t>Sammanfattning</w:t>
      </w:r>
      <w:bookmarkEnd w:id="3"/>
    </w:p>
    <w:p w:rsidR="00252869" w:rsidRPr="001B4EC1" w:rsidRDefault="00252869">
      <w:pPr>
        <w:pStyle w:val="Rubrik2"/>
        <w:spacing w:before="0"/>
      </w:pPr>
      <w:bookmarkStart w:id="4" w:name="_Toc72648438"/>
      <w:r w:rsidRPr="001B4EC1">
        <w:t>Behandlade frågor</w:t>
      </w:r>
      <w:bookmarkEnd w:id="4"/>
    </w:p>
    <w:p w:rsidR="00252869" w:rsidRPr="001B4EC1" w:rsidRDefault="00252869">
      <w:r w:rsidRPr="001B4EC1">
        <w:t>I detta betänkande redovisas den granskning som utskottet har slutfört under riksmötet 2003/04 efter det att utskottet i december 2003 justerade ett grans</w:t>
      </w:r>
      <w:r w:rsidRPr="001B4EC1">
        <w:t>k</w:t>
      </w:r>
      <w:r w:rsidRPr="001B4EC1">
        <w:t>ningsbetänkande som avsåg allmänna, administrativt inriktade granskning</w:t>
      </w:r>
      <w:r w:rsidRPr="001B4EC1">
        <w:t>s</w:t>
      </w:r>
      <w:r w:rsidRPr="001B4EC1">
        <w:t>uppgifter (bet. 2003/04:KU10).</w:t>
      </w:r>
    </w:p>
    <w:p w:rsidR="00252869" w:rsidRPr="001B4EC1" w:rsidRDefault="00252869">
      <w:pPr>
        <w:pStyle w:val="Normaltindrag"/>
      </w:pPr>
      <w:r w:rsidRPr="001B4EC1">
        <w:t>Betänkandet inleds med ett avsnitt om frågor som rör regeringens förhå</w:t>
      </w:r>
      <w:r w:rsidRPr="001B4EC1">
        <w:t>l</w:t>
      </w:r>
      <w:r w:rsidRPr="001B4EC1">
        <w:t>lande till riksdagen. Där behandlas vissa frågor om regeringens handläggning av ärenden i vilka riksdagen givit regeringen sin mening till känna. Det gäl</w:t>
      </w:r>
      <w:r w:rsidRPr="001B4EC1">
        <w:t>l</w:t>
      </w:r>
      <w:r w:rsidRPr="001B4EC1">
        <w:t>erfrågan om Östersjöns status som särskilt känsligt havsområde, en utredning om arbetskraftsinvandring, frågan om ny instans- och processordning i utlä</w:t>
      </w:r>
      <w:r w:rsidRPr="001B4EC1">
        <w:t>n</w:t>
      </w:r>
      <w:r w:rsidRPr="001B4EC1">
        <w:t>ningsärenden, lokalt folkinitiativ och vald ordförande i  Europeiska rådet.</w:t>
      </w:r>
    </w:p>
    <w:p w:rsidR="00252869" w:rsidRPr="001B4EC1" w:rsidRDefault="00252869">
      <w:pPr>
        <w:pStyle w:val="Normaltindrag"/>
      </w:pPr>
      <w:r w:rsidRPr="001B4EC1">
        <w:lastRenderedPageBreak/>
        <w:t>I avsnittet behandlas också vissa frågor som gäller regeringens samråd med och information till EU-nämnden samt en fråga om besva</w:t>
      </w:r>
      <w:r w:rsidRPr="001B4EC1">
        <w:t>rande av en interpellation.</w:t>
      </w:r>
    </w:p>
    <w:p w:rsidR="00252869" w:rsidRPr="001B4EC1" w:rsidRDefault="00252869">
      <w:pPr>
        <w:pStyle w:val="Normaltindrag"/>
      </w:pPr>
      <w:r w:rsidRPr="001B4EC1">
        <w:t xml:space="preserve">I det närmast följande avsnittet (2) behandlas vissa frågor med anknytning till statsbudgeten. Det gäller redovisningen i av statens inkomster och utgifter m.m. samt en fråga om senareläggning av betalningen av EU-avgiften. </w:t>
      </w:r>
    </w:p>
    <w:p w:rsidR="00252869" w:rsidRPr="001B4EC1" w:rsidRDefault="00252869">
      <w:pPr>
        <w:pStyle w:val="Normaltindrag"/>
      </w:pPr>
      <w:r w:rsidRPr="001B4EC1">
        <w:t>Handläggningen av vissa regeringsärenden behandlas i avsnitt tre av b</w:t>
      </w:r>
      <w:r w:rsidRPr="001B4EC1">
        <w:t>e</w:t>
      </w:r>
      <w:r w:rsidRPr="001B4EC1">
        <w:t>tänkandet. Granskningen har gällt bl.a. beredningen av vissa ärenden om statliga företag, vissa upphandlingsfrågor och regeringens utnämningspolitik.</w:t>
      </w:r>
    </w:p>
    <w:p w:rsidR="00252869" w:rsidRPr="001B4EC1" w:rsidRDefault="00252869">
      <w:pPr>
        <w:pStyle w:val="Normaltindrag"/>
      </w:pPr>
      <w:r w:rsidRPr="001B4EC1">
        <w:t>I tre följande avsnitt behandlas vissa frågor rörande statsministern, uttala</w:t>
      </w:r>
      <w:r w:rsidRPr="001B4EC1">
        <w:t>n</w:t>
      </w:r>
      <w:r w:rsidRPr="001B4EC1">
        <w:t xml:space="preserve">den av statsråd och frågor med anknytning till </w:t>
      </w:r>
      <w:r w:rsidRPr="001B4EC1">
        <w:rPr>
          <w:snapToGrid w:val="0"/>
          <w:lang w:eastAsia="sv-SE"/>
        </w:rPr>
        <w:t>Irakkriget</w:t>
      </w:r>
      <w:r w:rsidRPr="001B4EC1">
        <w:t>.</w:t>
      </w:r>
    </w:p>
    <w:p w:rsidR="00252869" w:rsidRPr="001B4EC1" w:rsidRDefault="00252869">
      <w:pPr>
        <w:pStyle w:val="Normaltindrag"/>
      </w:pPr>
    </w:p>
    <w:p w:rsidR="00252869" w:rsidRPr="001B4EC1" w:rsidRDefault="00252869">
      <w:pPr>
        <w:pStyle w:val="Rubrik2"/>
        <w:spacing w:before="125"/>
      </w:pPr>
      <w:bookmarkStart w:id="5" w:name="_Toc72648439"/>
      <w:r w:rsidRPr="001B4EC1">
        <w:t>Vissa resultat av granskningen</w:t>
      </w:r>
      <w:bookmarkEnd w:id="5"/>
    </w:p>
    <w:p w:rsidR="00252869" w:rsidRPr="001B4EC1" w:rsidRDefault="00252869">
      <w:pPr>
        <w:rPr>
          <w:i/>
        </w:rPr>
      </w:pPr>
      <w:r w:rsidRPr="001B4EC1">
        <w:t xml:space="preserve">Beträffande ärendet om </w:t>
      </w:r>
      <w:r w:rsidRPr="001B4EC1">
        <w:rPr>
          <w:i/>
        </w:rPr>
        <w:t>Östersjöns status som särskilt känsligt havsområde</w:t>
      </w:r>
      <w:r w:rsidRPr="001B4EC1">
        <w:t xml:space="preserve"> finner utskottet att det berörda utskottet och riksdagen informerats om att regeringen inte avsåg att lämna in en ansökan i tid för att behandlas under mötet med FN:s sjöfartsorganisation IMO i juni 2003. Informationen har dessutom klargjort att regeringen arbetade med båda de handlingslinjer som riksdagens tillkännagivande i ärendet avsåg. </w:t>
      </w:r>
      <w:r w:rsidRPr="001B4EC1">
        <w:rPr>
          <w:i/>
        </w:rPr>
        <w:t>Reservation (m, fp, kd, c, mp).</w:t>
      </w:r>
    </w:p>
    <w:p w:rsidR="00252869" w:rsidRPr="001B4EC1" w:rsidRDefault="00252869">
      <w:pPr>
        <w:pStyle w:val="Normaltindrag"/>
      </w:pPr>
      <w:r w:rsidRPr="001B4EC1">
        <w:t>I fråga om regeringens agerande avseende</w:t>
      </w:r>
      <w:r w:rsidRPr="001B4EC1">
        <w:rPr>
          <w:i/>
        </w:rPr>
        <w:t xml:space="preserve"> riksdagens beslut om Utlä</w:t>
      </w:r>
      <w:r w:rsidRPr="001B4EC1">
        <w:rPr>
          <w:i/>
        </w:rPr>
        <w:t>n</w:t>
      </w:r>
      <w:r w:rsidRPr="001B4EC1">
        <w:rPr>
          <w:i/>
        </w:rPr>
        <w:t>ningsnämnden</w:t>
      </w:r>
      <w:r w:rsidRPr="001B4EC1">
        <w:t xml:space="preserve"> anför utskottet att beredningen av ärendet om en ny instans- och processordning i utlänningsärenden tagit orimligt lång tid. </w:t>
      </w:r>
      <w:r w:rsidRPr="001B4EC1">
        <w:rPr>
          <w:i/>
        </w:rPr>
        <w:t>Reservation (s).</w:t>
      </w:r>
    </w:p>
    <w:p w:rsidR="00252869" w:rsidRPr="001B4EC1" w:rsidRDefault="00252869">
      <w:pPr>
        <w:pStyle w:val="Normaltindrag"/>
        <w:rPr>
          <w:i/>
        </w:rPr>
      </w:pPr>
      <w:r w:rsidRPr="001B4EC1">
        <w:t>Angående  regeringens hantering av frågan om</w:t>
      </w:r>
      <w:r w:rsidRPr="001B4EC1">
        <w:rPr>
          <w:i/>
        </w:rPr>
        <w:t xml:space="preserve"> en vald ordförande i Eur</w:t>
      </w:r>
      <w:r w:rsidRPr="001B4EC1">
        <w:rPr>
          <w:i/>
        </w:rPr>
        <w:t>o</w:t>
      </w:r>
      <w:r w:rsidRPr="001B4EC1">
        <w:rPr>
          <w:i/>
        </w:rPr>
        <w:t>peiska rådet</w:t>
      </w:r>
      <w:r w:rsidRPr="001B4EC1">
        <w:t xml:space="preserve"> framhåller utskottet att regeringsmedlemmar och regeringens företrädare inte i mellanstatliga sammanhang kan företräda ståndpunkter motsatta dem som riksdagen ger uttryck för. Av tillgänglig utredning kan enligt utskottet utläsas att statsministern inte i EU-kretsen med kraft drivit den linje som varit riksdagsmajoritetens alltsedan lanseringen av tanken på en vald ordförande för Europeiska rådet blivit känd. Snarare har han enligt u</w:t>
      </w:r>
      <w:r w:rsidRPr="001B4EC1">
        <w:t>t</w:t>
      </w:r>
      <w:r w:rsidRPr="001B4EC1">
        <w:t>skottet drivit den motsatta. Statsm</w:t>
      </w:r>
      <w:r w:rsidRPr="001B4EC1">
        <w:t xml:space="preserve">inisterns agerande förtjänar enligt utskottet kritik.  </w:t>
      </w:r>
      <w:r w:rsidRPr="001B4EC1">
        <w:rPr>
          <w:i/>
        </w:rPr>
        <w:t>Reservation (s).</w:t>
      </w:r>
    </w:p>
    <w:p w:rsidR="00252869" w:rsidRPr="001B4EC1" w:rsidRDefault="00252869">
      <w:pPr>
        <w:pStyle w:val="Normaltindrag"/>
      </w:pPr>
      <w:r w:rsidRPr="001B4EC1">
        <w:t xml:space="preserve">Beträffande </w:t>
      </w:r>
      <w:r w:rsidRPr="001B4EC1">
        <w:rPr>
          <w:i/>
        </w:rPr>
        <w:t xml:space="preserve">regeringens samråd med EU-nämnden </w:t>
      </w:r>
      <w:r w:rsidRPr="001B4EC1">
        <w:t>anför utskottet att utr</w:t>
      </w:r>
      <w:r w:rsidRPr="001B4EC1">
        <w:t>i</w:t>
      </w:r>
      <w:r w:rsidRPr="001B4EC1">
        <w:t xml:space="preserve">kesminister Laila Freivalds bort tydligare upplysa EU-nämnden om innehållet i ett brev om den gemensamma säkerhets- och försvarspolitiken från henne och tre andra utrikesministrar i EU. </w:t>
      </w:r>
      <w:r w:rsidRPr="001B4EC1">
        <w:rPr>
          <w:i/>
        </w:rPr>
        <w:t xml:space="preserve">Reservation (s). </w:t>
      </w:r>
      <w:r w:rsidRPr="001B4EC1">
        <w:t>Utskottet anför därutöver närmare synpunkter med anledning av vad som förekommit vid förfarandet för information och samråd i vissa fall m.m.</w:t>
      </w:r>
    </w:p>
    <w:p w:rsidR="00252869" w:rsidRPr="001B4EC1" w:rsidRDefault="00252869">
      <w:pPr>
        <w:pStyle w:val="Normaltindrag"/>
      </w:pPr>
      <w:r w:rsidRPr="001B4EC1">
        <w:t xml:space="preserve">Granskningen av </w:t>
      </w:r>
      <w:r w:rsidRPr="001B4EC1">
        <w:rPr>
          <w:i/>
        </w:rPr>
        <w:t>regeringens redovisning av statens inkomster och utgifter</w:t>
      </w:r>
      <w:r w:rsidRPr="001B4EC1">
        <w:t xml:space="preserve"> </w:t>
      </w:r>
      <w:r w:rsidRPr="001B4EC1">
        <w:rPr>
          <w:i/>
        </w:rPr>
        <w:t>m.m.</w:t>
      </w:r>
      <w:r w:rsidRPr="001B4EC1">
        <w:t xml:space="preserve"> leder utskottet till konstaterandet att regeringen vid olika tillfällen framlagt förslag för riksdagen som inneburit avvikelse från budgetlagen och att riksdagen sedan har stiftat lag i enlighet med förslagen. Enligt utskottets mening finns det ur konstitutionell synvinkel inget att erinra mot regeringens förfarande. </w:t>
      </w:r>
      <w:r w:rsidRPr="001B4EC1">
        <w:rPr>
          <w:i/>
        </w:rPr>
        <w:t xml:space="preserve">Reservation (m, fp, kd, c). </w:t>
      </w:r>
    </w:p>
    <w:p w:rsidR="00252869" w:rsidRPr="001B4EC1" w:rsidRDefault="00252869">
      <w:pPr>
        <w:pStyle w:val="Normaltindrag"/>
        <w:rPr>
          <w:i/>
        </w:rPr>
      </w:pPr>
      <w:r w:rsidRPr="001B4EC1">
        <w:t xml:space="preserve">Beträffande </w:t>
      </w:r>
      <w:r w:rsidRPr="001B4EC1">
        <w:rPr>
          <w:i/>
        </w:rPr>
        <w:t>senareläggning av EU-avgiften till nästa budgetår</w:t>
      </w:r>
      <w:r w:rsidRPr="001B4EC1">
        <w:t xml:space="preserve"> anför u</w:t>
      </w:r>
      <w:r w:rsidRPr="001B4EC1">
        <w:t>t</w:t>
      </w:r>
      <w:r w:rsidRPr="001B4EC1">
        <w:t xml:space="preserve">skottet att regeringens beslut att skjuta på EU-avgiften mot bakgrund av den situation som rådde hösten 2003 får ses som en rimlig åtgärd, som får anses ha legat inom ramen för regeringens befogenhet på finansmaktens område. Utskottet betonar emellertid vikten av att riksdagen informeras om kostnader som kan uppstå i anledning av sådana beslut. </w:t>
      </w:r>
      <w:r w:rsidRPr="001B4EC1">
        <w:rPr>
          <w:i/>
        </w:rPr>
        <w:t>Reservation (m, fp, kd, c).</w:t>
      </w:r>
    </w:p>
    <w:p w:rsidR="00252869" w:rsidRPr="001B4EC1" w:rsidRDefault="00252869">
      <w:pPr>
        <w:pStyle w:val="Normaltindrag"/>
      </w:pPr>
      <w:r w:rsidRPr="001B4EC1">
        <w:t xml:space="preserve">Granskningen av </w:t>
      </w:r>
      <w:r w:rsidRPr="001B4EC1">
        <w:rPr>
          <w:i/>
        </w:rPr>
        <w:t>Näringsdepartementets handläggning av vissa frågor rörande statligt ägande m.m</w:t>
      </w:r>
      <w:r w:rsidRPr="001B4EC1">
        <w:t>. föranleder uttalanden av utskottet angående regeringens olika roller som ägare och förvaltare av statliga företag, som ansvarig för förslag som överlämnas till riksdagen för beslut och som my</w:t>
      </w:r>
      <w:r w:rsidRPr="001B4EC1">
        <w:t>n</w:t>
      </w:r>
      <w:r w:rsidRPr="001B4EC1">
        <w:t>dighet i förhållande till enskilda. Utskottet anför i detta sammanhang bl.a. att regeringen inte uppfyllt kravet i 7 kap. 2 § regeringsformen på beredning av regeringsärenden i fråga om en proposition om överlåtelse av aktier i Svenska Skog</w:t>
      </w:r>
      <w:r w:rsidRPr="001B4EC1">
        <w:t xml:space="preserve">splantor AB. </w:t>
      </w:r>
    </w:p>
    <w:p w:rsidR="00252869" w:rsidRPr="001B4EC1" w:rsidRDefault="00252869">
      <w:pPr>
        <w:pStyle w:val="Normaltindrag"/>
        <w:rPr>
          <w:i/>
        </w:rPr>
      </w:pPr>
      <w:r w:rsidRPr="001B4EC1">
        <w:t xml:space="preserve">Beträffande </w:t>
      </w:r>
      <w:r w:rsidRPr="001B4EC1">
        <w:rPr>
          <w:i/>
        </w:rPr>
        <w:t>Näringsdepartementets upphandling av juridisk och ekon</w:t>
      </w:r>
      <w:r w:rsidRPr="001B4EC1">
        <w:rPr>
          <w:i/>
        </w:rPr>
        <w:t>o</w:t>
      </w:r>
      <w:r w:rsidRPr="001B4EC1">
        <w:rPr>
          <w:i/>
        </w:rPr>
        <w:t xml:space="preserve">misk rådgivning </w:t>
      </w:r>
      <w:r w:rsidRPr="001B4EC1">
        <w:t>har granskningen enligt utskottets mening visat att rättsläget när det gäller ramavtal om upphandling är oklart. Regeringskansliets bedö</w:t>
      </w:r>
      <w:r w:rsidRPr="001B4EC1">
        <w:t>m</w:t>
      </w:r>
      <w:r w:rsidRPr="001B4EC1">
        <w:t>ningar i fråga om utformningen av ramavtal och avrop från dem kan enligt utskottet anses ligga inom det tolkningsutrymme som funnits. Utskottet föru</w:t>
      </w:r>
      <w:r w:rsidRPr="001B4EC1">
        <w:t>t</w:t>
      </w:r>
      <w:r w:rsidRPr="001B4EC1">
        <w:t>sätter att osäkerheten kommer att undanröjas i samband med implementerin</w:t>
      </w:r>
      <w:r w:rsidRPr="001B4EC1">
        <w:t>g</w:t>
      </w:r>
      <w:r w:rsidRPr="001B4EC1">
        <w:t xml:space="preserve">en av det nya upphandlingsdirektivet. </w:t>
      </w:r>
      <w:r w:rsidRPr="001B4EC1">
        <w:rPr>
          <w:i/>
        </w:rPr>
        <w:t>Reservation (m, fp, kd, c).</w:t>
      </w:r>
    </w:p>
    <w:p w:rsidR="00252869" w:rsidRPr="001B4EC1" w:rsidRDefault="00252869">
      <w:pPr>
        <w:pStyle w:val="Normaltindrag"/>
        <w:rPr>
          <w:i/>
        </w:rPr>
      </w:pPr>
      <w:r w:rsidRPr="001B4EC1">
        <w:t>Vad som framkomm</w:t>
      </w:r>
      <w:r w:rsidRPr="001B4EC1">
        <w:t xml:space="preserve">it vid granskningen av regeringens förfarande vid </w:t>
      </w:r>
      <w:r w:rsidRPr="001B4EC1">
        <w:rPr>
          <w:i/>
        </w:rPr>
        <w:t>u</w:t>
      </w:r>
      <w:r w:rsidRPr="001B4EC1">
        <w:rPr>
          <w:i/>
        </w:rPr>
        <w:t>t</w:t>
      </w:r>
      <w:r w:rsidRPr="001B4EC1">
        <w:rPr>
          <w:i/>
        </w:rPr>
        <w:t>nämningar till högre tjänster</w:t>
      </w:r>
      <w:r w:rsidRPr="001B4EC1">
        <w:t xml:space="preserve"> ger enligt utskottets mening inte grund för n</w:t>
      </w:r>
      <w:r w:rsidRPr="001B4EC1">
        <w:t>å</w:t>
      </w:r>
      <w:r w:rsidRPr="001B4EC1">
        <w:t>gon annan bedömning än att regeringen har utövat utnämningsmakten i enli</w:t>
      </w:r>
      <w:r w:rsidRPr="001B4EC1">
        <w:t>g</w:t>
      </w:r>
      <w:r w:rsidRPr="001B4EC1">
        <w:t xml:space="preserve">het med gällande bestämmelser. </w:t>
      </w:r>
      <w:r w:rsidRPr="001B4EC1">
        <w:rPr>
          <w:i/>
        </w:rPr>
        <w:t>Reservation (m, fp, kd, c, mp).</w:t>
      </w:r>
    </w:p>
    <w:p w:rsidR="00252869" w:rsidRPr="001B4EC1" w:rsidRDefault="00252869">
      <w:pPr>
        <w:pStyle w:val="Normaltindrag"/>
      </w:pPr>
      <w:r w:rsidRPr="001B4EC1">
        <w:t>I det avsnitt som behandlar frågor rörande statsministern konstaterar u</w:t>
      </w:r>
      <w:r w:rsidRPr="001B4EC1">
        <w:t>t</w:t>
      </w:r>
      <w:r w:rsidRPr="001B4EC1">
        <w:t>skottet att det föreligger motstridiga uppgifter om det samtal som s</w:t>
      </w:r>
      <w:r w:rsidRPr="001B4EC1">
        <w:rPr>
          <w:i/>
        </w:rPr>
        <w:t>tatsmini</w:t>
      </w:r>
      <w:r w:rsidRPr="001B4EC1">
        <w:rPr>
          <w:i/>
        </w:rPr>
        <w:t>s</w:t>
      </w:r>
      <w:r w:rsidRPr="001B4EC1">
        <w:rPr>
          <w:i/>
        </w:rPr>
        <w:t>tern och verkställande direktören i TV4</w:t>
      </w:r>
      <w:r w:rsidRPr="001B4EC1">
        <w:t xml:space="preserve"> </w:t>
      </w:r>
      <w:r w:rsidRPr="001B4EC1">
        <w:rPr>
          <w:i/>
        </w:rPr>
        <w:t>AB</w:t>
      </w:r>
      <w:r w:rsidRPr="001B4EC1">
        <w:t xml:space="preserve"> hade efter partiledardebatten i TV4 den 10 september 2002. Granskningen kan därför inte föranleda något uttalande från utskottets sida om detta.</w:t>
      </w:r>
    </w:p>
    <w:p w:rsidR="00252869" w:rsidRPr="001B4EC1" w:rsidRDefault="00252869">
      <w:pPr>
        <w:pStyle w:val="Normaltindrag"/>
        <w:rPr>
          <w:i/>
        </w:rPr>
      </w:pPr>
      <w:r w:rsidRPr="001B4EC1">
        <w:t xml:space="preserve">Såvitt gäller </w:t>
      </w:r>
      <w:r w:rsidRPr="001B4EC1">
        <w:rPr>
          <w:i/>
        </w:rPr>
        <w:t xml:space="preserve">vissa uttalanden av statsråd </w:t>
      </w:r>
      <w:r w:rsidRPr="001B4EC1">
        <w:t>understryker utskottet åter beh</w:t>
      </w:r>
      <w:r w:rsidRPr="001B4EC1">
        <w:t>o</w:t>
      </w:r>
      <w:r w:rsidRPr="001B4EC1">
        <w:t xml:space="preserve">vet av särskild hänsyn när det gäller statsråds uttalanden om penningpolitiken. Det är enligt utskottets mening angeläget att ledamöter av regeringen med god marginal beaktar det s.k. instruktionsförbudet om de gör uttalanden om penningpolitiken. </w:t>
      </w:r>
      <w:r w:rsidRPr="001B4EC1">
        <w:rPr>
          <w:i/>
        </w:rPr>
        <w:t>Reservation (m, fp, kd, c).</w:t>
      </w:r>
    </w:p>
    <w:p w:rsidR="00252869" w:rsidRPr="001B4EC1" w:rsidRDefault="00252869">
      <w:pPr>
        <w:pStyle w:val="Normaltindrag"/>
        <w:rPr>
          <w:i/>
        </w:rPr>
      </w:pPr>
      <w:r w:rsidRPr="001B4EC1">
        <w:t xml:space="preserve">Frågan om </w:t>
      </w:r>
      <w:r w:rsidRPr="001B4EC1">
        <w:rPr>
          <w:i/>
        </w:rPr>
        <w:t xml:space="preserve">svensk vapenexport i förhållande till folkrätten och FN-stadgan </w:t>
      </w:r>
      <w:r w:rsidRPr="001B4EC1">
        <w:t>har granskats med anledning av en anmälan om export av vapen till de länder som deltog i Irakkriget. Granskningen har utvisat att några sådana ärenden inte har överlämnats till regeringen. Utskottet noterar att regeringen inte har meddelat föreskrifter om att ärenden om export av krigsmateriel till de länder so deltog i Irakkriget skolat överlämnas till regeringen för prövning. Denna omständighet kan emellertid enligt utskottet inte föranleda a</w:t>
      </w:r>
      <w:r w:rsidRPr="001B4EC1">
        <w:t xml:space="preserve">tt grund finns för kritik från konstitutionell synpunkt vad gäller regeringens befattning med frågor som rör vapenexport. </w:t>
      </w:r>
      <w:r w:rsidRPr="001B4EC1">
        <w:rPr>
          <w:i/>
        </w:rPr>
        <w:t>Reservation (v, mp).</w:t>
      </w:r>
    </w:p>
    <w:p w:rsidR="00252869" w:rsidRPr="001B4EC1" w:rsidRDefault="00252869">
      <w:pPr>
        <w:pStyle w:val="Normaltindrag"/>
        <w:rPr>
          <w:i/>
        </w:rPr>
      </w:pPr>
      <w:r w:rsidRPr="001B4EC1">
        <w:t xml:space="preserve">Beträffande </w:t>
      </w:r>
      <w:r w:rsidRPr="001B4EC1">
        <w:rPr>
          <w:i/>
        </w:rPr>
        <w:t xml:space="preserve">uthyrningen av försvarsmaktens materiel till Storbritannien </w:t>
      </w:r>
      <w:r w:rsidRPr="001B4EC1">
        <w:t xml:space="preserve">finner utskottet inte någon grund för kritik från konstitutionell synpunkt. </w:t>
      </w:r>
      <w:r w:rsidRPr="001B4EC1">
        <w:rPr>
          <w:i/>
        </w:rPr>
        <w:t xml:space="preserve">Reservation (v, mp). </w:t>
      </w:r>
    </w:p>
    <w:p w:rsidR="00252869" w:rsidRPr="001B4EC1" w:rsidRDefault="00252869">
      <w:pPr>
        <w:pStyle w:val="Normaltindrag"/>
      </w:pPr>
      <w:r w:rsidRPr="001B4EC1">
        <w:t>Inte heller statsminister Göran Perssons uttalanden om svenska positioner rörande Irakkriget föranleder någon kritik från konstitutionell synpunkt.</w:t>
      </w:r>
    </w:p>
    <w:p w:rsidR="00252869" w:rsidRPr="001B4EC1" w:rsidRDefault="00252869">
      <w:pPr>
        <w:pStyle w:val="Normaltindrag"/>
        <w:sectPr w:rsidR="00000000" w:rsidRPr="001B4EC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52869" w:rsidRPr="001B4EC1" w:rsidRDefault="00252869">
      <w:pPr>
        <w:pStyle w:val="Rubrik1"/>
        <w:rPr>
          <w:noProof w:val="0"/>
        </w:rPr>
      </w:pPr>
      <w:bookmarkStart w:id="6" w:name="_Toc72648440"/>
      <w:r w:rsidRPr="001B4EC1">
        <w:rPr>
          <w:noProof w:val="0"/>
        </w:rPr>
        <w:t>Innehållsförteckning</w:t>
      </w:r>
      <w:bookmarkEnd w:id="6"/>
    </w:p>
    <w:p w:rsidR="00252869" w:rsidRPr="001B4EC1" w:rsidRDefault="00252869">
      <w:pPr>
        <w:pStyle w:val="Innehll1"/>
      </w:pPr>
      <w:r w:rsidRPr="001B4EC1">
        <w:t>Inledning</w:t>
      </w:r>
      <w:r w:rsidRPr="001B4EC1">
        <w:tab/>
        <w:t>1</w:t>
      </w:r>
    </w:p>
    <w:p w:rsidR="00252869" w:rsidRPr="001B4EC1" w:rsidRDefault="00252869">
      <w:pPr>
        <w:pStyle w:val="Innehll1"/>
      </w:pPr>
      <w:r w:rsidRPr="001B4EC1">
        <w:t>Sammanfattning</w:t>
      </w:r>
      <w:r w:rsidRPr="001B4EC1">
        <w:tab/>
        <w:t>1</w:t>
      </w:r>
    </w:p>
    <w:p w:rsidR="00252869" w:rsidRPr="001B4EC1" w:rsidRDefault="00252869">
      <w:pPr>
        <w:pStyle w:val="Innehll2"/>
      </w:pPr>
      <w:r w:rsidRPr="001B4EC1">
        <w:t>Behandlade frågor</w:t>
      </w:r>
      <w:r w:rsidRPr="001B4EC1">
        <w:tab/>
        <w:t>1</w:t>
      </w:r>
    </w:p>
    <w:p w:rsidR="00252869" w:rsidRPr="001B4EC1" w:rsidRDefault="00252869">
      <w:pPr>
        <w:pStyle w:val="Innehll2"/>
      </w:pPr>
      <w:r w:rsidRPr="001B4EC1">
        <w:t>Vissa resultat av granskningen</w:t>
      </w:r>
      <w:r w:rsidRPr="001B4EC1">
        <w:tab/>
        <w:t>2</w:t>
      </w:r>
    </w:p>
    <w:p w:rsidR="00252869" w:rsidRPr="001B4EC1" w:rsidRDefault="00252869">
      <w:pPr>
        <w:pStyle w:val="Innehll1"/>
      </w:pPr>
      <w:r w:rsidRPr="001B4EC1">
        <w:t>Innehållsförteckning</w:t>
      </w:r>
      <w:r w:rsidRPr="001B4EC1">
        <w:tab/>
        <w:t>5</w:t>
      </w:r>
    </w:p>
    <w:p w:rsidR="00252869" w:rsidRPr="001B4EC1" w:rsidRDefault="00252869">
      <w:pPr>
        <w:pStyle w:val="Innehll1"/>
      </w:pPr>
      <w:r w:rsidRPr="001B4EC1">
        <w:t>Utskottets anmälan</w:t>
      </w:r>
      <w:r w:rsidRPr="001B4EC1">
        <w:tab/>
        <w:t>10</w:t>
      </w:r>
    </w:p>
    <w:p w:rsidR="00252869" w:rsidRPr="001B4EC1" w:rsidRDefault="00252869">
      <w:pPr>
        <w:pStyle w:val="Innehll1"/>
      </w:pPr>
      <w:r w:rsidRPr="001B4EC1">
        <w:t>1 Regeringens förhållande till riksdagen</w:t>
      </w:r>
      <w:r w:rsidRPr="001B4EC1">
        <w:tab/>
        <w:t>11</w:t>
      </w:r>
    </w:p>
    <w:p w:rsidR="00252869" w:rsidRPr="001B4EC1" w:rsidRDefault="00252869">
      <w:pPr>
        <w:pStyle w:val="Innehll2"/>
      </w:pPr>
      <w:r w:rsidRPr="001B4EC1">
        <w:t>1.1 Frågan om Östersjöns status som särskilt känsligt havsområde</w:t>
      </w:r>
      <w:r w:rsidRPr="001B4EC1">
        <w:tab/>
        <w:t>11</w:t>
      </w:r>
    </w:p>
    <w:p w:rsidR="00252869" w:rsidRPr="001B4EC1" w:rsidRDefault="00252869">
      <w:pPr>
        <w:pStyle w:val="Innehll3"/>
      </w:pPr>
      <w:r w:rsidRPr="001B4EC1">
        <w:t>Anmälan</w:t>
      </w:r>
      <w:r w:rsidRPr="001B4EC1">
        <w:tab/>
        <w:t>11</w:t>
      </w:r>
    </w:p>
    <w:p w:rsidR="00252869" w:rsidRPr="001B4EC1" w:rsidRDefault="00252869">
      <w:pPr>
        <w:pStyle w:val="Innehll3"/>
      </w:pPr>
      <w:r w:rsidRPr="001B4EC1">
        <w:t>Bakgrund</w:t>
      </w:r>
      <w:r w:rsidRPr="001B4EC1">
        <w:tab/>
        <w:t>11</w:t>
      </w:r>
    </w:p>
    <w:p w:rsidR="00252869" w:rsidRPr="001B4EC1" w:rsidRDefault="00252869">
      <w:pPr>
        <w:pStyle w:val="Innehll3"/>
      </w:pPr>
      <w:r w:rsidRPr="001B4EC1">
        <w:t>Promemorior från Miljödepartementet</w:t>
      </w:r>
      <w:r w:rsidRPr="001B4EC1">
        <w:tab/>
        <w:t>17</w:t>
      </w:r>
    </w:p>
    <w:p w:rsidR="00252869" w:rsidRPr="001B4EC1" w:rsidRDefault="00252869">
      <w:pPr>
        <w:pStyle w:val="Innehll4"/>
      </w:pPr>
      <w:r w:rsidRPr="001B4EC1">
        <w:t>Utfrågning med miljöminister Lena Sommestad</w:t>
      </w:r>
      <w:r w:rsidRPr="001B4EC1">
        <w:tab/>
        <w:t>20</w:t>
      </w:r>
    </w:p>
    <w:p w:rsidR="00252869" w:rsidRPr="001B4EC1" w:rsidRDefault="00252869">
      <w:pPr>
        <w:pStyle w:val="Innehll3"/>
      </w:pPr>
      <w:r w:rsidRPr="001B4EC1">
        <w:t>Utskottets ställningstagande</w:t>
      </w:r>
      <w:r w:rsidRPr="001B4EC1">
        <w:tab/>
        <w:t>23</w:t>
      </w:r>
    </w:p>
    <w:p w:rsidR="00252869" w:rsidRPr="001B4EC1" w:rsidRDefault="00252869">
      <w:pPr>
        <w:pStyle w:val="Innehll2"/>
      </w:pPr>
      <w:r w:rsidRPr="001B4EC1">
        <w:t>1.2 Statsrådet Hans Karlssons ansvar för förseningen av en utredning om arbetskraftsinvandring</w:t>
      </w:r>
      <w:r w:rsidRPr="001B4EC1">
        <w:tab/>
        <w:t>24</w:t>
      </w:r>
    </w:p>
    <w:p w:rsidR="00252869" w:rsidRPr="001B4EC1" w:rsidRDefault="00252869">
      <w:pPr>
        <w:pStyle w:val="Innehll3"/>
      </w:pPr>
      <w:r w:rsidRPr="001B4EC1">
        <w:t>Anmälan</w:t>
      </w:r>
      <w:r w:rsidRPr="001B4EC1">
        <w:tab/>
        <w:t>24</w:t>
      </w:r>
    </w:p>
    <w:p w:rsidR="00252869" w:rsidRPr="001B4EC1" w:rsidRDefault="00252869">
      <w:pPr>
        <w:pStyle w:val="Innehll3"/>
      </w:pPr>
      <w:r w:rsidRPr="001B4EC1">
        <w:t>Bakgrund</w:t>
      </w:r>
      <w:r w:rsidRPr="001B4EC1">
        <w:tab/>
        <w:t>24</w:t>
      </w:r>
    </w:p>
    <w:p w:rsidR="00252869" w:rsidRPr="001B4EC1" w:rsidRDefault="00252869">
      <w:pPr>
        <w:pStyle w:val="Innehll3"/>
      </w:pPr>
      <w:r w:rsidRPr="001B4EC1">
        <w:t>Promemoria från Näringsdepartementet</w:t>
      </w:r>
      <w:r w:rsidRPr="001B4EC1">
        <w:tab/>
        <w:t>27</w:t>
      </w:r>
    </w:p>
    <w:p w:rsidR="00252869" w:rsidRPr="001B4EC1" w:rsidRDefault="00252869">
      <w:pPr>
        <w:pStyle w:val="Innehll4"/>
      </w:pPr>
      <w:r w:rsidRPr="001B4EC1">
        <w:t>Utfrågning med statsrådet Hans Karlsson</w:t>
      </w:r>
      <w:r w:rsidRPr="001B4EC1">
        <w:tab/>
        <w:t>28</w:t>
      </w:r>
    </w:p>
    <w:p w:rsidR="00252869" w:rsidRPr="001B4EC1" w:rsidRDefault="00252869">
      <w:pPr>
        <w:pStyle w:val="Innehll3"/>
      </w:pPr>
      <w:r w:rsidRPr="001B4EC1">
        <w:t>Utskottets ställningstagande</w:t>
      </w:r>
      <w:r w:rsidRPr="001B4EC1">
        <w:tab/>
        <w:t>28</w:t>
      </w:r>
    </w:p>
    <w:p w:rsidR="00252869" w:rsidRPr="001B4EC1" w:rsidRDefault="00252869">
      <w:pPr>
        <w:pStyle w:val="Innehll2"/>
      </w:pPr>
      <w:r w:rsidRPr="001B4EC1">
        <w:t>1.3 Regeringens agerande avseende riksdagens beslut om Utlänningsnämnden</w:t>
      </w:r>
      <w:r w:rsidRPr="001B4EC1">
        <w:tab/>
        <w:t>29</w:t>
      </w:r>
    </w:p>
    <w:p w:rsidR="00252869" w:rsidRPr="001B4EC1" w:rsidRDefault="00252869">
      <w:pPr>
        <w:pStyle w:val="Innehll3"/>
      </w:pPr>
      <w:r w:rsidRPr="001B4EC1">
        <w:t>Anmälningar</w:t>
      </w:r>
      <w:r w:rsidRPr="001B4EC1">
        <w:tab/>
        <w:t>29</w:t>
      </w:r>
    </w:p>
    <w:p w:rsidR="00252869" w:rsidRPr="001B4EC1" w:rsidRDefault="00252869">
      <w:pPr>
        <w:pStyle w:val="Innehll3"/>
      </w:pPr>
      <w:r w:rsidRPr="001B4EC1">
        <w:t>Bakgrund</w:t>
      </w:r>
      <w:r w:rsidRPr="001B4EC1">
        <w:tab/>
        <w:t>29</w:t>
      </w:r>
    </w:p>
    <w:p w:rsidR="00252869" w:rsidRPr="001B4EC1" w:rsidRDefault="00252869">
      <w:pPr>
        <w:pStyle w:val="Innehll3"/>
      </w:pPr>
      <w:r w:rsidRPr="001B4EC1">
        <w:t>Promemorior från Utrikesdepartementet</w:t>
      </w:r>
      <w:r w:rsidRPr="001B4EC1">
        <w:tab/>
        <w:t>31</w:t>
      </w:r>
    </w:p>
    <w:p w:rsidR="00252869" w:rsidRPr="001B4EC1" w:rsidRDefault="00252869">
      <w:pPr>
        <w:pStyle w:val="Innehll4"/>
      </w:pPr>
      <w:r w:rsidRPr="001B4EC1">
        <w:t>Utfrågning med f.d. statsrådet Jan O. Karlsson</w:t>
      </w:r>
      <w:r w:rsidRPr="001B4EC1">
        <w:tab/>
        <w:t>34</w:t>
      </w:r>
    </w:p>
    <w:p w:rsidR="00252869" w:rsidRPr="001B4EC1" w:rsidRDefault="00252869">
      <w:pPr>
        <w:pStyle w:val="Innehll4"/>
      </w:pPr>
      <w:r w:rsidRPr="001B4EC1">
        <w:t>Utfrågning med statsrådet Barbro Holmberg</w:t>
      </w:r>
      <w:r w:rsidRPr="001B4EC1">
        <w:tab/>
        <w:t>35</w:t>
      </w:r>
    </w:p>
    <w:p w:rsidR="00252869" w:rsidRPr="001B4EC1" w:rsidRDefault="00252869">
      <w:pPr>
        <w:pStyle w:val="Innehll3"/>
      </w:pPr>
      <w:r w:rsidRPr="001B4EC1">
        <w:t>Utskottets ställningstagande</w:t>
      </w:r>
      <w:r w:rsidRPr="001B4EC1">
        <w:tab/>
        <w:t>36</w:t>
      </w:r>
    </w:p>
    <w:p w:rsidR="00252869" w:rsidRPr="001B4EC1" w:rsidRDefault="00252869">
      <w:pPr>
        <w:pStyle w:val="Innehll2"/>
      </w:pPr>
      <w:r w:rsidRPr="001B4EC1">
        <w:t>1.4 Handläggningen av frågan om lokalt folkinitiativ</w:t>
      </w:r>
      <w:r w:rsidRPr="001B4EC1">
        <w:tab/>
        <w:t>36</w:t>
      </w:r>
    </w:p>
    <w:p w:rsidR="00252869" w:rsidRPr="001B4EC1" w:rsidRDefault="00252869">
      <w:pPr>
        <w:pStyle w:val="Innehll3"/>
      </w:pPr>
      <w:r w:rsidRPr="001B4EC1">
        <w:t>Anmälan</w:t>
      </w:r>
      <w:r w:rsidRPr="001B4EC1">
        <w:tab/>
        <w:t>36</w:t>
      </w:r>
    </w:p>
    <w:p w:rsidR="00252869" w:rsidRPr="001B4EC1" w:rsidRDefault="00252869">
      <w:pPr>
        <w:pStyle w:val="Innehll3"/>
      </w:pPr>
      <w:r w:rsidRPr="001B4EC1">
        <w:t>Bakgrund</w:t>
      </w:r>
      <w:r w:rsidRPr="001B4EC1">
        <w:tab/>
        <w:t>36</w:t>
      </w:r>
    </w:p>
    <w:p w:rsidR="00252869" w:rsidRPr="001B4EC1" w:rsidRDefault="00252869">
      <w:pPr>
        <w:pStyle w:val="Innehll3"/>
      </w:pPr>
      <w:r w:rsidRPr="001B4EC1">
        <w:t>Promemoria från Justitiedepartementet</w:t>
      </w:r>
      <w:r w:rsidRPr="001B4EC1">
        <w:tab/>
        <w:t>41</w:t>
      </w:r>
    </w:p>
    <w:p w:rsidR="00252869" w:rsidRPr="001B4EC1" w:rsidRDefault="00252869">
      <w:pPr>
        <w:pStyle w:val="Innehll3"/>
      </w:pPr>
      <w:r w:rsidRPr="001B4EC1">
        <w:t>Utskottets ställningstagande</w:t>
      </w:r>
      <w:r w:rsidRPr="001B4EC1">
        <w:tab/>
        <w:t>41</w:t>
      </w:r>
    </w:p>
    <w:p w:rsidR="00252869" w:rsidRPr="001B4EC1" w:rsidRDefault="00252869">
      <w:pPr>
        <w:pStyle w:val="Innehll2"/>
      </w:pPr>
      <w:r w:rsidRPr="001B4EC1">
        <w:t>1.5 Regeringens hantering av frågan om en vald ordförande i Europeiska rådet</w:t>
      </w:r>
      <w:r w:rsidRPr="001B4EC1">
        <w:tab/>
        <w:t>41</w:t>
      </w:r>
    </w:p>
    <w:p w:rsidR="00252869" w:rsidRPr="001B4EC1" w:rsidRDefault="00252869">
      <w:pPr>
        <w:pStyle w:val="Innehll3"/>
      </w:pPr>
      <w:r w:rsidRPr="001B4EC1">
        <w:t>Anmälan</w:t>
      </w:r>
      <w:r w:rsidRPr="001B4EC1">
        <w:tab/>
        <w:t>41</w:t>
      </w:r>
    </w:p>
    <w:p w:rsidR="00252869" w:rsidRPr="001B4EC1" w:rsidRDefault="00252869">
      <w:pPr>
        <w:pStyle w:val="Innehll3"/>
      </w:pPr>
      <w:r w:rsidRPr="001B4EC1">
        <w:t>Bakgrund</w:t>
      </w:r>
      <w:r w:rsidRPr="001B4EC1">
        <w:tab/>
        <w:t>42</w:t>
      </w:r>
    </w:p>
    <w:p w:rsidR="00252869" w:rsidRPr="001B4EC1" w:rsidRDefault="00252869">
      <w:pPr>
        <w:pStyle w:val="Innehll3"/>
      </w:pPr>
      <w:r w:rsidRPr="001B4EC1">
        <w:t>Uppgifter från Regeringskansliet och vid utfrågning</w:t>
      </w:r>
      <w:r w:rsidRPr="001B4EC1">
        <w:tab/>
        <w:t>47</w:t>
      </w:r>
    </w:p>
    <w:p w:rsidR="00252869" w:rsidRPr="001B4EC1" w:rsidRDefault="00252869">
      <w:pPr>
        <w:pStyle w:val="Innehll4"/>
      </w:pPr>
      <w:r w:rsidRPr="001B4EC1">
        <w:t>Promemoria från Statsrådsberedningen</w:t>
      </w:r>
      <w:r w:rsidRPr="001B4EC1">
        <w:tab/>
        <w:t>47</w:t>
      </w:r>
    </w:p>
    <w:p w:rsidR="00252869" w:rsidRPr="001B4EC1" w:rsidRDefault="00252869">
      <w:pPr>
        <w:pStyle w:val="Innehll4"/>
      </w:pPr>
      <w:r w:rsidRPr="001B4EC1">
        <w:t>Utfrågning med statsministern den 20 april 2004</w:t>
      </w:r>
      <w:r w:rsidRPr="001B4EC1">
        <w:tab/>
        <w:t>52</w:t>
      </w:r>
    </w:p>
    <w:p w:rsidR="00252869" w:rsidRPr="001B4EC1" w:rsidRDefault="00252869">
      <w:pPr>
        <w:pStyle w:val="Innehll3"/>
      </w:pPr>
      <w:r w:rsidRPr="001B4EC1">
        <w:t>Utskottets ställningstagande</w:t>
      </w:r>
      <w:r w:rsidRPr="001B4EC1">
        <w:tab/>
        <w:t>53</w:t>
      </w:r>
    </w:p>
    <w:p w:rsidR="00252869" w:rsidRPr="001B4EC1" w:rsidRDefault="00252869">
      <w:pPr>
        <w:pStyle w:val="Innehll2"/>
      </w:pPr>
      <w:r w:rsidRPr="001B4EC1">
        <w:t>1.6 Regeringens samråd med EU-nämnden, särskilt i fråga om ett brev om försvarsfrågor, en europeisk säkerhetsstrategi och ett inlägg till regeringskonferensen från ministrarna i Ekofin-rådet</w:t>
      </w:r>
      <w:r w:rsidRPr="001B4EC1">
        <w:tab/>
        <w:t>54</w:t>
      </w:r>
    </w:p>
    <w:p w:rsidR="00252869" w:rsidRPr="001B4EC1" w:rsidRDefault="00252869">
      <w:pPr>
        <w:pStyle w:val="Innehll3"/>
      </w:pPr>
      <w:r w:rsidRPr="001B4EC1">
        <w:t>Anmälningar</w:t>
      </w:r>
      <w:r w:rsidRPr="001B4EC1">
        <w:tab/>
        <w:t>54</w:t>
      </w:r>
    </w:p>
    <w:p w:rsidR="00252869" w:rsidRPr="001B4EC1" w:rsidRDefault="00252869">
      <w:pPr>
        <w:pStyle w:val="Innehll3"/>
      </w:pPr>
      <w:r w:rsidRPr="001B4EC1">
        <w:t>Underlag i ärendet</w:t>
      </w:r>
      <w:r w:rsidRPr="001B4EC1">
        <w:tab/>
        <w:t>55</w:t>
      </w:r>
    </w:p>
    <w:p w:rsidR="00252869" w:rsidRPr="001B4EC1" w:rsidRDefault="00252869">
      <w:pPr>
        <w:pStyle w:val="Innehll3"/>
      </w:pPr>
      <w:r w:rsidRPr="001B4EC1">
        <w:t>Ärendet såvitt avser utrikesminister Laila Freivalds agerande i fråga om ett brev om den gemensamma säkerhets- och försvarspolitiken</w:t>
      </w:r>
      <w:r w:rsidRPr="001B4EC1">
        <w:tab/>
        <w:t>61</w:t>
      </w:r>
    </w:p>
    <w:p w:rsidR="00252869" w:rsidRPr="001B4EC1" w:rsidRDefault="00252869">
      <w:pPr>
        <w:pStyle w:val="Innehll3"/>
      </w:pPr>
      <w:r w:rsidRPr="001B4EC1">
        <w:t>Uppgifter från Regeringskansliet m.m.</w:t>
      </w:r>
      <w:r w:rsidRPr="001B4EC1">
        <w:tab/>
        <w:t>66</w:t>
      </w:r>
    </w:p>
    <w:p w:rsidR="00252869" w:rsidRPr="001B4EC1" w:rsidRDefault="00252869">
      <w:pPr>
        <w:pStyle w:val="Innehll3"/>
      </w:pPr>
      <w:r w:rsidRPr="001B4EC1">
        <w:t>Ärendet såvitt avser statsråds agerande under 2003 i frågan om en europeisk säkerhetsstrategi</w:t>
      </w:r>
      <w:r w:rsidRPr="001B4EC1">
        <w:tab/>
        <w:t>67</w:t>
      </w:r>
    </w:p>
    <w:p w:rsidR="00252869" w:rsidRPr="001B4EC1" w:rsidRDefault="00252869">
      <w:pPr>
        <w:pStyle w:val="Innehll3"/>
      </w:pPr>
      <w:r w:rsidRPr="001B4EC1">
        <w:t>Ärendet såvitt avser finansminister Bosse Ringholms agerande i fråga om ett förslag till regeringskonferensen från EU:s finansministrar</w:t>
      </w:r>
      <w:r w:rsidRPr="001B4EC1">
        <w:tab/>
        <w:t>68</w:t>
      </w:r>
    </w:p>
    <w:p w:rsidR="00252869" w:rsidRPr="001B4EC1" w:rsidRDefault="00252869">
      <w:pPr>
        <w:pStyle w:val="Innehll3"/>
      </w:pPr>
      <w:r w:rsidRPr="001B4EC1">
        <w:t>Uppgifter från Regeringskansliet m.m.</w:t>
      </w:r>
      <w:r w:rsidRPr="001B4EC1">
        <w:tab/>
        <w:t>71</w:t>
      </w:r>
    </w:p>
    <w:p w:rsidR="00252869" w:rsidRPr="001B4EC1" w:rsidRDefault="00252869">
      <w:pPr>
        <w:pStyle w:val="Innehll4"/>
      </w:pPr>
      <w:r w:rsidRPr="001B4EC1">
        <w:t>Promemoria från Regeringskansliet</w:t>
      </w:r>
      <w:r w:rsidRPr="001B4EC1">
        <w:tab/>
        <w:t>72</w:t>
      </w:r>
    </w:p>
    <w:p w:rsidR="00252869" w:rsidRPr="001B4EC1" w:rsidRDefault="00252869">
      <w:pPr>
        <w:pStyle w:val="Innehll4"/>
      </w:pPr>
      <w:r w:rsidRPr="001B4EC1">
        <w:t>Utfrågning med statsminister Göran Persson</w:t>
      </w:r>
      <w:r w:rsidRPr="001B4EC1">
        <w:tab/>
        <w:t>73</w:t>
      </w:r>
    </w:p>
    <w:p w:rsidR="00252869" w:rsidRPr="001B4EC1" w:rsidRDefault="00252869">
      <w:pPr>
        <w:pStyle w:val="Innehll3"/>
      </w:pPr>
      <w:r w:rsidRPr="001B4EC1">
        <w:t>Utskottets ställningstagande</w:t>
      </w:r>
      <w:r w:rsidRPr="001B4EC1">
        <w:tab/>
        <w:t>74</w:t>
      </w:r>
    </w:p>
    <w:p w:rsidR="00252869" w:rsidRPr="001B4EC1" w:rsidRDefault="00252869">
      <w:pPr>
        <w:pStyle w:val="Innehll4"/>
      </w:pPr>
      <w:r w:rsidRPr="001B4EC1">
        <w:t>Utrikesministerbrevet</w:t>
      </w:r>
      <w:r w:rsidRPr="001B4EC1">
        <w:tab/>
        <w:t>74</w:t>
      </w:r>
    </w:p>
    <w:p w:rsidR="00252869" w:rsidRPr="001B4EC1" w:rsidRDefault="00252869">
      <w:pPr>
        <w:pStyle w:val="Innehll4"/>
      </w:pPr>
      <w:r w:rsidRPr="001B4EC1">
        <w:t>Säkerhetsstrategin</w:t>
      </w:r>
      <w:r w:rsidRPr="001B4EC1">
        <w:tab/>
        <w:t>74</w:t>
      </w:r>
    </w:p>
    <w:p w:rsidR="00252869" w:rsidRPr="001B4EC1" w:rsidRDefault="00252869">
      <w:pPr>
        <w:pStyle w:val="Innehll4"/>
      </w:pPr>
      <w:r w:rsidRPr="001B4EC1">
        <w:t>Ekofinmötet i Stresa</w:t>
      </w:r>
      <w:r w:rsidRPr="001B4EC1">
        <w:tab/>
        <w:t>74</w:t>
      </w:r>
    </w:p>
    <w:p w:rsidR="00252869" w:rsidRPr="001B4EC1" w:rsidRDefault="00252869">
      <w:pPr>
        <w:pStyle w:val="Innehll4"/>
      </w:pPr>
      <w:r w:rsidRPr="001B4EC1">
        <w:t>Regeringskansliets handläggningsrutiner</w:t>
      </w:r>
      <w:r w:rsidRPr="001B4EC1">
        <w:tab/>
        <w:t>75</w:t>
      </w:r>
    </w:p>
    <w:p w:rsidR="00252869" w:rsidRPr="001B4EC1" w:rsidRDefault="00252869">
      <w:pPr>
        <w:pStyle w:val="Innehll2"/>
      </w:pPr>
      <w:r w:rsidRPr="001B4EC1">
        <w:t>1.7 Regeringens samråd med EU-nämnden i fråga om antagandet av en rådsrekommendation mot narkotikamissbruk</w:t>
      </w:r>
      <w:r w:rsidRPr="001B4EC1">
        <w:tab/>
        <w:t>75</w:t>
      </w:r>
    </w:p>
    <w:p w:rsidR="00252869" w:rsidRPr="001B4EC1" w:rsidRDefault="00252869">
      <w:pPr>
        <w:pStyle w:val="Innehll3"/>
      </w:pPr>
      <w:r w:rsidRPr="001B4EC1">
        <w:t>Anmälan</w:t>
      </w:r>
      <w:r w:rsidRPr="001B4EC1">
        <w:tab/>
        <w:t>75</w:t>
      </w:r>
    </w:p>
    <w:p w:rsidR="00252869" w:rsidRPr="001B4EC1" w:rsidRDefault="00252869">
      <w:pPr>
        <w:pStyle w:val="Innehll3"/>
      </w:pPr>
      <w:r w:rsidRPr="001B4EC1">
        <w:t>Bakgrund</w:t>
      </w:r>
      <w:r w:rsidRPr="001B4EC1">
        <w:tab/>
        <w:t>75</w:t>
      </w:r>
    </w:p>
    <w:p w:rsidR="00252869" w:rsidRPr="001B4EC1" w:rsidRDefault="00252869">
      <w:pPr>
        <w:pStyle w:val="Innehll3"/>
      </w:pPr>
      <w:r w:rsidRPr="001B4EC1">
        <w:t>Uppgifter från Regeringskansliet</w:t>
      </w:r>
      <w:r w:rsidRPr="001B4EC1">
        <w:tab/>
        <w:t>78</w:t>
      </w:r>
    </w:p>
    <w:p w:rsidR="00252869" w:rsidRPr="001B4EC1" w:rsidRDefault="00252869">
      <w:pPr>
        <w:pStyle w:val="Innehll3"/>
      </w:pPr>
      <w:r w:rsidRPr="001B4EC1">
        <w:t>Utskottets ställningstagande</w:t>
      </w:r>
      <w:r w:rsidRPr="001B4EC1">
        <w:tab/>
        <w:t>79</w:t>
      </w:r>
    </w:p>
    <w:p w:rsidR="00252869" w:rsidRPr="001B4EC1" w:rsidRDefault="00252869">
      <w:pPr>
        <w:pStyle w:val="Innehll2"/>
      </w:pPr>
      <w:r w:rsidRPr="001B4EC1">
        <w:t>1.8 Informationen till EU-nämnden om Sveriges agerande i fråga om s.k. asylzoner</w:t>
      </w:r>
      <w:r w:rsidRPr="001B4EC1">
        <w:tab/>
        <w:t>80</w:t>
      </w:r>
    </w:p>
    <w:p w:rsidR="00252869" w:rsidRPr="001B4EC1" w:rsidRDefault="00252869">
      <w:pPr>
        <w:pStyle w:val="Innehll3"/>
      </w:pPr>
      <w:r w:rsidRPr="001B4EC1">
        <w:t>Anmälan</w:t>
      </w:r>
      <w:r w:rsidRPr="001B4EC1">
        <w:tab/>
        <w:t>80</w:t>
      </w:r>
    </w:p>
    <w:p w:rsidR="00252869" w:rsidRPr="001B4EC1" w:rsidRDefault="00252869">
      <w:pPr>
        <w:pStyle w:val="Innehll3"/>
      </w:pPr>
      <w:r w:rsidRPr="001B4EC1">
        <w:t>Bakgrund</w:t>
      </w:r>
      <w:r w:rsidRPr="001B4EC1">
        <w:tab/>
        <w:t>80</w:t>
      </w:r>
    </w:p>
    <w:p w:rsidR="00252869" w:rsidRPr="001B4EC1" w:rsidRDefault="00252869">
      <w:pPr>
        <w:pStyle w:val="Innehll3"/>
      </w:pPr>
      <w:r w:rsidRPr="001B4EC1">
        <w:t>Uppgifter från Regeringskansliet och vid utfrågning</w:t>
      </w:r>
      <w:r w:rsidRPr="001B4EC1">
        <w:tab/>
        <w:t>85</w:t>
      </w:r>
    </w:p>
    <w:p w:rsidR="00252869" w:rsidRPr="001B4EC1" w:rsidRDefault="00252869">
      <w:pPr>
        <w:pStyle w:val="Innehll4"/>
      </w:pPr>
      <w:r w:rsidRPr="001B4EC1">
        <w:t>Uppgifter från Regeringskansliet</w:t>
      </w:r>
      <w:r w:rsidRPr="001B4EC1">
        <w:tab/>
        <w:t>85</w:t>
      </w:r>
    </w:p>
    <w:p w:rsidR="00252869" w:rsidRPr="001B4EC1" w:rsidRDefault="00252869">
      <w:pPr>
        <w:pStyle w:val="Innehll4"/>
      </w:pPr>
      <w:r w:rsidRPr="001B4EC1">
        <w:t>Uppgifter vid utfrågning med Jan O. Karlsson</w:t>
      </w:r>
      <w:r w:rsidRPr="001B4EC1">
        <w:tab/>
        <w:t>86</w:t>
      </w:r>
    </w:p>
    <w:p w:rsidR="00252869" w:rsidRPr="001B4EC1" w:rsidRDefault="00252869">
      <w:pPr>
        <w:pStyle w:val="Innehll3"/>
      </w:pPr>
      <w:r w:rsidRPr="001B4EC1">
        <w:t>Utskottets ställningstagande</w:t>
      </w:r>
      <w:r w:rsidRPr="001B4EC1">
        <w:tab/>
        <w:t>87</w:t>
      </w:r>
    </w:p>
    <w:p w:rsidR="00252869" w:rsidRPr="001B4EC1" w:rsidRDefault="00252869">
      <w:pPr>
        <w:pStyle w:val="Innehll2"/>
      </w:pPr>
      <w:r w:rsidRPr="001B4EC1">
        <w:t>1.9 Fråga om hinder att besvara en interpellation</w:t>
      </w:r>
      <w:r w:rsidRPr="001B4EC1">
        <w:tab/>
        <w:t>87</w:t>
      </w:r>
    </w:p>
    <w:p w:rsidR="00252869" w:rsidRPr="001B4EC1" w:rsidRDefault="00252869">
      <w:pPr>
        <w:pStyle w:val="Innehll3"/>
      </w:pPr>
      <w:r w:rsidRPr="001B4EC1">
        <w:t>Anmälan m.m.</w:t>
      </w:r>
      <w:r w:rsidRPr="001B4EC1">
        <w:tab/>
        <w:t>87</w:t>
      </w:r>
    </w:p>
    <w:p w:rsidR="00252869" w:rsidRPr="001B4EC1" w:rsidRDefault="00252869">
      <w:pPr>
        <w:pStyle w:val="Innehll3"/>
      </w:pPr>
      <w:r w:rsidRPr="001B4EC1">
        <w:t>Uppgifter från kammarkansliet</w:t>
      </w:r>
      <w:r w:rsidRPr="001B4EC1">
        <w:tab/>
        <w:t>87</w:t>
      </w:r>
    </w:p>
    <w:p w:rsidR="00252869" w:rsidRPr="001B4EC1" w:rsidRDefault="00252869">
      <w:pPr>
        <w:pStyle w:val="Innehll3"/>
      </w:pPr>
      <w:r w:rsidRPr="001B4EC1">
        <w:t>Promemoria från Statsrådsberedningen</w:t>
      </w:r>
      <w:r w:rsidRPr="001B4EC1">
        <w:tab/>
        <w:t>88</w:t>
      </w:r>
    </w:p>
    <w:p w:rsidR="00252869" w:rsidRPr="001B4EC1" w:rsidRDefault="00252869">
      <w:pPr>
        <w:pStyle w:val="Innehll3"/>
      </w:pPr>
      <w:r w:rsidRPr="001B4EC1">
        <w:t>Utskottets ställningstagande</w:t>
      </w:r>
      <w:r w:rsidRPr="001B4EC1">
        <w:tab/>
        <w:t>90</w:t>
      </w:r>
    </w:p>
    <w:p w:rsidR="00252869" w:rsidRPr="001B4EC1" w:rsidRDefault="00252869">
      <w:pPr>
        <w:pStyle w:val="Innehll1"/>
      </w:pPr>
      <w:r w:rsidRPr="001B4EC1">
        <w:t>2 Vissa frågor med anknytning till statsbudgeten</w:t>
      </w:r>
      <w:r w:rsidRPr="001B4EC1">
        <w:tab/>
        <w:t>91</w:t>
      </w:r>
    </w:p>
    <w:p w:rsidR="00252869" w:rsidRPr="001B4EC1" w:rsidRDefault="00252869">
      <w:pPr>
        <w:pStyle w:val="Innehll2"/>
      </w:pPr>
      <w:r w:rsidRPr="001B4EC1">
        <w:t>2.1 Regeringens redovisning av statens inkomster och utgifter m.m.</w:t>
      </w:r>
      <w:r w:rsidRPr="001B4EC1">
        <w:tab/>
        <w:t>91</w:t>
      </w:r>
    </w:p>
    <w:p w:rsidR="00252869" w:rsidRPr="001B4EC1" w:rsidRDefault="00252869">
      <w:pPr>
        <w:pStyle w:val="Innehll3"/>
      </w:pPr>
      <w:r w:rsidRPr="001B4EC1">
        <w:t>Anmälan</w:t>
      </w:r>
      <w:r w:rsidRPr="001B4EC1">
        <w:tab/>
        <w:t>91</w:t>
      </w:r>
    </w:p>
    <w:p w:rsidR="00252869" w:rsidRPr="001B4EC1" w:rsidRDefault="00252869">
      <w:pPr>
        <w:pStyle w:val="Innehll3"/>
      </w:pPr>
      <w:r w:rsidRPr="001B4EC1">
        <w:t>Bakgrund</w:t>
      </w:r>
      <w:r w:rsidRPr="001B4EC1">
        <w:tab/>
        <w:t>92</w:t>
      </w:r>
    </w:p>
    <w:p w:rsidR="00252869" w:rsidRPr="001B4EC1" w:rsidRDefault="00252869">
      <w:pPr>
        <w:pStyle w:val="Innehll3"/>
      </w:pPr>
      <w:r w:rsidRPr="001B4EC1">
        <w:t>Promemoria från Finansdepartementet</w:t>
      </w:r>
      <w:r w:rsidRPr="001B4EC1">
        <w:tab/>
        <w:t>100</w:t>
      </w:r>
    </w:p>
    <w:p w:rsidR="00252869" w:rsidRPr="001B4EC1" w:rsidRDefault="00252869">
      <w:pPr>
        <w:pStyle w:val="Innehll4"/>
      </w:pPr>
      <w:r w:rsidRPr="001B4EC1">
        <w:t>Utfrågning med finansminister Bosse Ringholm</w:t>
      </w:r>
      <w:r w:rsidRPr="001B4EC1">
        <w:tab/>
        <w:t>103</w:t>
      </w:r>
    </w:p>
    <w:p w:rsidR="00252869" w:rsidRPr="001B4EC1" w:rsidRDefault="00252869">
      <w:pPr>
        <w:pStyle w:val="Innehll3"/>
      </w:pPr>
      <w:r w:rsidRPr="001B4EC1">
        <w:t>Utskottets ställningstagande</w:t>
      </w:r>
      <w:r w:rsidRPr="001B4EC1">
        <w:tab/>
        <w:t>104</w:t>
      </w:r>
    </w:p>
    <w:p w:rsidR="00252869" w:rsidRPr="001B4EC1" w:rsidRDefault="00252869">
      <w:pPr>
        <w:pStyle w:val="Innehll2"/>
      </w:pPr>
      <w:r w:rsidRPr="001B4EC1">
        <w:t>2.2 Senareläggning av EU-avgiften till nästa budgetår</w:t>
      </w:r>
      <w:r w:rsidRPr="001B4EC1">
        <w:tab/>
        <w:t>105</w:t>
      </w:r>
    </w:p>
    <w:p w:rsidR="00252869" w:rsidRPr="001B4EC1" w:rsidRDefault="00252869">
      <w:pPr>
        <w:pStyle w:val="Innehll3"/>
      </w:pPr>
      <w:r w:rsidRPr="001B4EC1">
        <w:t>Anmälan</w:t>
      </w:r>
      <w:r w:rsidRPr="001B4EC1">
        <w:tab/>
        <w:t>105</w:t>
      </w:r>
    </w:p>
    <w:p w:rsidR="00252869" w:rsidRPr="001B4EC1" w:rsidRDefault="00252869">
      <w:pPr>
        <w:pStyle w:val="Innehll3"/>
      </w:pPr>
      <w:r w:rsidRPr="001B4EC1">
        <w:t>Bakgrund</w:t>
      </w:r>
      <w:r w:rsidRPr="001B4EC1">
        <w:tab/>
        <w:t>105</w:t>
      </w:r>
    </w:p>
    <w:p w:rsidR="00252869" w:rsidRPr="001B4EC1" w:rsidRDefault="00252869">
      <w:pPr>
        <w:pStyle w:val="Innehll3"/>
      </w:pPr>
      <w:r w:rsidRPr="001B4EC1">
        <w:t>Promemoria från Finansdepartementet</w:t>
      </w:r>
      <w:r w:rsidRPr="001B4EC1">
        <w:tab/>
        <w:t>110</w:t>
      </w:r>
    </w:p>
    <w:p w:rsidR="00252869" w:rsidRPr="001B4EC1" w:rsidRDefault="00252869">
      <w:pPr>
        <w:pStyle w:val="Innehll4"/>
      </w:pPr>
      <w:r w:rsidRPr="001B4EC1">
        <w:t>Utfrågning med finansminister Bosse Ringholm</w:t>
      </w:r>
      <w:r w:rsidRPr="001B4EC1">
        <w:tab/>
        <w:t>111</w:t>
      </w:r>
    </w:p>
    <w:p w:rsidR="00252869" w:rsidRPr="001B4EC1" w:rsidRDefault="00252869">
      <w:pPr>
        <w:pStyle w:val="Innehll3"/>
      </w:pPr>
      <w:r w:rsidRPr="001B4EC1">
        <w:t>Utskottets ställningstagande</w:t>
      </w:r>
      <w:r w:rsidRPr="001B4EC1">
        <w:tab/>
        <w:t>113</w:t>
      </w:r>
    </w:p>
    <w:p w:rsidR="00252869" w:rsidRPr="001B4EC1" w:rsidRDefault="00252869">
      <w:pPr>
        <w:pStyle w:val="Innehll1"/>
      </w:pPr>
      <w:r w:rsidRPr="001B4EC1">
        <w:t>3 Handläggningen av vissa regeringsärenden m.m.</w:t>
      </w:r>
      <w:r w:rsidRPr="001B4EC1">
        <w:tab/>
        <w:t>114</w:t>
      </w:r>
    </w:p>
    <w:p w:rsidR="00252869" w:rsidRPr="001B4EC1" w:rsidRDefault="00252869">
      <w:pPr>
        <w:pStyle w:val="Innehll2"/>
      </w:pPr>
      <w:r w:rsidRPr="001B4EC1">
        <w:t>3.1 Socialdepartementets beredning av styrelsevalen vid Systembolaget AB:s bolagsstämma 2002</w:t>
      </w:r>
      <w:r w:rsidRPr="001B4EC1">
        <w:tab/>
        <w:t>114</w:t>
      </w:r>
    </w:p>
    <w:p w:rsidR="00252869" w:rsidRPr="001B4EC1" w:rsidRDefault="00252869">
      <w:pPr>
        <w:pStyle w:val="Innehll3"/>
      </w:pPr>
      <w:r w:rsidRPr="001B4EC1">
        <w:t>Anmälan</w:t>
      </w:r>
      <w:r w:rsidRPr="001B4EC1">
        <w:tab/>
        <w:t>114</w:t>
      </w:r>
    </w:p>
    <w:p w:rsidR="00252869" w:rsidRPr="001B4EC1" w:rsidRDefault="00252869">
      <w:pPr>
        <w:pStyle w:val="Innehll3"/>
      </w:pPr>
      <w:r w:rsidRPr="001B4EC1">
        <w:t>Bakgrund</w:t>
      </w:r>
      <w:r w:rsidRPr="001B4EC1">
        <w:tab/>
        <w:t>114</w:t>
      </w:r>
    </w:p>
    <w:p w:rsidR="00252869" w:rsidRPr="001B4EC1" w:rsidRDefault="00252869">
      <w:pPr>
        <w:pStyle w:val="Innehll3"/>
      </w:pPr>
      <w:r w:rsidRPr="001B4EC1">
        <w:t>Promemorior från Socialdepartementet</w:t>
      </w:r>
      <w:r w:rsidRPr="001B4EC1">
        <w:tab/>
        <w:t>115</w:t>
      </w:r>
    </w:p>
    <w:p w:rsidR="00252869" w:rsidRPr="001B4EC1" w:rsidRDefault="00252869">
      <w:pPr>
        <w:pStyle w:val="Innehll3"/>
      </w:pPr>
      <w:r w:rsidRPr="001B4EC1">
        <w:t>Utskottets ställningstagande</w:t>
      </w:r>
      <w:r w:rsidRPr="001B4EC1">
        <w:tab/>
        <w:t>117</w:t>
      </w:r>
    </w:p>
    <w:p w:rsidR="00252869" w:rsidRPr="001B4EC1" w:rsidRDefault="00252869">
      <w:pPr>
        <w:pStyle w:val="Innehll2"/>
      </w:pPr>
      <w:r w:rsidRPr="001B4EC1">
        <w:t>3.2 Näringsdepartementets handläggning  rörande statligt ägande m.m.</w:t>
      </w:r>
      <w:r w:rsidRPr="001B4EC1">
        <w:tab/>
        <w:t>117</w:t>
      </w:r>
    </w:p>
    <w:p w:rsidR="00252869" w:rsidRPr="001B4EC1" w:rsidRDefault="00252869">
      <w:pPr>
        <w:pStyle w:val="Innehll3"/>
      </w:pPr>
      <w:r w:rsidRPr="001B4EC1">
        <w:t>Ärendet</w:t>
      </w:r>
      <w:r w:rsidRPr="001B4EC1">
        <w:tab/>
        <w:t>117</w:t>
      </w:r>
    </w:p>
    <w:p w:rsidR="00252869" w:rsidRPr="001B4EC1" w:rsidRDefault="00252869">
      <w:pPr>
        <w:pStyle w:val="Innehll3"/>
      </w:pPr>
      <w:r w:rsidRPr="001B4EC1">
        <w:t>Promemoria från Näringsdepartementet</w:t>
      </w:r>
      <w:r w:rsidRPr="001B4EC1">
        <w:tab/>
        <w:t>128</w:t>
      </w:r>
    </w:p>
    <w:p w:rsidR="00252869" w:rsidRPr="001B4EC1" w:rsidRDefault="00252869">
      <w:pPr>
        <w:pStyle w:val="Innehll4"/>
      </w:pPr>
      <w:r w:rsidRPr="001B4EC1">
        <w:t>Utfrågning med näringsminister Leif Pagrotsky m.m.</w:t>
      </w:r>
      <w:r w:rsidRPr="001B4EC1">
        <w:tab/>
        <w:t>130</w:t>
      </w:r>
    </w:p>
    <w:p w:rsidR="00252869" w:rsidRPr="001B4EC1" w:rsidRDefault="00252869">
      <w:pPr>
        <w:pStyle w:val="Innehll3"/>
      </w:pPr>
      <w:r w:rsidRPr="001B4EC1">
        <w:t>Utskottets ställningstagande</w:t>
      </w:r>
      <w:r w:rsidRPr="001B4EC1">
        <w:tab/>
        <w:t>132</w:t>
      </w:r>
    </w:p>
    <w:p w:rsidR="00252869" w:rsidRPr="001B4EC1" w:rsidRDefault="00252869">
      <w:pPr>
        <w:pStyle w:val="Innehll2"/>
      </w:pPr>
      <w:r w:rsidRPr="001B4EC1">
        <w:t>3.3 Näringsdepartementets upphandling av ekonomisk och juridisk rådgivning</w:t>
      </w:r>
      <w:r w:rsidRPr="001B4EC1">
        <w:tab/>
        <w:t>135</w:t>
      </w:r>
    </w:p>
    <w:p w:rsidR="00252869" w:rsidRPr="001B4EC1" w:rsidRDefault="00252869">
      <w:pPr>
        <w:pStyle w:val="Innehll3"/>
      </w:pPr>
      <w:r w:rsidRPr="001B4EC1">
        <w:t>Anmälan</w:t>
      </w:r>
      <w:r w:rsidRPr="001B4EC1">
        <w:tab/>
        <w:t>135</w:t>
      </w:r>
    </w:p>
    <w:p w:rsidR="00252869" w:rsidRPr="001B4EC1" w:rsidRDefault="00252869">
      <w:pPr>
        <w:pStyle w:val="Innehll3"/>
      </w:pPr>
      <w:r w:rsidRPr="001B4EC1">
        <w:t>Bakgrund</w:t>
      </w:r>
      <w:r w:rsidRPr="001B4EC1">
        <w:tab/>
        <w:t>136</w:t>
      </w:r>
    </w:p>
    <w:p w:rsidR="00252869" w:rsidRPr="001B4EC1" w:rsidRDefault="00252869">
      <w:pPr>
        <w:pStyle w:val="Innehll3"/>
      </w:pPr>
      <w:r w:rsidRPr="001B4EC1">
        <w:t>Promemoria från Näringsdepartementet</w:t>
      </w:r>
      <w:r w:rsidRPr="001B4EC1">
        <w:tab/>
        <w:t>139</w:t>
      </w:r>
    </w:p>
    <w:p w:rsidR="00252869" w:rsidRPr="001B4EC1" w:rsidRDefault="00252869">
      <w:pPr>
        <w:pStyle w:val="Innehll4"/>
      </w:pPr>
      <w:r w:rsidRPr="001B4EC1">
        <w:t>Yttrande från Nämnden för offentlig upphandling (NOU)</w:t>
      </w:r>
      <w:r w:rsidRPr="001B4EC1">
        <w:tab/>
        <w:t>140</w:t>
      </w:r>
    </w:p>
    <w:p w:rsidR="00252869" w:rsidRPr="001B4EC1" w:rsidRDefault="00252869">
      <w:pPr>
        <w:pStyle w:val="Innehll4"/>
      </w:pPr>
      <w:r w:rsidRPr="001B4EC1">
        <w:t>Yttrande från Statskontoret</w:t>
      </w:r>
      <w:r w:rsidRPr="001B4EC1">
        <w:tab/>
        <w:t>143</w:t>
      </w:r>
    </w:p>
    <w:p w:rsidR="00252869" w:rsidRPr="001B4EC1" w:rsidRDefault="00252869">
      <w:pPr>
        <w:pStyle w:val="Innehll4"/>
      </w:pPr>
      <w:r w:rsidRPr="001B4EC1">
        <w:t>Utfrågning med näringsminister Leif Pagrotsky</w:t>
      </w:r>
      <w:r w:rsidRPr="001B4EC1">
        <w:tab/>
        <w:t>144</w:t>
      </w:r>
    </w:p>
    <w:p w:rsidR="00252869" w:rsidRPr="001B4EC1" w:rsidRDefault="00252869">
      <w:pPr>
        <w:pStyle w:val="Innehll3"/>
      </w:pPr>
      <w:r w:rsidRPr="001B4EC1">
        <w:t>Utskottets ställningstagande</w:t>
      </w:r>
      <w:r w:rsidRPr="001B4EC1">
        <w:tab/>
        <w:t>145</w:t>
      </w:r>
    </w:p>
    <w:p w:rsidR="00252869" w:rsidRPr="001B4EC1" w:rsidRDefault="00252869">
      <w:pPr>
        <w:pStyle w:val="Innehll2"/>
      </w:pPr>
      <w:r w:rsidRPr="001B4EC1">
        <w:t>3.4 Regeringens förfarande vid utnämningar till högre statliga tjänster</w:t>
      </w:r>
      <w:r w:rsidRPr="001B4EC1">
        <w:tab/>
        <w:t>146</w:t>
      </w:r>
    </w:p>
    <w:p w:rsidR="00252869" w:rsidRPr="001B4EC1" w:rsidRDefault="00252869">
      <w:pPr>
        <w:pStyle w:val="Innehll3"/>
      </w:pPr>
      <w:r w:rsidRPr="001B4EC1">
        <w:t>Anmälan</w:t>
      </w:r>
      <w:r w:rsidRPr="001B4EC1">
        <w:tab/>
        <w:t>146</w:t>
      </w:r>
    </w:p>
    <w:p w:rsidR="00252869" w:rsidRPr="001B4EC1" w:rsidRDefault="00252869">
      <w:pPr>
        <w:pStyle w:val="Innehll3"/>
      </w:pPr>
      <w:r w:rsidRPr="001B4EC1">
        <w:t>Bakgrund</w:t>
      </w:r>
      <w:r w:rsidRPr="001B4EC1">
        <w:tab/>
        <w:t>146</w:t>
      </w:r>
    </w:p>
    <w:p w:rsidR="00252869" w:rsidRPr="001B4EC1" w:rsidRDefault="00252869">
      <w:pPr>
        <w:pStyle w:val="Innehll3"/>
      </w:pPr>
      <w:r w:rsidRPr="001B4EC1">
        <w:t>Promemorior från Finansdepartementet</w:t>
      </w:r>
      <w:r w:rsidRPr="001B4EC1">
        <w:tab/>
        <w:t>149</w:t>
      </w:r>
    </w:p>
    <w:p w:rsidR="00252869" w:rsidRPr="001B4EC1" w:rsidRDefault="00252869">
      <w:pPr>
        <w:pStyle w:val="Innehll4"/>
      </w:pPr>
      <w:r w:rsidRPr="001B4EC1">
        <w:t>Utfrågning med statsminister Göran Persson</w:t>
      </w:r>
      <w:r w:rsidRPr="001B4EC1">
        <w:tab/>
        <w:t>151</w:t>
      </w:r>
    </w:p>
    <w:p w:rsidR="00252869" w:rsidRPr="001B4EC1" w:rsidRDefault="00252869">
      <w:pPr>
        <w:pStyle w:val="Innehll3"/>
      </w:pPr>
      <w:r w:rsidRPr="001B4EC1">
        <w:t>Utskottets ställningstagande</w:t>
      </w:r>
      <w:r w:rsidRPr="001B4EC1">
        <w:tab/>
        <w:t>153</w:t>
      </w:r>
    </w:p>
    <w:p w:rsidR="00252869" w:rsidRPr="001B4EC1" w:rsidRDefault="00252869">
      <w:pPr>
        <w:pStyle w:val="Innehll2"/>
      </w:pPr>
      <w:r w:rsidRPr="001B4EC1">
        <w:t>3.5 Statens åtagande i fråga om Drottningholm enligt konventionen om världsarvet</w:t>
      </w:r>
      <w:r w:rsidRPr="001B4EC1">
        <w:tab/>
        <w:t>153</w:t>
      </w:r>
    </w:p>
    <w:p w:rsidR="00252869" w:rsidRPr="001B4EC1" w:rsidRDefault="00252869">
      <w:pPr>
        <w:pStyle w:val="Innehll3"/>
      </w:pPr>
      <w:r w:rsidRPr="001B4EC1">
        <w:t>Anmälan</w:t>
      </w:r>
      <w:r w:rsidRPr="001B4EC1">
        <w:tab/>
        <w:t>153</w:t>
      </w:r>
    </w:p>
    <w:p w:rsidR="00252869" w:rsidRPr="001B4EC1" w:rsidRDefault="00252869">
      <w:pPr>
        <w:pStyle w:val="Innehll3"/>
      </w:pPr>
      <w:r w:rsidRPr="001B4EC1">
        <w:t>Promemorior från Kulturdepartementet</w:t>
      </w:r>
      <w:r w:rsidRPr="001B4EC1">
        <w:tab/>
        <w:t>161</w:t>
      </w:r>
    </w:p>
    <w:p w:rsidR="00252869" w:rsidRPr="001B4EC1" w:rsidRDefault="00252869">
      <w:pPr>
        <w:pStyle w:val="Innehll3"/>
      </w:pPr>
      <w:r w:rsidRPr="001B4EC1">
        <w:t>Utskottets ställningstagande</w:t>
      </w:r>
      <w:r w:rsidRPr="001B4EC1">
        <w:tab/>
        <w:t>162</w:t>
      </w:r>
    </w:p>
    <w:p w:rsidR="00252869" w:rsidRPr="001B4EC1" w:rsidRDefault="00252869">
      <w:pPr>
        <w:pStyle w:val="Innehll2"/>
      </w:pPr>
      <w:r w:rsidRPr="001B4EC1">
        <w:t>3.6 Tre f.d. försvarsministrars ansvar i fråga om Försvarsmaktens agerande</w:t>
      </w:r>
      <w:r w:rsidRPr="001B4EC1">
        <w:tab/>
        <w:t>162</w:t>
      </w:r>
    </w:p>
    <w:p w:rsidR="00252869" w:rsidRPr="001B4EC1" w:rsidRDefault="00252869">
      <w:pPr>
        <w:pStyle w:val="Innehll3"/>
      </w:pPr>
      <w:r w:rsidRPr="001B4EC1">
        <w:t>Anmälan</w:t>
      </w:r>
      <w:r w:rsidRPr="001B4EC1">
        <w:tab/>
        <w:t>162</w:t>
      </w:r>
    </w:p>
    <w:p w:rsidR="00252869" w:rsidRPr="001B4EC1" w:rsidRDefault="00252869">
      <w:pPr>
        <w:pStyle w:val="Innehll3"/>
      </w:pPr>
      <w:r w:rsidRPr="001B4EC1">
        <w:t>Promemorior från Regeringskansliet</w:t>
      </w:r>
      <w:r w:rsidRPr="001B4EC1">
        <w:tab/>
        <w:t>164</w:t>
      </w:r>
    </w:p>
    <w:p w:rsidR="00252869" w:rsidRPr="001B4EC1" w:rsidRDefault="00252869">
      <w:pPr>
        <w:pStyle w:val="Innehll3"/>
      </w:pPr>
      <w:r w:rsidRPr="001B4EC1">
        <w:t>Utskottets ställningstagande</w:t>
      </w:r>
      <w:r w:rsidRPr="001B4EC1">
        <w:tab/>
        <w:t>168</w:t>
      </w:r>
    </w:p>
    <w:p w:rsidR="00252869" w:rsidRPr="001B4EC1" w:rsidRDefault="00252869">
      <w:pPr>
        <w:pStyle w:val="Innehll1"/>
      </w:pPr>
      <w:r w:rsidRPr="001B4EC1">
        <w:t>4 Vissa frågor rörande statsministern</w:t>
      </w:r>
      <w:r w:rsidRPr="001B4EC1">
        <w:tab/>
        <w:t>169</w:t>
      </w:r>
    </w:p>
    <w:p w:rsidR="00252869" w:rsidRPr="001B4EC1" w:rsidRDefault="00252869">
      <w:pPr>
        <w:pStyle w:val="Innehll2"/>
      </w:pPr>
      <w:r w:rsidRPr="001B4EC1">
        <w:t>4.1 Statsminister Göran Perssons agerande i förhållande till ett visst medieföretag</w:t>
      </w:r>
      <w:r w:rsidRPr="001B4EC1">
        <w:tab/>
        <w:t>169</w:t>
      </w:r>
    </w:p>
    <w:p w:rsidR="00252869" w:rsidRPr="001B4EC1" w:rsidRDefault="00252869">
      <w:pPr>
        <w:pStyle w:val="Innehll3"/>
      </w:pPr>
      <w:r w:rsidRPr="001B4EC1">
        <w:t>Ärendet</w:t>
      </w:r>
      <w:r w:rsidRPr="001B4EC1">
        <w:tab/>
        <w:t>169</w:t>
      </w:r>
    </w:p>
    <w:p w:rsidR="00252869" w:rsidRPr="001B4EC1" w:rsidRDefault="00252869">
      <w:pPr>
        <w:pStyle w:val="Innehll3"/>
      </w:pPr>
      <w:r w:rsidRPr="001B4EC1">
        <w:t>Promemoria från Statsrådsberedningen</w:t>
      </w:r>
      <w:r w:rsidRPr="001B4EC1">
        <w:tab/>
        <w:t>175</w:t>
      </w:r>
    </w:p>
    <w:p w:rsidR="00252869" w:rsidRPr="001B4EC1" w:rsidRDefault="00252869">
      <w:pPr>
        <w:pStyle w:val="Innehll3"/>
      </w:pPr>
      <w:r w:rsidRPr="001B4EC1">
        <w:t>Skrivelser från Jan Scherman</w:t>
      </w:r>
      <w:r w:rsidRPr="001B4EC1">
        <w:tab/>
        <w:t>175</w:t>
      </w:r>
    </w:p>
    <w:p w:rsidR="00252869" w:rsidRPr="001B4EC1" w:rsidRDefault="00252869">
      <w:pPr>
        <w:pStyle w:val="Innehll3"/>
      </w:pPr>
      <w:r w:rsidRPr="001B4EC1">
        <w:t>Utfrågningar</w:t>
      </w:r>
      <w:r w:rsidRPr="001B4EC1">
        <w:tab/>
        <w:t>177</w:t>
      </w:r>
    </w:p>
    <w:p w:rsidR="00252869" w:rsidRPr="001B4EC1" w:rsidRDefault="00252869">
      <w:pPr>
        <w:pStyle w:val="Innehll4"/>
      </w:pPr>
      <w:r w:rsidRPr="001B4EC1">
        <w:t>Utfrågning med Jan Scherman den 15 april 2004 m.m.</w:t>
      </w:r>
      <w:r w:rsidRPr="001B4EC1">
        <w:tab/>
        <w:t>177</w:t>
      </w:r>
    </w:p>
    <w:p w:rsidR="00252869" w:rsidRPr="001B4EC1" w:rsidRDefault="00252869">
      <w:pPr>
        <w:pStyle w:val="Innehll4"/>
      </w:pPr>
      <w:r w:rsidRPr="001B4EC1">
        <w:t>Utfrågning med statsminister Göran Persson</w:t>
      </w:r>
      <w:r w:rsidRPr="001B4EC1">
        <w:tab/>
        <w:t>179</w:t>
      </w:r>
    </w:p>
    <w:p w:rsidR="00252869" w:rsidRPr="001B4EC1" w:rsidRDefault="00252869">
      <w:pPr>
        <w:pStyle w:val="Innehll3"/>
      </w:pPr>
      <w:r w:rsidRPr="001B4EC1">
        <w:t>Utskottets ställningstagande</w:t>
      </w:r>
      <w:r w:rsidRPr="001B4EC1">
        <w:tab/>
        <w:t>181</w:t>
      </w:r>
    </w:p>
    <w:p w:rsidR="00252869" w:rsidRPr="001B4EC1" w:rsidRDefault="00252869">
      <w:pPr>
        <w:pStyle w:val="Innehll2"/>
      </w:pPr>
      <w:r w:rsidRPr="001B4EC1">
        <w:t>4.2  Statsminister Göran Perssons resa till Vin &amp; Sprits franska vingård</w:t>
      </w:r>
      <w:r w:rsidRPr="001B4EC1">
        <w:tab/>
        <w:t>182</w:t>
      </w:r>
    </w:p>
    <w:p w:rsidR="00252869" w:rsidRPr="001B4EC1" w:rsidRDefault="00252869">
      <w:pPr>
        <w:pStyle w:val="Innehll3"/>
      </w:pPr>
      <w:r w:rsidRPr="001B4EC1">
        <w:t>Ärendet</w:t>
      </w:r>
      <w:r w:rsidRPr="001B4EC1">
        <w:tab/>
        <w:t>182</w:t>
      </w:r>
    </w:p>
    <w:p w:rsidR="00252869" w:rsidRPr="001B4EC1" w:rsidRDefault="00252869">
      <w:pPr>
        <w:pStyle w:val="Innehll3"/>
      </w:pPr>
      <w:r w:rsidRPr="001B4EC1">
        <w:t>Promemorior från Statsrådsberedningen</w:t>
      </w:r>
      <w:r w:rsidRPr="001B4EC1">
        <w:tab/>
        <w:t>186</w:t>
      </w:r>
    </w:p>
    <w:p w:rsidR="00252869" w:rsidRPr="001B4EC1" w:rsidRDefault="00252869">
      <w:pPr>
        <w:pStyle w:val="Innehll3"/>
      </w:pPr>
      <w:r w:rsidRPr="001B4EC1">
        <w:t>Utskottets ställningstagande</w:t>
      </w:r>
      <w:r w:rsidRPr="001B4EC1">
        <w:tab/>
        <w:t>186</w:t>
      </w:r>
    </w:p>
    <w:p w:rsidR="00252869" w:rsidRPr="001B4EC1" w:rsidRDefault="00252869">
      <w:pPr>
        <w:pStyle w:val="Innehll1"/>
      </w:pPr>
      <w:r w:rsidRPr="001B4EC1">
        <w:t>5 Vissa uttalanden av statsråd</w:t>
      </w:r>
      <w:r w:rsidRPr="001B4EC1">
        <w:tab/>
        <w:t>187</w:t>
      </w:r>
    </w:p>
    <w:p w:rsidR="00252869" w:rsidRPr="001B4EC1" w:rsidRDefault="00252869">
      <w:pPr>
        <w:pStyle w:val="Innehll2"/>
      </w:pPr>
      <w:r w:rsidRPr="001B4EC1">
        <w:t>Gällande regler om myndigheters självständighet, m.m.</w:t>
      </w:r>
      <w:r w:rsidRPr="001B4EC1">
        <w:tab/>
        <w:t>187</w:t>
      </w:r>
    </w:p>
    <w:p w:rsidR="00252869" w:rsidRPr="001B4EC1" w:rsidRDefault="00252869">
      <w:pPr>
        <w:pStyle w:val="Innehll2"/>
      </w:pPr>
      <w:r w:rsidRPr="001B4EC1">
        <w:t>5.1 Statsråds uttalanden angående den svenska räntenivån</w:t>
      </w:r>
      <w:r w:rsidRPr="001B4EC1">
        <w:tab/>
        <w:t>189</w:t>
      </w:r>
    </w:p>
    <w:p w:rsidR="00252869" w:rsidRPr="001B4EC1" w:rsidRDefault="00252869">
      <w:pPr>
        <w:pStyle w:val="Innehll3"/>
      </w:pPr>
      <w:r w:rsidRPr="001B4EC1">
        <w:t>Anmälan</w:t>
      </w:r>
      <w:r w:rsidRPr="001B4EC1">
        <w:tab/>
        <w:t>189</w:t>
      </w:r>
    </w:p>
    <w:p w:rsidR="00252869" w:rsidRPr="001B4EC1" w:rsidRDefault="00252869">
      <w:pPr>
        <w:pStyle w:val="Innehll3"/>
      </w:pPr>
      <w:r w:rsidRPr="001B4EC1">
        <w:t>Promemoria från Statsrådsberedningen</w:t>
      </w:r>
      <w:r w:rsidRPr="001B4EC1">
        <w:tab/>
        <w:t>194</w:t>
      </w:r>
    </w:p>
    <w:p w:rsidR="00252869" w:rsidRPr="001B4EC1" w:rsidRDefault="00252869">
      <w:pPr>
        <w:pStyle w:val="Innehll4"/>
      </w:pPr>
      <w:r w:rsidRPr="001B4EC1">
        <w:t>Utfrågning med riksbankschefen Lars Heikensten</w:t>
      </w:r>
      <w:r w:rsidRPr="001B4EC1">
        <w:tab/>
        <w:t>194</w:t>
      </w:r>
    </w:p>
    <w:p w:rsidR="00252869" w:rsidRPr="001B4EC1" w:rsidRDefault="00252869">
      <w:pPr>
        <w:pStyle w:val="Innehll4"/>
      </w:pPr>
      <w:r w:rsidRPr="001B4EC1">
        <w:t>Utfrågning med statsminister Göran Persson</w:t>
      </w:r>
      <w:r w:rsidRPr="001B4EC1">
        <w:tab/>
        <w:t>197</w:t>
      </w:r>
    </w:p>
    <w:p w:rsidR="00252869" w:rsidRPr="001B4EC1" w:rsidRDefault="00252869">
      <w:pPr>
        <w:pStyle w:val="Innehll3"/>
      </w:pPr>
      <w:r w:rsidRPr="001B4EC1">
        <w:t>Utskottets ställningstagande</w:t>
      </w:r>
      <w:r w:rsidRPr="001B4EC1">
        <w:tab/>
        <w:t>199</w:t>
      </w:r>
    </w:p>
    <w:p w:rsidR="00252869" w:rsidRPr="001B4EC1" w:rsidRDefault="00252869">
      <w:pPr>
        <w:pStyle w:val="Innehll2"/>
      </w:pPr>
      <w:r w:rsidRPr="001B4EC1">
        <w:t>5.2 Fråga om ministerstyre i ett asylärende</w:t>
      </w:r>
      <w:r w:rsidRPr="001B4EC1">
        <w:tab/>
        <w:t>200</w:t>
      </w:r>
    </w:p>
    <w:p w:rsidR="00252869" w:rsidRPr="001B4EC1" w:rsidRDefault="00252869">
      <w:pPr>
        <w:pStyle w:val="Innehll3"/>
      </w:pPr>
      <w:r w:rsidRPr="001B4EC1">
        <w:t>Anmälan</w:t>
      </w:r>
      <w:r w:rsidRPr="001B4EC1">
        <w:tab/>
        <w:t>200</w:t>
      </w:r>
    </w:p>
    <w:p w:rsidR="00252869" w:rsidRPr="001B4EC1" w:rsidRDefault="00252869">
      <w:pPr>
        <w:pStyle w:val="Innehll3"/>
      </w:pPr>
      <w:r w:rsidRPr="001B4EC1">
        <w:t>Bakgrund</w:t>
      </w:r>
      <w:r w:rsidRPr="001B4EC1">
        <w:tab/>
        <w:t>200</w:t>
      </w:r>
    </w:p>
    <w:p w:rsidR="00252869" w:rsidRPr="001B4EC1" w:rsidRDefault="00252869">
      <w:pPr>
        <w:pStyle w:val="Innehll3"/>
      </w:pPr>
      <w:r w:rsidRPr="001B4EC1">
        <w:t>Promemoria från Utrikesdepartementet</w:t>
      </w:r>
      <w:r w:rsidRPr="001B4EC1">
        <w:tab/>
        <w:t>201</w:t>
      </w:r>
    </w:p>
    <w:p w:rsidR="00252869" w:rsidRPr="001B4EC1" w:rsidRDefault="00252869">
      <w:pPr>
        <w:pStyle w:val="Innehll4"/>
      </w:pPr>
      <w:r w:rsidRPr="001B4EC1">
        <w:t>Utfrågning med f.d. statsrådet Jan O. Karlsson</w:t>
      </w:r>
      <w:r w:rsidRPr="001B4EC1">
        <w:tab/>
        <w:t>202</w:t>
      </w:r>
    </w:p>
    <w:p w:rsidR="00252869" w:rsidRPr="001B4EC1" w:rsidRDefault="00252869">
      <w:pPr>
        <w:pStyle w:val="Innehll3"/>
      </w:pPr>
      <w:r w:rsidRPr="001B4EC1">
        <w:rPr>
          <w:snapToGrid w:val="0"/>
        </w:rPr>
        <w:t>Utskottets ställningstagande</w:t>
      </w:r>
      <w:r w:rsidRPr="001B4EC1">
        <w:tab/>
        <w:t>203</w:t>
      </w:r>
    </w:p>
    <w:p w:rsidR="00252869" w:rsidRPr="001B4EC1" w:rsidRDefault="00252869">
      <w:pPr>
        <w:pStyle w:val="Innehll1"/>
      </w:pPr>
      <w:r w:rsidRPr="001B4EC1">
        <w:t>6 Vissa frågor med anknytning till Irakkriget</w:t>
      </w:r>
      <w:r w:rsidRPr="001B4EC1">
        <w:tab/>
        <w:t>204</w:t>
      </w:r>
    </w:p>
    <w:p w:rsidR="00252869" w:rsidRPr="001B4EC1" w:rsidRDefault="00252869">
      <w:pPr>
        <w:pStyle w:val="Innehll2"/>
      </w:pPr>
      <w:r w:rsidRPr="001B4EC1">
        <w:t>Allmänt om kontroll av vapenexport</w:t>
      </w:r>
      <w:r w:rsidRPr="001B4EC1">
        <w:tab/>
        <w:t>204</w:t>
      </w:r>
    </w:p>
    <w:p w:rsidR="00252869" w:rsidRPr="001B4EC1" w:rsidRDefault="00252869">
      <w:pPr>
        <w:pStyle w:val="Innehll2"/>
      </w:pPr>
      <w:r w:rsidRPr="001B4EC1">
        <w:t>6.1 Svensk vapenexport i förhållande till folkrätten och FN-stadgan</w:t>
      </w:r>
      <w:r w:rsidRPr="001B4EC1">
        <w:tab/>
        <w:t>208</w:t>
      </w:r>
    </w:p>
    <w:p w:rsidR="00252869" w:rsidRPr="001B4EC1" w:rsidRDefault="00252869">
      <w:pPr>
        <w:pStyle w:val="Innehll3"/>
      </w:pPr>
      <w:r w:rsidRPr="001B4EC1">
        <w:t>Anmälan</w:t>
      </w:r>
      <w:r w:rsidRPr="001B4EC1">
        <w:tab/>
        <w:t>208</w:t>
      </w:r>
    </w:p>
    <w:p w:rsidR="00252869" w:rsidRPr="001B4EC1" w:rsidRDefault="00252869">
      <w:pPr>
        <w:pStyle w:val="Innehll3"/>
      </w:pPr>
      <w:r w:rsidRPr="001B4EC1">
        <w:t>Promemoria från Utrikesdepartementet</w:t>
      </w:r>
      <w:r w:rsidRPr="001B4EC1">
        <w:tab/>
        <w:t>208</w:t>
      </w:r>
    </w:p>
    <w:p w:rsidR="00252869" w:rsidRPr="001B4EC1" w:rsidRDefault="00252869">
      <w:pPr>
        <w:pStyle w:val="Innehll3"/>
      </w:pPr>
      <w:r w:rsidRPr="001B4EC1">
        <w:t>Utskottets ställningstagande</w:t>
      </w:r>
      <w:r w:rsidRPr="001B4EC1">
        <w:tab/>
        <w:t>209</w:t>
      </w:r>
    </w:p>
    <w:p w:rsidR="00252869" w:rsidRPr="001B4EC1" w:rsidRDefault="00252869">
      <w:pPr>
        <w:pStyle w:val="Innehll2"/>
      </w:pPr>
      <w:r w:rsidRPr="001B4EC1">
        <w:t>6.2 Regeringens ansvar för uthyrningen av den svenska försvarsmaktens krigsmateriel till Storbritannien</w:t>
      </w:r>
      <w:r w:rsidRPr="001B4EC1">
        <w:tab/>
        <w:t>210</w:t>
      </w:r>
    </w:p>
    <w:p w:rsidR="00252869" w:rsidRPr="001B4EC1" w:rsidRDefault="00252869">
      <w:pPr>
        <w:pStyle w:val="Innehll3"/>
      </w:pPr>
      <w:r w:rsidRPr="001B4EC1">
        <w:t>Anmälan</w:t>
      </w:r>
      <w:r w:rsidRPr="001B4EC1">
        <w:tab/>
        <w:t>210</w:t>
      </w:r>
    </w:p>
    <w:p w:rsidR="00252869" w:rsidRPr="001B4EC1" w:rsidRDefault="00252869">
      <w:pPr>
        <w:pStyle w:val="Innehll3"/>
      </w:pPr>
      <w:r w:rsidRPr="001B4EC1">
        <w:t>Promemoria från Försvarsdepartementet</w:t>
      </w:r>
      <w:r w:rsidRPr="001B4EC1">
        <w:tab/>
        <w:t>211</w:t>
      </w:r>
    </w:p>
    <w:p w:rsidR="00252869" w:rsidRPr="001B4EC1" w:rsidRDefault="00252869">
      <w:pPr>
        <w:pStyle w:val="Innehll4"/>
      </w:pPr>
      <w:r w:rsidRPr="001B4EC1">
        <w:t>Promemoria från Inspektionen för strategiska produkter m.m.</w:t>
      </w:r>
      <w:r w:rsidRPr="001B4EC1">
        <w:tab/>
        <w:t>212</w:t>
      </w:r>
    </w:p>
    <w:p w:rsidR="00252869" w:rsidRPr="001B4EC1" w:rsidRDefault="00252869">
      <w:pPr>
        <w:pStyle w:val="Innehll4"/>
      </w:pPr>
      <w:r w:rsidRPr="001B4EC1">
        <w:t>Utfrågning med försvarsminister Leni Björklund</w:t>
      </w:r>
      <w:r w:rsidRPr="001B4EC1">
        <w:tab/>
        <w:t>213</w:t>
      </w:r>
    </w:p>
    <w:p w:rsidR="00252869" w:rsidRPr="001B4EC1" w:rsidRDefault="00252869">
      <w:pPr>
        <w:pStyle w:val="Innehll3"/>
      </w:pPr>
      <w:r w:rsidRPr="001B4EC1">
        <w:t>Utskottets ställningstagande</w:t>
      </w:r>
      <w:r w:rsidRPr="001B4EC1">
        <w:tab/>
        <w:t>213</w:t>
      </w:r>
    </w:p>
    <w:p w:rsidR="00252869" w:rsidRPr="001B4EC1" w:rsidRDefault="00252869">
      <w:pPr>
        <w:pStyle w:val="Innehll2"/>
      </w:pPr>
      <w:r w:rsidRPr="001B4EC1">
        <w:t>6.3 Statsminister Göran Perssons uttalanden om svenska positioner rörande Irakkriget</w:t>
      </w:r>
      <w:r w:rsidRPr="001B4EC1">
        <w:tab/>
        <w:t>214</w:t>
      </w:r>
    </w:p>
    <w:p w:rsidR="00252869" w:rsidRPr="001B4EC1" w:rsidRDefault="00252869">
      <w:pPr>
        <w:pStyle w:val="Innehll3"/>
      </w:pPr>
      <w:r w:rsidRPr="001B4EC1">
        <w:t>Anmälan</w:t>
      </w:r>
      <w:r w:rsidRPr="001B4EC1">
        <w:tab/>
        <w:t>214</w:t>
      </w:r>
    </w:p>
    <w:p w:rsidR="00252869" w:rsidRPr="001B4EC1" w:rsidRDefault="00252869">
      <w:pPr>
        <w:pStyle w:val="Innehll3"/>
      </w:pPr>
      <w:r w:rsidRPr="001B4EC1">
        <w:t>Promemoria från Statsrådsberedningen</w:t>
      </w:r>
      <w:r w:rsidRPr="001B4EC1">
        <w:tab/>
        <w:t>215</w:t>
      </w:r>
    </w:p>
    <w:p w:rsidR="00252869" w:rsidRPr="001B4EC1" w:rsidRDefault="00252869">
      <w:pPr>
        <w:pStyle w:val="Innehll4"/>
      </w:pPr>
      <w:r w:rsidRPr="001B4EC1">
        <w:t>Utfrågning med statsminister Göran Persson</w:t>
      </w:r>
      <w:r w:rsidRPr="001B4EC1">
        <w:tab/>
        <w:t>216</w:t>
      </w:r>
    </w:p>
    <w:p w:rsidR="00252869" w:rsidRPr="001B4EC1" w:rsidRDefault="00252869">
      <w:pPr>
        <w:pStyle w:val="Innehll3"/>
      </w:pPr>
      <w:r w:rsidRPr="001B4EC1">
        <w:t>Utskottets ställningstagande</w:t>
      </w:r>
      <w:r w:rsidRPr="001B4EC1">
        <w:tab/>
        <w:t>217</w:t>
      </w:r>
    </w:p>
    <w:p w:rsidR="00252869" w:rsidRPr="001B4EC1" w:rsidRDefault="00252869">
      <w:pPr>
        <w:pStyle w:val="Innehll1"/>
      </w:pPr>
      <w:r w:rsidRPr="001B4EC1">
        <w:t>Reservationer</w:t>
      </w:r>
      <w:r w:rsidRPr="001B4EC1">
        <w:tab/>
        <w:t>218</w:t>
      </w:r>
    </w:p>
    <w:p w:rsidR="00252869" w:rsidRPr="001B4EC1" w:rsidRDefault="00252869">
      <w:pPr>
        <w:pStyle w:val="Innehll2"/>
        <w:tabs>
          <w:tab w:val="left" w:pos="568"/>
        </w:tabs>
      </w:pPr>
      <w:r w:rsidRPr="001B4EC1">
        <w:t>1.</w:t>
      </w:r>
      <w:r w:rsidRPr="001B4EC1">
        <w:tab/>
        <w:t>Östersjöns status som särskilt känsligt havsområde (avsnitt 1.1)</w:t>
      </w:r>
      <w:r w:rsidRPr="001B4EC1">
        <w:tab/>
        <w:t>218</w:t>
      </w:r>
    </w:p>
    <w:p w:rsidR="00252869" w:rsidRPr="001B4EC1" w:rsidRDefault="00252869">
      <w:pPr>
        <w:pStyle w:val="Innehll2"/>
        <w:tabs>
          <w:tab w:val="left" w:pos="568"/>
        </w:tabs>
      </w:pPr>
      <w:r w:rsidRPr="001B4EC1">
        <w:t>2.</w:t>
      </w:r>
      <w:r w:rsidRPr="001B4EC1">
        <w:tab/>
        <w:t>Regeringens agerande avseende riksdagens beslut om Utlänningsnämnden (avsnitt 1.3)</w:t>
      </w:r>
      <w:r w:rsidRPr="001B4EC1">
        <w:tab/>
        <w:t>218</w:t>
      </w:r>
    </w:p>
    <w:p w:rsidR="00252869" w:rsidRPr="001B4EC1" w:rsidRDefault="00252869">
      <w:pPr>
        <w:pStyle w:val="Innehll2"/>
        <w:tabs>
          <w:tab w:val="left" w:pos="568"/>
        </w:tabs>
      </w:pPr>
      <w:r w:rsidRPr="001B4EC1">
        <w:t>3.</w:t>
      </w:r>
      <w:r w:rsidRPr="001B4EC1">
        <w:tab/>
        <w:t>Vald ordförande för Europeiska rådet (avsnitt 1.5)</w:t>
      </w:r>
      <w:r w:rsidRPr="001B4EC1">
        <w:tab/>
        <w:t>219</w:t>
      </w:r>
    </w:p>
    <w:p w:rsidR="00252869" w:rsidRPr="001B4EC1" w:rsidRDefault="00252869">
      <w:pPr>
        <w:pStyle w:val="Innehll2"/>
        <w:tabs>
          <w:tab w:val="left" w:pos="568"/>
        </w:tabs>
      </w:pPr>
      <w:r w:rsidRPr="001B4EC1">
        <w:t>4.</w:t>
      </w:r>
      <w:r w:rsidRPr="001B4EC1">
        <w:tab/>
        <w:t>Regeringens samråd med EU-nämnden (avsnitt 1.6)</w:t>
      </w:r>
      <w:r w:rsidRPr="001B4EC1">
        <w:tab/>
        <w:t>220</w:t>
      </w:r>
    </w:p>
    <w:p w:rsidR="00252869" w:rsidRPr="001B4EC1" w:rsidRDefault="00252869">
      <w:pPr>
        <w:pStyle w:val="Innehll2"/>
        <w:tabs>
          <w:tab w:val="left" w:pos="568"/>
        </w:tabs>
      </w:pPr>
      <w:r w:rsidRPr="001B4EC1">
        <w:t>5.</w:t>
      </w:r>
      <w:r w:rsidRPr="001B4EC1">
        <w:tab/>
        <w:t>Regeringens redovisning av statens inkomster och utgifter m.m. (avsnitt 2.1)</w:t>
      </w:r>
      <w:r w:rsidRPr="001B4EC1">
        <w:tab/>
        <w:t>221</w:t>
      </w:r>
    </w:p>
    <w:p w:rsidR="00252869" w:rsidRPr="001B4EC1" w:rsidRDefault="00252869">
      <w:pPr>
        <w:pStyle w:val="Innehll2"/>
        <w:tabs>
          <w:tab w:val="left" w:pos="568"/>
        </w:tabs>
      </w:pPr>
      <w:r w:rsidRPr="001B4EC1">
        <w:t>6.</w:t>
      </w:r>
      <w:r w:rsidRPr="001B4EC1">
        <w:tab/>
        <w:t>Senareläggning av EU-avgiften till nästa budgetår (avsnitt 2.2)</w:t>
      </w:r>
      <w:r w:rsidRPr="001B4EC1">
        <w:tab/>
        <w:t>221</w:t>
      </w:r>
    </w:p>
    <w:p w:rsidR="00252869" w:rsidRPr="001B4EC1" w:rsidRDefault="00252869">
      <w:pPr>
        <w:pStyle w:val="Innehll2"/>
        <w:tabs>
          <w:tab w:val="left" w:pos="568"/>
        </w:tabs>
      </w:pPr>
      <w:r w:rsidRPr="001B4EC1">
        <w:t>7.</w:t>
      </w:r>
      <w:r w:rsidRPr="001B4EC1">
        <w:tab/>
        <w:t>Näringsdepartementets upphandling av ekonomisk och juridisk rådgivning (avsnitt 3.3)</w:t>
      </w:r>
      <w:r w:rsidRPr="001B4EC1">
        <w:tab/>
        <w:t>222</w:t>
      </w:r>
    </w:p>
    <w:p w:rsidR="00252869" w:rsidRPr="001B4EC1" w:rsidRDefault="00252869">
      <w:pPr>
        <w:pStyle w:val="Innehll2"/>
        <w:tabs>
          <w:tab w:val="left" w:pos="568"/>
        </w:tabs>
      </w:pPr>
      <w:r w:rsidRPr="001B4EC1">
        <w:t>8.</w:t>
      </w:r>
      <w:r w:rsidRPr="001B4EC1">
        <w:tab/>
        <w:t>Regeringens förfarande vid utnämningar till högre statliga tjänster (avsnitt 3.4)</w:t>
      </w:r>
      <w:r w:rsidRPr="001B4EC1">
        <w:tab/>
        <w:t>222</w:t>
      </w:r>
    </w:p>
    <w:p w:rsidR="00252869" w:rsidRPr="001B4EC1" w:rsidRDefault="00252869">
      <w:pPr>
        <w:pStyle w:val="Innehll2"/>
        <w:tabs>
          <w:tab w:val="left" w:pos="568"/>
        </w:tabs>
      </w:pPr>
      <w:r w:rsidRPr="001B4EC1">
        <w:t>9.</w:t>
      </w:r>
      <w:r w:rsidRPr="001B4EC1">
        <w:tab/>
        <w:t>Statsråds uttalanden om den svenska räntenivån (avsnitt 5.1)</w:t>
      </w:r>
      <w:r w:rsidRPr="001B4EC1">
        <w:tab/>
        <w:t>223</w:t>
      </w:r>
    </w:p>
    <w:p w:rsidR="00252869" w:rsidRPr="001B4EC1" w:rsidRDefault="00252869">
      <w:pPr>
        <w:pStyle w:val="Innehll2"/>
        <w:tabs>
          <w:tab w:val="left" w:pos="851"/>
        </w:tabs>
      </w:pPr>
      <w:r w:rsidRPr="001B4EC1">
        <w:t>10.</w:t>
      </w:r>
      <w:r w:rsidRPr="001B4EC1">
        <w:tab/>
        <w:t>Fråga om ministerstyre i ett asylärende (avsnitt 5.2)</w:t>
      </w:r>
      <w:r w:rsidRPr="001B4EC1">
        <w:tab/>
        <w:t>223</w:t>
      </w:r>
    </w:p>
    <w:p w:rsidR="00252869" w:rsidRPr="001B4EC1" w:rsidRDefault="00252869">
      <w:pPr>
        <w:pStyle w:val="Innehll2"/>
        <w:tabs>
          <w:tab w:val="left" w:pos="851"/>
        </w:tabs>
      </w:pPr>
      <w:r w:rsidRPr="001B4EC1">
        <w:t>11.</w:t>
      </w:r>
      <w:r w:rsidRPr="001B4EC1">
        <w:tab/>
        <w:t>Svensk vapenexport i förhållande till folkrätten och FN-stadgan (avsnitt 6.1)</w:t>
      </w:r>
      <w:r w:rsidRPr="001B4EC1">
        <w:tab/>
        <w:t>224</w:t>
      </w:r>
    </w:p>
    <w:p w:rsidR="00252869" w:rsidRPr="001B4EC1" w:rsidRDefault="00252869">
      <w:pPr>
        <w:pStyle w:val="Innehll2"/>
        <w:tabs>
          <w:tab w:val="left" w:pos="851"/>
        </w:tabs>
      </w:pPr>
      <w:r w:rsidRPr="001B4EC1">
        <w:t>12.</w:t>
      </w:r>
      <w:r w:rsidRPr="001B4EC1">
        <w:tab/>
        <w:t>Regeringens ansvar för uthyrningen av den svenska försvarsmaktens krigsmateriel till Storbritannien (avsnitt 6.2)</w:t>
      </w:r>
      <w:r w:rsidRPr="001B4EC1">
        <w:tab/>
        <w:t>224</w:t>
      </w:r>
    </w:p>
    <w:p w:rsidR="00252869" w:rsidRPr="001B4EC1" w:rsidRDefault="00252869"/>
    <w:p w:rsidR="00252869" w:rsidRPr="001B4EC1" w:rsidRDefault="00252869">
      <w:pPr>
        <w:pStyle w:val="Normaltindrag"/>
        <w:sectPr w:rsidR="00000000" w:rsidRPr="001B4EC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52869" w:rsidRPr="001B4EC1" w:rsidRDefault="00252869">
      <w:pPr>
        <w:pStyle w:val="Rubrik1"/>
        <w:rPr>
          <w:noProof w:val="0"/>
        </w:rPr>
      </w:pPr>
      <w:bookmarkStart w:id="7" w:name="_Toc72648441"/>
      <w:r w:rsidRPr="001B4EC1">
        <w:rPr>
          <w:noProof w:val="0"/>
        </w:rPr>
        <w:t>Utskottets anmälan</w:t>
      </w:r>
      <w:bookmarkEnd w:id="7"/>
    </w:p>
    <w:p w:rsidR="00252869" w:rsidRPr="001B4EC1" w:rsidRDefault="00252869">
      <w:r w:rsidRPr="001B4EC1">
        <w:t>Utskottet anmäler härmed enligt 12 kap. 2 § regeringsformen för riksdagen resultatet av den i detta betänkande redovisade granskningen.</w:t>
      </w:r>
    </w:p>
    <w:p w:rsidR="00252869" w:rsidRPr="001B4EC1" w:rsidRDefault="00252869">
      <w:pPr>
        <w:pStyle w:val="Normaltindrag"/>
      </w:pPr>
      <w:bookmarkStart w:id="8" w:name="Nästa_Hpunkt"/>
      <w:bookmarkEnd w:id="8"/>
    </w:p>
    <w:p w:rsidR="00252869" w:rsidRPr="001B4EC1" w:rsidRDefault="00252869">
      <w:pPr>
        <w:pStyle w:val="Normaltindrag"/>
      </w:pPr>
    </w:p>
    <w:p w:rsidR="00252869" w:rsidRPr="001B4EC1" w:rsidRDefault="00252869">
      <w:pPr>
        <w:pStyle w:val="Utskriftsdatum"/>
      </w:pPr>
      <w:r w:rsidRPr="001B4EC1">
        <w:t xml:space="preserve">Stockholm den 13 maj 2004 </w:t>
      </w:r>
    </w:p>
    <w:p w:rsidR="00252869" w:rsidRPr="001B4EC1" w:rsidRDefault="00252869">
      <w:r w:rsidRPr="001B4EC1">
        <w:t>På konstitutionsutskottets vägnar</w:t>
      </w:r>
    </w:p>
    <w:p w:rsidR="00252869" w:rsidRPr="001B4EC1" w:rsidRDefault="00252869">
      <w:pPr>
        <w:pStyle w:val="Ordfranden"/>
        <w:rPr>
          <w:noProof w:val="0"/>
        </w:rPr>
      </w:pPr>
      <w:bookmarkStart w:id="9" w:name="Ordförande"/>
      <w:bookmarkEnd w:id="9"/>
      <w:r w:rsidRPr="001B4EC1">
        <w:rPr>
          <w:noProof w:val="0"/>
        </w:rPr>
        <w:t xml:space="preserve">Gunnar Hökmark </w:t>
      </w:r>
    </w:p>
    <w:p w:rsidR="00252869" w:rsidRPr="001B4EC1" w:rsidRDefault="00252869">
      <w:pPr>
        <w:pStyle w:val="Deltagare"/>
        <w:rPr>
          <w:noProof w:val="0"/>
        </w:rPr>
      </w:pPr>
      <w:bookmarkStart w:id="10" w:name="Deltagare"/>
      <w:bookmarkEnd w:id="10"/>
      <w:r w:rsidRPr="001B4EC1">
        <w:rPr>
          <w:noProof w:val="0"/>
        </w:rPr>
        <w:t>Följande ledamöter har deltagit i beslutet: Gunnar Hökmark (m), Göran Magnusson (s), Barbro Hietala Nordlund (s), Helena Bargholtz (fp), Kenth Högström (s), Ingvar Svensson (kd), Mats Einarsson (v), Mats Berglind (s), Henrik S Järrel (m), Anders Bengtsson (s), Tobias Krantz (fp), Kerstin Lundgren (c), Helene Petersson (s), Nils Fredrik Aurelius (m), Billy Gustafsson (s), Gustav Fridolin (mp) och Inger Jarl Beck (s).</w:t>
      </w:r>
    </w:p>
    <w:p w:rsidR="00252869" w:rsidRPr="001B4EC1" w:rsidRDefault="00252869">
      <w:pPr>
        <w:pStyle w:val="Normaltindrag"/>
      </w:pPr>
    </w:p>
    <w:p w:rsidR="00252869" w:rsidRPr="001B4EC1" w:rsidRDefault="00252869"/>
    <w:p w:rsidR="00252869" w:rsidRPr="001B4EC1" w:rsidRDefault="00252869">
      <w:pPr>
        <w:pBdr>
          <w:top w:val="single" w:sz="4" w:space="1" w:color="auto"/>
        </w:pBdr>
      </w:pPr>
      <w:r w:rsidRPr="001B4EC1">
        <w:t>Kenth Högström (s) har inte deltagit i behandlingen av avsnitt 3.3.</w:t>
      </w:r>
    </w:p>
    <w:p w:rsidR="00252869" w:rsidRPr="001B4EC1" w:rsidRDefault="00252869">
      <w:pPr>
        <w:pStyle w:val="Normaltindrag"/>
        <w:sectPr w:rsidR="00000000" w:rsidRPr="001B4EC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52869" w:rsidRPr="001B4EC1" w:rsidRDefault="00252869">
      <w:pPr>
        <w:pStyle w:val="Rubrik1"/>
        <w:rPr>
          <w:noProof w:val="0"/>
        </w:rPr>
      </w:pPr>
      <w:bookmarkStart w:id="11" w:name="_Toc72648442"/>
      <w:r w:rsidRPr="001B4EC1">
        <w:rPr>
          <w:noProof w:val="0"/>
        </w:rPr>
        <w:t>1 Regeringens förhållande till riksdagen</w:t>
      </w:r>
      <w:bookmarkEnd w:id="11"/>
    </w:p>
    <w:p w:rsidR="00252869" w:rsidRPr="001B4EC1" w:rsidRDefault="00252869">
      <w:pPr>
        <w:pStyle w:val="Rubrik2"/>
        <w:spacing w:before="0"/>
      </w:pPr>
      <w:bookmarkStart w:id="12" w:name="_Toc72648443"/>
      <w:r w:rsidRPr="001B4EC1">
        <w:t>1.1 Frågan om Östersjöns status som särskilt känsligt havsområde</w:t>
      </w:r>
      <w:bookmarkEnd w:id="12"/>
      <w:r w:rsidRPr="001B4EC1">
        <w:t xml:space="preserve"> </w:t>
      </w:r>
    </w:p>
    <w:p w:rsidR="00252869" w:rsidRPr="001B4EC1" w:rsidRDefault="00252869">
      <w:pPr>
        <w:pStyle w:val="Rubrik3"/>
        <w:rPr>
          <w:noProof w:val="0"/>
        </w:rPr>
      </w:pPr>
      <w:bookmarkStart w:id="13" w:name="_Toc72648444"/>
      <w:r w:rsidRPr="001B4EC1">
        <w:rPr>
          <w:noProof w:val="0"/>
        </w:rPr>
        <w:t>Anmälan</w:t>
      </w:r>
      <w:bookmarkEnd w:id="13"/>
    </w:p>
    <w:p w:rsidR="00252869" w:rsidRPr="001B4EC1" w:rsidRDefault="00252869">
      <w:r w:rsidRPr="001B4EC1">
        <w:t>I en anmälan till konstitutionsutskottet begärs en granskning av miljöminister Lena Sommestads och statsminister Göran Perssons hantering av frågan om ansökan hos IMO om att svenskt vatten i Östersjön skall få status som särskilt känsligt havso</w:t>
      </w:r>
      <w:r w:rsidRPr="001B4EC1">
        <w:t>m</w:t>
      </w:r>
      <w:r w:rsidRPr="001B4EC1">
        <w:t xml:space="preserve">råde, </w:t>
      </w:r>
      <w:r w:rsidRPr="001B4EC1">
        <w:rPr>
          <w:i/>
        </w:rPr>
        <w:t>bilaga A1.1.1.</w:t>
      </w:r>
    </w:p>
    <w:p w:rsidR="00252869" w:rsidRPr="001B4EC1" w:rsidRDefault="00252869">
      <w:pPr>
        <w:pStyle w:val="R3"/>
      </w:pPr>
      <w:r w:rsidRPr="001B4EC1">
        <w:t>Riksdagens tillkännagivande till regeringen om Östersjön som ett särskilt känsligt havsområde</w:t>
      </w:r>
    </w:p>
    <w:p w:rsidR="00252869" w:rsidRPr="001B4EC1" w:rsidRDefault="00252869">
      <w:r w:rsidRPr="001B4EC1">
        <w:t>Med anledning av ett inträffat fartygshaveri utanför den spanska kusten med omfattande oljeläckage som följd och mot bakgrund av bl.a. de kraftigt öka</w:t>
      </w:r>
      <w:r w:rsidRPr="001B4EC1">
        <w:t>n</w:t>
      </w:r>
      <w:r w:rsidRPr="001B4EC1">
        <w:t>de oljetransporterna på Östersjön fann miljö- och jordbruksutskottet det a</w:t>
      </w:r>
      <w:r w:rsidRPr="001B4EC1">
        <w:t>n</w:t>
      </w:r>
      <w:r w:rsidRPr="001B4EC1">
        <w:t>geläget att i december 2002 ta upp ett antal motionsyrkanden (s, m, fp, kd, v, c, mp) från allmänna motionstiden 2002 om att få Östersjön, helt eller delvis, förklarad som särskilt känsligt havsområde i enlighet med det internationella regelverk som administreras av FN:s sjöfartsorganisation IMO (bet. 2002/03: MJU6).</w:t>
      </w:r>
    </w:p>
    <w:p w:rsidR="00252869" w:rsidRPr="001B4EC1" w:rsidRDefault="00252869">
      <w:pPr>
        <w:pStyle w:val="Normaltindrag"/>
      </w:pPr>
      <w:r w:rsidRPr="001B4EC1">
        <w:t>Utskottet föreslog med anledning av motionerna ett tillkännagivande av innebörd att regeringen så snart som möjligt h</w:t>
      </w:r>
      <w:r w:rsidRPr="001B4EC1">
        <w:t>os IMO skulle ansöka om att svenskt vatten i Östersjön skall få status som särskilt känsligt havsområde. Vidare borde regeringen ytterligare påskynda arbetet inom Helcom för att även övriga länder i Östersjöregionen skulle kunna få sina vatten klassade som särskilt känsliga havsområden. Arbetet med att analysera behovet av och utarbeta förslag till de skyddsåtgärder som klassningen medger borde priorit</w:t>
      </w:r>
      <w:r w:rsidRPr="001B4EC1">
        <w:t>e</w:t>
      </w:r>
      <w:r w:rsidRPr="001B4EC1">
        <w:t>ras.</w:t>
      </w:r>
    </w:p>
    <w:p w:rsidR="00252869" w:rsidRPr="001B4EC1" w:rsidRDefault="00252869">
      <w:pPr>
        <w:pStyle w:val="Normaltindrag"/>
      </w:pPr>
      <w:r w:rsidRPr="001B4EC1">
        <w:t>Riksdagen beslutade den 29 januari 2003 i enlighet med utskottets förslag (rskr. 2002/03:97).</w:t>
      </w:r>
    </w:p>
    <w:p w:rsidR="00252869" w:rsidRPr="001B4EC1" w:rsidRDefault="00252869">
      <w:pPr>
        <w:pStyle w:val="Rubrik3"/>
        <w:spacing w:before="235"/>
        <w:rPr>
          <w:noProof w:val="0"/>
        </w:rPr>
      </w:pPr>
      <w:bookmarkStart w:id="14" w:name="_Toc72648445"/>
      <w:r w:rsidRPr="001B4EC1">
        <w:rPr>
          <w:noProof w:val="0"/>
        </w:rPr>
        <w:t>Bakgrund</w:t>
      </w:r>
      <w:bookmarkEnd w:id="14"/>
    </w:p>
    <w:p w:rsidR="00252869" w:rsidRPr="001B4EC1" w:rsidRDefault="00252869">
      <w:r w:rsidRPr="001B4EC1">
        <w:t>Våren 1999 godkände riksdagen med anledning av regeringens proposition Svenska miljömål ett system med 15 miljökvalitetsmål. Det övergripande syftet med miljökvalitetsmålen är att till nästa generation lämna över ett sa</w:t>
      </w:r>
      <w:r w:rsidRPr="001B4EC1">
        <w:t>m</w:t>
      </w:r>
      <w:r w:rsidRPr="001B4EC1">
        <w:t>hälle där de stora miljöproblemen i Sverige är lösta (prop. 1997/98:145, bet. 1998/99:MJU6, rskr. 1998/99:183). Ett av miljökvalitetsmålen är Hav i balans samt levande kust och skärgård. Målet innebär att Västerhavet och Östersjön skall ha en långsiktigt hållbar produktionsförmåga och att den biologiska mångfalden skall bevaras. Kust och skärgård skall ha en hög grad av biol</w:t>
      </w:r>
      <w:r w:rsidRPr="001B4EC1">
        <w:t>o</w:t>
      </w:r>
      <w:r w:rsidRPr="001B4EC1">
        <w:t>gisk mångfald, upplevelsevärden samt natur- och kulturvärden. Näringar, rekreation och annat nyttjande av hav, kust och skärgård skal</w:t>
      </w:r>
      <w:r w:rsidRPr="001B4EC1">
        <w:t>l bedrivas så att en hållbar utveckling främjas.</w:t>
      </w:r>
    </w:p>
    <w:p w:rsidR="00252869" w:rsidRPr="001B4EC1" w:rsidRDefault="00252869">
      <w:pPr>
        <w:pStyle w:val="Normaltindrag"/>
      </w:pPr>
      <w:r w:rsidRPr="001B4EC1">
        <w:t>Särskilt värdefulla områden skall skyddas mot ingrepp och andra störnin</w:t>
      </w:r>
      <w:r w:rsidRPr="001B4EC1">
        <w:t>g</w:t>
      </w:r>
      <w:r w:rsidRPr="001B4EC1">
        <w:t>ar. Miljökvalitetsmålet innebär bl.a. att sjöfart och annat nyttjande av hav och vattenområden sker med hänsyn till vattenområdenas produktionsförmåga, biologiska mångfald samt natur- och kulturmiljövärden.</w:t>
      </w:r>
    </w:p>
    <w:p w:rsidR="00252869" w:rsidRPr="001B4EC1" w:rsidRDefault="00252869">
      <w:pPr>
        <w:pStyle w:val="Normaltindrag"/>
      </w:pPr>
      <w:r w:rsidRPr="001B4EC1">
        <w:t>I november 2001 beslutade riksdagen om delmål, åtgärder och strategier för att nå miljökvalitetsmålen inom en generation (prop. 2000/01:130, bet. 2001/02:MJU3, rskr. 2001/02:36). Utgångspunkten för detta arbete är bl.a. medverkan av alla som verkar i samhället, inom alla samhällsområden och på alla nivå</w:t>
      </w:r>
      <w:r w:rsidRPr="001B4EC1">
        <w:t>er. Miljöarbetet skall integreras i alla verksamheter, och detta gäller såväl myndigheter och kommuner som företag, organisationer och enskilda. Ekonomiska och rättsliga styrmedel bildar tillsammans med myndigheternas arbete utgångspunkter och en stomme för miljöarbetet. Delmålen för milj</w:t>
      </w:r>
      <w:r w:rsidRPr="001B4EC1">
        <w:t>ö</w:t>
      </w:r>
      <w:r w:rsidRPr="001B4EC1">
        <w:t>kvalitetsmålet Hav i balans samt levande kust och skärgård som berör skyddet av Östersjön är bl.a. att minst 50 % av skyddsvärda marina miljöer senast år 2010 skall ha ett långsiktigt skydd. Senast år 2005 skall ytterligar</w:t>
      </w:r>
      <w:r w:rsidRPr="001B4EC1">
        <w:t>e fem mar</w:t>
      </w:r>
      <w:r w:rsidRPr="001B4EC1">
        <w:t>i</w:t>
      </w:r>
      <w:r w:rsidRPr="001B4EC1">
        <w:t>na områden vara skyddade som reservat. Vidare skall genom skärpt lagstif</w:t>
      </w:r>
      <w:r w:rsidRPr="001B4EC1">
        <w:t>t</w:t>
      </w:r>
      <w:r w:rsidRPr="001B4EC1">
        <w:t>ning och ökad övervakning utsläppen av olja och kemikalier från fartyg m</w:t>
      </w:r>
      <w:r w:rsidRPr="001B4EC1">
        <w:t>i</w:t>
      </w:r>
      <w:r w:rsidRPr="001B4EC1">
        <w:t>nimeras och vara försumbara senast år 2010.</w:t>
      </w:r>
    </w:p>
    <w:p w:rsidR="00252869" w:rsidRPr="001B4EC1" w:rsidRDefault="00252869">
      <w:pPr>
        <w:pStyle w:val="Normaltindrag"/>
      </w:pPr>
      <w:r w:rsidRPr="001B4EC1">
        <w:t>Där havsmiljön är speciellt känslig och värdefull ur ekologiskt perspektiv kan stater med territoriell jurisdiktion, med stöd av havsrätten och med iaktt</w:t>
      </w:r>
      <w:r w:rsidRPr="001B4EC1">
        <w:t>a</w:t>
      </w:r>
      <w:r w:rsidRPr="001B4EC1">
        <w:t xml:space="preserve">gande och tillämpning av konventionen MARPOL 1973/78, International Convention for the Prevention of Pollution from Ships, ställa speciella krav på sjöfarten genom att få området klassat som ett särskilt område (Special Area) eller särskilt känsligt havsområde (Particularly Sensitive Sea Area, PSSA). För att ett område skall kunna klassas som PSSA måste vissa av IMO uppställda kriterier vara uppfyllda (Guidelines for the Designation of Special Areas under Marpol 73/78 and Guidelines for the Identification </w:t>
      </w:r>
      <w:r w:rsidRPr="001B4EC1">
        <w:t>and Design</w:t>
      </w:r>
      <w:r w:rsidRPr="001B4EC1">
        <w:t>a</w:t>
      </w:r>
      <w:r w:rsidRPr="001B4EC1">
        <w:t>tion of Particularly Sensitive Sea Areas [Resolution A.927 22]). Dessa o</w:t>
      </w:r>
      <w:r w:rsidRPr="001B4EC1">
        <w:t>m</w:t>
      </w:r>
      <w:r w:rsidRPr="001B4EC1">
        <w:t>fattar bl.a. ekologiska förhållanden som ett unikt eller sällsynt ekosystem, ekosystemets mångfald (diversitet) samt känsligheten för störningar genom naturliga händelser eller mänsklig aktivitet. Vidare beaktas sociala, kulturella och ekonomiska förhållanden såsom t.ex. betydelsen för rekreation och t</w:t>
      </w:r>
      <w:r w:rsidRPr="001B4EC1">
        <w:t>u</w:t>
      </w:r>
      <w:r w:rsidRPr="001B4EC1">
        <w:t>rism. Här beaktas även vetenskapliga förhållanden och egenskaper hos den trafikerande flottan (t.ex. mängden oljetransporter</w:t>
      </w:r>
      <w:r w:rsidRPr="001B4EC1">
        <w:t>). Ansökan till IMO skall ange de syften man vill uppnå med det föreslagna områdets identifiering som ett PSSA och klart beskriva områdets behov av speciellt skydd samt de för</w:t>
      </w:r>
      <w:r w:rsidRPr="001B4EC1">
        <w:t>e</w:t>
      </w:r>
      <w:r w:rsidRPr="001B4EC1">
        <w:t xml:space="preserve">slagna speciella skyddsåtgärder man önskar vidta (Associated Protective Measures). </w:t>
      </w:r>
    </w:p>
    <w:p w:rsidR="00252869" w:rsidRPr="001B4EC1" w:rsidRDefault="00252869">
      <w:pPr>
        <w:pStyle w:val="Normaltindrag"/>
      </w:pPr>
      <w:r w:rsidRPr="001B4EC1">
        <w:t xml:space="preserve">Det finns i dag flera PSSA i världen, bl.a. Stora Barriärrevet utanför </w:t>
      </w:r>
      <w:r w:rsidRPr="001B4EC1">
        <w:br/>
        <w:t>Australien, skärgården Sabana-Camaguey i Kuba, Isla Malpelo i Colombia och Florida Keys samt Tortugas i USA. I oktober 2002 godkände IMO:s miljökommitté (MEPC) ett gemensamt initiativ (Tyskland, Nederländerna och Danmark) att ge Wadden Zee, en del av Nordsjön, status som särskilt känsligt havsområde. För Wadden Zee finns för närvarande inga restriktioner utan utpekandet tjänar som information till sjöfarten om områdets känslighet.</w:t>
      </w:r>
    </w:p>
    <w:p w:rsidR="00252869" w:rsidRPr="001B4EC1" w:rsidRDefault="00252869">
      <w:pPr>
        <w:pStyle w:val="Normaltindrag"/>
      </w:pPr>
      <w:r w:rsidRPr="001B4EC1">
        <w:t>Miljödepartementet har lämnat en beskrivning av innebörden av PSSA-klassning</w:t>
      </w:r>
      <w:r w:rsidRPr="001B4EC1">
        <w:t xml:space="preserve"> (bilaga 2). En PSSA-klassning innebär enligt promemorian i sig inte att vissa oönskade fartyg kan förhindras att trafikera Östersjön. Med en PSSA-klassning följer inte att man kan ställa krav på fartygs utformning, utrustning eller bemanning. Krav på isklass eller dubbelskrov för fartyg som trafikerar Östersjöområdet kan inte tillgodoses som en direkt konsekvens av klassningen. Dessa skyddsåtgärder kan vidtas utan att havsområdet klassas som PSSA.  Tvingande regler för internationell handelssjöfart måste d</w:t>
      </w:r>
      <w:r w:rsidRPr="001B4EC1">
        <w:t>ock fastställas av behörig internationell organisation eller vid en allmän diploma</w:t>
      </w:r>
      <w:r w:rsidRPr="001B4EC1">
        <w:t>t</w:t>
      </w:r>
      <w:r w:rsidRPr="001B4EC1">
        <w:t>konferens. En kuststat får ålägga tankfartyg eller fartyg lastade med farliga eller skadliga ämnen att begränsa sin genomfart till särskilda farleder men kuststaten måste beakta principen om obehindrad genomfart. Denna åtgärd kan även vidtas utan PSSA-klassning. Huvudsaken är att regeln fastställs av IMO.</w:t>
      </w:r>
    </w:p>
    <w:p w:rsidR="00252869" w:rsidRPr="001B4EC1" w:rsidRDefault="00252869">
      <w:pPr>
        <w:pStyle w:val="R3"/>
        <w:spacing w:before="235"/>
      </w:pPr>
      <w:r w:rsidRPr="001B4EC1">
        <w:t>Miljö- och jordbruksutskottets ställningstagande</w:t>
      </w:r>
    </w:p>
    <w:p w:rsidR="00252869" w:rsidRPr="001B4EC1" w:rsidRDefault="00252869">
      <w:r w:rsidRPr="001B4EC1">
        <w:t>Miljö- och jordbruksutskottet anförde att få marina miljöer i världen är så känsliga som Östersjön. Denna speciella känslighet för föroreningar beror bl.a. på låg genomsnittstemperatur, låg syrehalt, långsam vattenomsättning och att det är ett grunt hav. Allt som kan göras måste göras för att skydda detta känsliga, grunda innanhav. Många av Östersjöns miljöproblem är fö</w:t>
      </w:r>
      <w:r w:rsidRPr="001B4EC1">
        <w:t>r</w:t>
      </w:r>
      <w:r w:rsidRPr="001B4EC1">
        <w:t>knippade med sjöfarten. Dessa problem antas komma att öka dramatiskt. Enligt Östersjöländernas samarbetsorganisation Helcom beräknas bulk- och containertrafiken på Östersjön öka med 300 % fram till år 2017. Trafiken med stora oljetanker kommer också att öka kraftigt i takt med att Ryssland nu skeppar alltmer olja genom sina Östersjöhamnar. Det bästa för den marina miljön vore om hela Östersjön kunde få status som PSSA. På så sätt kan förhindras att den oönskade trafiken över huvud taget befinner sig på Öst</w:t>
      </w:r>
      <w:r w:rsidRPr="001B4EC1">
        <w:t>e</w:t>
      </w:r>
      <w:r w:rsidRPr="001B4EC1">
        <w:t>r</w:t>
      </w:r>
      <w:r w:rsidRPr="001B4EC1">
        <w:t>sjön. Hela Östersjön var på grund av sin känslighet och sitt akut kritiska til</w:t>
      </w:r>
      <w:r w:rsidRPr="001B4EC1">
        <w:t>l</w:t>
      </w:r>
      <w:r w:rsidRPr="001B4EC1">
        <w:t>stånd, förklarad som särskilt område (SPA) och därmed föremål för striktare regler beträffande avsiktliga oljeutsläpp, tankrengöring, avfall och luftutsläpp. Detta var ett gott argument för att hela Östersjön även borde kunna klassas som ett PSSA.</w:t>
      </w:r>
    </w:p>
    <w:p w:rsidR="00252869" w:rsidRPr="001B4EC1" w:rsidRDefault="00252869">
      <w:pPr>
        <w:pStyle w:val="Normaltindrag"/>
      </w:pPr>
      <w:r w:rsidRPr="001B4EC1">
        <w:t>Klassningen enligt PSSA-reglerna förstärker det internationella erkänna</w:t>
      </w:r>
      <w:r w:rsidRPr="001B4EC1">
        <w:t>n</w:t>
      </w:r>
      <w:r w:rsidRPr="001B4EC1">
        <w:t>det av havsområdets ekologiska betydelse. Regelverket ställer krav på att verksamma inom sjöfarten är informerade om att speciell försiktighet skall iakttas vid passage inom området. Vidare ges inom PSSA-systemet utrymme för en mängd skyddsåtgärder som annars inte är möjliga. Det kan bl.a. inn</w:t>
      </w:r>
      <w:r w:rsidRPr="001B4EC1">
        <w:t>e</w:t>
      </w:r>
      <w:r w:rsidRPr="001B4EC1">
        <w:t>bära operationella krav (tekniska krav på båtarna), krav på lotsning, speciell service som ökar säkerheten, skärpta krav på de leder som trafiken måste följa, rapporteringssystem för vissa fartyg och obligatorisk bog</w:t>
      </w:r>
      <w:r w:rsidRPr="001B4EC1">
        <w:t>seringseskort. PSSA medger också förbud mot transport av farligt avfall samt bestämmelser om handhavande av ballastvatten.</w:t>
      </w:r>
    </w:p>
    <w:p w:rsidR="00252869" w:rsidRPr="001B4EC1" w:rsidRDefault="00252869">
      <w:pPr>
        <w:pStyle w:val="Normaltindrag"/>
      </w:pPr>
      <w:r w:rsidRPr="001B4EC1">
        <w:t>Helsingforskommissionen (Helcom) är det verkställande organet för He</w:t>
      </w:r>
      <w:r w:rsidRPr="001B4EC1">
        <w:t>l</w:t>
      </w:r>
      <w:r w:rsidRPr="001B4EC1">
        <w:t>singforskonventionen om skydd för Östersjöområdets marina miljö. Inom ramen för konventionen har den s.k. Östersjöstrategin utarbetats med syfte att skydda miljön i Östersjön från skadlig påverkan av sjöfarten. Parter i Helcom är Sverige, Danmark, Finland, Estland, Lettland, Litauen, Ryssland, Polen och Tyskland samt EU. Som framgick av den ovan nämnda miljömålsprop</w:t>
      </w:r>
      <w:r w:rsidRPr="001B4EC1">
        <w:t>o</w:t>
      </w:r>
      <w:r w:rsidRPr="001B4EC1">
        <w:t>sitionen skall områdesskyddet integreras med internationella överenskomme</w:t>
      </w:r>
      <w:r w:rsidRPr="001B4EC1">
        <w:t>l</w:t>
      </w:r>
      <w:r w:rsidRPr="001B4EC1">
        <w:t>ser och miljökonventioner. Genomförandet av Sveriges åtaganden för s</w:t>
      </w:r>
      <w:r w:rsidRPr="001B4EC1">
        <w:t>ky</w:t>
      </w:r>
      <w:r w:rsidRPr="001B4EC1">
        <w:t>d</w:t>
      </w:r>
      <w:r w:rsidRPr="001B4EC1">
        <w:t>dade områden inom ramen för Helcom skulle prioriteras. Inom Helcom p</w:t>
      </w:r>
      <w:r w:rsidRPr="001B4EC1">
        <w:t>å</w:t>
      </w:r>
      <w:r w:rsidRPr="001B4EC1">
        <w:t>gick bl.a. arbetet med s.k. BSPA (Baltic Sea Protected Areas). Syftet med detta arbete var att länderna inventerar, pekar ut och anmäler skyddsvärda områden i och runt Östersjön. Betydelsen av att anmäla ett BSPA ligger främst i att man sprider kunskapen om området i en vid krets.</w:t>
      </w:r>
    </w:p>
    <w:p w:rsidR="00252869" w:rsidRPr="001B4EC1" w:rsidRDefault="00252869">
      <w:pPr>
        <w:pStyle w:val="Normaltindrag"/>
      </w:pPr>
      <w:r w:rsidRPr="001B4EC1">
        <w:t>Miljö- och jordbruksutskottet kunde i likhet med regeringen konstatera att vidtagna åtgärder kring Östersjön inte var tillräckliga (prot. 2002/03:28). Oljetra</w:t>
      </w:r>
      <w:r w:rsidRPr="001B4EC1">
        <w:t>fiken hade under senare tid ökat kraftigt, framför allt till och från ryska hamnar. Den svåra olyckan med oljetankern Prestige hade än en gång visat vilka stora risker som trafiken med oljetanker verkligen innebär. Sist men inte minst framstod miljötillståndet i Östersjön i dag som mer problematiskt än någonsin. Det gav anledning att ytterligare öka ansträngningarna att skydda Östersjön.</w:t>
      </w:r>
    </w:p>
    <w:p w:rsidR="00252869" w:rsidRPr="001B4EC1" w:rsidRDefault="00252869">
      <w:pPr>
        <w:pStyle w:val="Normaltindrag"/>
      </w:pPr>
      <w:r w:rsidRPr="001B4EC1">
        <w:t xml:space="preserve">Enligt miljö- och jordbruksutskottets mening var det naturligtvis önskvärt att alla länderna kring Östersjön förenades i </w:t>
      </w:r>
      <w:r w:rsidRPr="001B4EC1">
        <w:t>ett gemensamt agerande när det gäller Östersjön som särskilt skyddat havsområde. Utskottet förutsatte också att Sverige även i fortsättningen skulle komma att vara pådrivande när det gäller det fortsatta arbetet inom Helcom. Detta behövde inte innebära att  Sverige avstod från möjligheten att gå före med en nationell ansökan. Unde</w:t>
      </w:r>
      <w:r w:rsidRPr="001B4EC1">
        <w:t>r</w:t>
      </w:r>
      <w:r w:rsidRPr="001B4EC1">
        <w:t>laget för en eventuell PSSA-klassificering beräknades vara färdigställt till våren 2003 inför det planerade ministermötet inom Helcom. I det tidigare nämnda uppdraget till Sjöfart</w:t>
      </w:r>
      <w:r w:rsidRPr="001B4EC1">
        <w:t>sverket ingick även en kartläggning och analys för en ensidig svensk ansökan hos IMO. Sammantaget skapade detta goda förutsättningar för att nå största möjliga framgång med arbetet för en säker och miljöanpassad sjöfart i Östersjön. Utskottet ansåg mot bakgrund av det anförda att regeringen så snart som möjligt hos IMO borde ansöka om att svenskt vatten i Östersjön skulle få status som särskilt känsligt havsområde. Vidare borde regeringen ytterligare påskynda arbetet inom Helcom för att få även övriga delar</w:t>
      </w:r>
      <w:r w:rsidRPr="001B4EC1">
        <w:t xml:space="preserve"> av Östersjön klassade som särskilt känsliga havsområden. Arbetet med att analysera behovet av och utarbeta förslag till de skyddsåtgä</w:t>
      </w:r>
      <w:r w:rsidRPr="001B4EC1">
        <w:t>r</w:t>
      </w:r>
      <w:r w:rsidRPr="001B4EC1">
        <w:t>der som klassningen medger borde prioriteras. Vad utskottet anfört borde ges rege</w:t>
      </w:r>
      <w:r w:rsidRPr="001B4EC1">
        <w:t>r</w:t>
      </w:r>
      <w:r w:rsidRPr="001B4EC1">
        <w:t xml:space="preserve">ingen till känna. </w:t>
      </w:r>
    </w:p>
    <w:p w:rsidR="00252869" w:rsidRPr="001B4EC1" w:rsidRDefault="00252869">
      <w:pPr>
        <w:pStyle w:val="R3"/>
      </w:pPr>
      <w:r w:rsidRPr="001B4EC1">
        <w:t>Åtgärder som vidtagits före och efter riksdagsbeslutet</w:t>
      </w:r>
    </w:p>
    <w:p w:rsidR="00252869" w:rsidRPr="001B4EC1" w:rsidRDefault="00252869">
      <w:r w:rsidRPr="001B4EC1">
        <w:t>Följande redovisning hämtad bl.a. från bifogad promemoria från Miljödepa</w:t>
      </w:r>
      <w:r w:rsidRPr="001B4EC1">
        <w:t>r</w:t>
      </w:r>
      <w:r w:rsidRPr="001B4EC1">
        <w:t xml:space="preserve">tementet, </w:t>
      </w:r>
      <w:r w:rsidRPr="001B4EC1">
        <w:rPr>
          <w:i/>
        </w:rPr>
        <w:t>bilaga A1.1.2.</w:t>
      </w:r>
      <w:r w:rsidRPr="001B4EC1">
        <w:t xml:space="preserve"> </w:t>
      </w:r>
    </w:p>
    <w:p w:rsidR="00252869" w:rsidRPr="001B4EC1" w:rsidRDefault="00252869">
      <w:r w:rsidRPr="001B4EC1">
        <w:t>Den 3 december 2002 medverkade miljöminister Lena Sommestad i en rik</w:t>
      </w:r>
      <w:r w:rsidRPr="001B4EC1">
        <w:t>s</w:t>
      </w:r>
      <w:r w:rsidRPr="001B4EC1">
        <w:t>dagsdebatt som begärts av Miljöpartiet med anledning av den tankfartyg</w:t>
      </w:r>
      <w:r w:rsidRPr="001B4EC1">
        <w:t>s</w:t>
      </w:r>
      <w:r w:rsidRPr="001B4EC1">
        <w:t>olycka som ägde rum utanför den spanska kusten och mot bakgrund av de förväntat ökande oljetransporterna över Östersjön. Miljöministern uttryckte bl.a. att alla är angelägna om resultat och att regeringen därför valt strategin att arbeta med en Helcom-gemensam och en nationell ansökan parallellt och att man måste agera på ett sätt som gör att det går att nå framgång i IMO med en ansökan.</w:t>
      </w:r>
    </w:p>
    <w:p w:rsidR="00252869" w:rsidRPr="001B4EC1" w:rsidRDefault="00252869">
      <w:pPr>
        <w:pStyle w:val="Normaltindrag"/>
      </w:pPr>
      <w:r w:rsidRPr="001B4EC1">
        <w:t>Regeringen uppdrog den 19 december 2002 åt Sjöfar</w:t>
      </w:r>
      <w:r w:rsidRPr="001B4EC1">
        <w:t xml:space="preserve">tsverket att i samråd med Kustbevakningen, Naturvårdsverket och Statens räddningsverk utreda och redovisa vilka förutsättningar som fanns för att klassa Östersjön som ett särskilt känsligt vattenområde i enlighet med FN:s sjöfartsorganisations (IMO) regelverk. </w:t>
      </w:r>
    </w:p>
    <w:p w:rsidR="00252869" w:rsidRPr="001B4EC1" w:rsidRDefault="00252869">
      <w:pPr>
        <w:pStyle w:val="Normaltindrag"/>
      </w:pPr>
      <w:r w:rsidRPr="001B4EC1">
        <w:t>Den 6 februari 2003 – en vecka efter riksdagens tillkännagivande till r</w:t>
      </w:r>
      <w:r w:rsidRPr="001B4EC1">
        <w:t>e</w:t>
      </w:r>
      <w:r w:rsidRPr="001B4EC1">
        <w:t>geringen i frågan – framförde statsrådet Ulrica Messing att Sverige verkade inom ramen för Helcom för att en gemensam ansökan om PSSA-klassning av Östersjön skulle lämnas in till IMO. Om en gemensam ansökan inte lyckades – vilket skulle visa sig senast vid Helcoms ministermöte i juni 2003 – avsåg Sverige att lämna in en ensidig ansökan.</w:t>
      </w:r>
    </w:p>
    <w:p w:rsidR="00252869" w:rsidRPr="001B4EC1" w:rsidRDefault="00252869">
      <w:pPr>
        <w:pStyle w:val="Normaltindrag"/>
      </w:pPr>
      <w:r w:rsidRPr="001B4EC1">
        <w:t>Vid en frågestund i riksdagen den 13 februari 2003 framhöll miljöminister Lena Sommestad att hon självklart skulle följa riksdagens uppmaning att Sverige skall ansöka om at</w:t>
      </w:r>
      <w:r w:rsidRPr="001B4EC1">
        <w:t>t få svenska vatten klassade som PSSA, men också gå vidare i Östersjösamarbetet tillsammans med övriga länder runt Östersjön. Miljöministern menade att enda sättet att komma åt de oljetankfartyg som går på farlederna mitt i Östersjön var att Östersjöstaterna arbetade tillsammans och att man nu sagt att man skulle komma att följa denna dubbla linje – att följa riksdagens uppmaning om att ansöka om en klassning av svenska vatten men parallellt arbeta med den gemensamma ansökan.</w:t>
      </w:r>
    </w:p>
    <w:p w:rsidR="00252869" w:rsidRPr="001B4EC1" w:rsidRDefault="00252869">
      <w:pPr>
        <w:pStyle w:val="Normaltindrag"/>
      </w:pPr>
      <w:r w:rsidRPr="001B4EC1">
        <w:t>Den 18 februari 2003 vädjade sv</w:t>
      </w:r>
      <w:r w:rsidRPr="001B4EC1">
        <w:t>enska och finska miljöministrarna i ett gemensamt brev till sina kolleger runt Östersjön och inom EU bl.a. om stöd för en ansökan till IMO om PSSA-klassning. Samma dag fick miljöministern vid Nordiska ministerrådets miljöministermöte ett uttalat stöd från övriga nordiska ministrar.</w:t>
      </w:r>
    </w:p>
    <w:p w:rsidR="00252869" w:rsidRPr="001B4EC1" w:rsidRDefault="00252869">
      <w:pPr>
        <w:pStyle w:val="Normaltindrag"/>
      </w:pPr>
      <w:r w:rsidRPr="001B4EC1">
        <w:t xml:space="preserve">Den 14 mars 2003 framhöll statsrådet Ulrica Messing att Östersjön snarast borde klassas som PSSA. Hon upprepade att om Sverige inte fick med sig övriga Östersjöländer vid Helcoms ministermöte, skulle Sverige gå före och ensidigt </w:t>
      </w:r>
      <w:r w:rsidRPr="001B4EC1">
        <w:t>ansöka om att klassa de egna vattnen som särskilt känsliga.</w:t>
      </w:r>
    </w:p>
    <w:p w:rsidR="00252869" w:rsidRPr="001B4EC1" w:rsidRDefault="00252869">
      <w:pPr>
        <w:pStyle w:val="Normaltindrag"/>
      </w:pPr>
      <w:r w:rsidRPr="001B4EC1">
        <w:t xml:space="preserve"> Vid transportrådets möte i mars 2003 informerade Sverige och övriga Östersjöstater inom EU om Helcoms arbete med en gemensam PSSA-ansökan för Östersjön.</w:t>
      </w:r>
    </w:p>
    <w:p w:rsidR="00252869" w:rsidRPr="001B4EC1" w:rsidRDefault="00252869">
      <w:pPr>
        <w:pStyle w:val="Normaltindrag"/>
      </w:pPr>
      <w:r w:rsidRPr="001B4EC1">
        <w:t>Den 31 mars 2003 avlämnades rapporten Förutsättningarna för att klassa Östersjön som ett särskilt känsligt havsområde. Tre skyddsåtgärder kan enligt rapporten vidtas inom ramen för ett särskilt känsligt havsområde: skärpta utsläppsregler, ruttplanering och rapporteringsplikt samt lotsplikt. Däremot omfattas inte krav på fartygs utformning, konstruktion, utrustning eller b</w:t>
      </w:r>
      <w:r w:rsidRPr="001B4EC1">
        <w:t>e</w:t>
      </w:r>
      <w:r w:rsidRPr="001B4EC1">
        <w:t>manning. En ansökan om att klassa ett havsområde måste alltid åtföljas av förslag på åtföljande gällande eller nya åtgärder. Östersjöländerna arbetade med genomförandet av sexton åtaganden som fastställts i Köpenhamnsdekl</w:t>
      </w:r>
      <w:r w:rsidRPr="001B4EC1">
        <w:t>a</w:t>
      </w:r>
      <w:r w:rsidRPr="001B4EC1">
        <w:t>rationen vid det extraordinära ministermötet inom ramen för Helcom den 10 september 2001. Ett av åtagandena var att till våren 2003 gemensamt ha utrett huruvida Östersjöområdet eller delar av Östersjön skulle klassas som särskilt känsligt havsområde. I övrigt kan nämnas beslut om att förb</w:t>
      </w:r>
      <w:r w:rsidRPr="001B4EC1">
        <w:t>ättra ruttplan</w:t>
      </w:r>
      <w:r w:rsidRPr="001B4EC1">
        <w:t>e</w:t>
      </w:r>
      <w:r w:rsidRPr="001B4EC1">
        <w:t>ring, tillgång till elektroniska sjökort m.m. i Östersjöo</w:t>
      </w:r>
      <w:r w:rsidRPr="001B4EC1">
        <w:t>m</w:t>
      </w:r>
      <w:r w:rsidRPr="001B4EC1">
        <w:t>rådet.</w:t>
      </w:r>
    </w:p>
    <w:p w:rsidR="00252869" w:rsidRPr="001B4EC1" w:rsidRDefault="00252869">
      <w:pPr>
        <w:pStyle w:val="Normaltindrag"/>
      </w:pPr>
      <w:r w:rsidRPr="001B4EC1">
        <w:t>I rapporten hänvisades till att de nio länderna (Finland, Ryssland, Estland, Lettland, Litauen, Polen, Tyskland, Danmark och Sverige) under våren 2003 inom ramen för Helcom skulle besluta huruvida man gemensamt skulle ans</w:t>
      </w:r>
      <w:r w:rsidRPr="001B4EC1">
        <w:t>ö</w:t>
      </w:r>
      <w:r w:rsidRPr="001B4EC1">
        <w:t>ka hos IMO om att klassa hela eller delar av Östersjöområdet som särskilt känsligt havsområde. Såväl IMO-reglerna för att klassa ett havsområde som särskilt känsligt som Europeiska kommissionen uppmanar länder som har gemensa</w:t>
      </w:r>
      <w:r w:rsidRPr="001B4EC1">
        <w:t>m</w:t>
      </w:r>
      <w:r w:rsidRPr="001B4EC1">
        <w:t>ma intressen att samarbeta.</w:t>
      </w:r>
    </w:p>
    <w:p w:rsidR="00252869" w:rsidRPr="001B4EC1" w:rsidRDefault="00252869">
      <w:pPr>
        <w:pStyle w:val="Normaltindrag"/>
      </w:pPr>
      <w:r w:rsidRPr="001B4EC1">
        <w:t>Det var Sjöfartsverkets och övriga myndigheters bedömning i rapporten att hela eller delar av Östersjöområdet skulle kunna uppfylla villkoren för att klassas som särskilt känsligt även om området på inget sätt, varken till storlek eller tillgångar, liknar d</w:t>
      </w:r>
      <w:r w:rsidRPr="001B4EC1">
        <w:t>e fem havsområden som dittills var klassade som särskilt känsliga. En klassning av Östersjöområdet som särskilt känsligt föru</w:t>
      </w:r>
      <w:r w:rsidRPr="001B4EC1">
        <w:t>t</w:t>
      </w:r>
      <w:r w:rsidRPr="001B4EC1">
        <w:t>satte enligt rapporten enighet bland Östersjöstaterna för att nå framgång vid IMO:s behan</w:t>
      </w:r>
      <w:r w:rsidRPr="001B4EC1">
        <w:t>d</w:t>
      </w:r>
      <w:r w:rsidRPr="001B4EC1">
        <w:t>ling.</w:t>
      </w:r>
    </w:p>
    <w:p w:rsidR="00252869" w:rsidRPr="001B4EC1" w:rsidRDefault="00252869">
      <w:pPr>
        <w:pStyle w:val="Normaltindrag"/>
      </w:pPr>
      <w:r w:rsidRPr="001B4EC1">
        <w:t>En enskild ansökan om att klassa svenskt inre vatten, territorialhav och/eller ekonomiska zon som särskilt känsligt havsområde torde enligt rap</w:t>
      </w:r>
      <w:r w:rsidRPr="001B4EC1">
        <w:t>p</w:t>
      </w:r>
      <w:r w:rsidRPr="001B4EC1">
        <w:t>orten stöta på problem eftersom det skulle vara mycket svårt för Sverige att hävda att den svenska delen av Östersjön ur ekologisk, social, kulturell, ek</w:t>
      </w:r>
      <w:r w:rsidRPr="001B4EC1">
        <w:t>o</w:t>
      </w:r>
      <w:r w:rsidRPr="001B4EC1">
        <w:t>nomisk eller vetenskaplig synvinkel behöver mer skydd än det övriga Öste</w:t>
      </w:r>
      <w:r w:rsidRPr="001B4EC1">
        <w:t>r</w:t>
      </w:r>
      <w:r w:rsidRPr="001B4EC1">
        <w:t>sjöområdet. Dessutom konstaterades att merparten av den internationella sjöfarten på svenskt sjöterritorium och/eller ekonomisk zon är genomfartstr</w:t>
      </w:r>
      <w:r w:rsidRPr="001B4EC1">
        <w:t>a</w:t>
      </w:r>
      <w:r w:rsidRPr="001B4EC1">
        <w:t>fik. Oskadlig genomfart garanteras av havsrätten och påverkas inte som en följd av PSSA-klassificering.</w:t>
      </w:r>
    </w:p>
    <w:p w:rsidR="00252869" w:rsidRPr="001B4EC1" w:rsidRDefault="00252869">
      <w:pPr>
        <w:pStyle w:val="Normaltindrag"/>
      </w:pPr>
      <w:r w:rsidRPr="001B4EC1">
        <w:t>Den 10 april 2003 angav statsmin</w:t>
      </w:r>
      <w:r w:rsidRPr="001B4EC1">
        <w:t>ister Göran Persson vid en frågestund i riksdagen att regeringen gjort bedömningen att en PSSA-ansökan skulle göras tillsammans med övriga stater runt Östersjön för att få maximalt genomslag och snabb behandling och att man inte skulle komma fram fortare med en nationell ansökan. Samma dag informerade miljöministerns miljö- och jor</w:t>
      </w:r>
      <w:r w:rsidRPr="001B4EC1">
        <w:t>d</w:t>
      </w:r>
      <w:r w:rsidRPr="001B4EC1">
        <w:t>bruksutskottet om det fortskridande arbetet med att ansöka om PSSA-status för Östersjön.  Miljöministern  förklarade bl.a. att det av tidsmässiga skäl inte hade varit praktiskt m</w:t>
      </w:r>
      <w:r w:rsidRPr="001B4EC1">
        <w:t>öjligt att ha en ansökan med rimlig kvalitet klar redan den 11 april 2003, då tidsfristen för att lämna in en ansökan inför IMO:s miljökommittémöte i juli gick ut.</w:t>
      </w:r>
    </w:p>
    <w:p w:rsidR="00252869" w:rsidRPr="001B4EC1" w:rsidRDefault="00252869">
      <w:pPr>
        <w:pStyle w:val="Normaltindrag"/>
      </w:pPr>
      <w:r w:rsidRPr="001B4EC1">
        <w:t>Den 10 juni lämnade miljöministern förnyad muntlig information till mi</w:t>
      </w:r>
      <w:r w:rsidRPr="001B4EC1">
        <w:t>l</w:t>
      </w:r>
      <w:r w:rsidRPr="001B4EC1">
        <w:t>jö- och jordbruksu</w:t>
      </w:r>
      <w:r w:rsidRPr="001B4EC1">
        <w:t>t</w:t>
      </w:r>
      <w:r w:rsidRPr="001B4EC1">
        <w:t xml:space="preserve">skottet om det pågående arbetet med en PSSA-ansökan. </w:t>
      </w:r>
    </w:p>
    <w:p w:rsidR="00252869" w:rsidRPr="001B4EC1" w:rsidRDefault="00252869">
      <w:pPr>
        <w:pStyle w:val="Normaltindrag"/>
      </w:pPr>
      <w:r w:rsidRPr="001B4EC1">
        <w:t>Ryssland motsatte sig att frågan skulle tas upp på Östersjöstaternas råd den 10–11 juni 2003. Vid debatten underströk dock statssekreteraren Annika Söder att PSSA-status borde gälla i hela Östersjön så att risken för skador av oljeu</w:t>
      </w:r>
      <w:r w:rsidRPr="001B4EC1">
        <w:t>t</w:t>
      </w:r>
      <w:r w:rsidRPr="001B4EC1">
        <w:t xml:space="preserve">släpp skulle kunna minskas för alla kuststater. </w:t>
      </w:r>
    </w:p>
    <w:p w:rsidR="00252869" w:rsidRPr="001B4EC1" w:rsidRDefault="00252869">
      <w:pPr>
        <w:pStyle w:val="Normaltindrag"/>
      </w:pPr>
      <w:r w:rsidRPr="001B4EC1">
        <w:t>Inför Europeiska rådets möte den 19–20 juni skrev statsministrarna i Sv</w:t>
      </w:r>
      <w:r w:rsidRPr="001B4EC1">
        <w:t>e</w:t>
      </w:r>
      <w:r w:rsidRPr="001B4EC1">
        <w:t>rige, Danmark, Finland, Estland, Lettland och Litauen till dåvarande ordf</w:t>
      </w:r>
      <w:r w:rsidRPr="001B4EC1">
        <w:t>ö</w:t>
      </w:r>
      <w:r w:rsidRPr="001B4EC1">
        <w:t>randen i EU:s ministerråd samt till EU-kommissionens ordförande och up</w:t>
      </w:r>
      <w:r w:rsidRPr="001B4EC1">
        <w:t>p</w:t>
      </w:r>
      <w:r w:rsidRPr="001B4EC1">
        <w:t>märksammade behovet av åtgärder på sjösäkerhetsområdet. Bland annat vädjade statsministrarna om stöd från EU-länderna i arbetet med att ansöka hos IMO om PSSA-status för Östersjön inklusive senare förslag till skyddså</w:t>
      </w:r>
      <w:r w:rsidRPr="001B4EC1">
        <w:t>t</w:t>
      </w:r>
      <w:r w:rsidRPr="001B4EC1">
        <w:t>gärder.</w:t>
      </w:r>
    </w:p>
    <w:p w:rsidR="00252869" w:rsidRPr="001B4EC1" w:rsidRDefault="00252869">
      <w:pPr>
        <w:pStyle w:val="Normaltindrag"/>
      </w:pPr>
      <w:r w:rsidRPr="001B4EC1">
        <w:t>Den 18 juni 2003 uppvaktades Rysslands vice utrikesminister av Sveriges ambassadör i Moskva i frågan.</w:t>
      </w:r>
    </w:p>
    <w:p w:rsidR="00252869" w:rsidRPr="001B4EC1" w:rsidRDefault="00252869">
      <w:pPr>
        <w:pStyle w:val="Normaltindrag"/>
      </w:pPr>
      <w:r w:rsidRPr="001B4EC1">
        <w:t>Den 25 juni 2003 hölls Helcoms ministermöte i Bremen. Ryssland mo</w:t>
      </w:r>
      <w:r w:rsidRPr="001B4EC1">
        <w:t>t</w:t>
      </w:r>
      <w:r w:rsidRPr="001B4EC1">
        <w:t>satte sig en gemensam PSSA-klassning. Sverige och Finland inbjöd alla i</w:t>
      </w:r>
      <w:r w:rsidRPr="001B4EC1">
        <w:t>n</w:t>
      </w:r>
      <w:r w:rsidRPr="001B4EC1">
        <w:t xml:space="preserve">tresserade parter att fortsätta arbetet med en ansökan. </w:t>
      </w:r>
    </w:p>
    <w:p w:rsidR="00252869" w:rsidRPr="001B4EC1" w:rsidRDefault="00252869">
      <w:pPr>
        <w:pStyle w:val="Normaltindrag"/>
      </w:pPr>
      <w:r w:rsidRPr="001B4EC1">
        <w:t>Vid ett informellt nordiskt-baltiskt transportministermöte den 10 septe</w:t>
      </w:r>
      <w:r w:rsidRPr="001B4EC1">
        <w:t>m</w:t>
      </w:r>
      <w:r w:rsidRPr="001B4EC1">
        <w:t>ber 2003 enades de åtta staternas ministrar om ett handlingsprogram på sjös</w:t>
      </w:r>
      <w:r w:rsidRPr="001B4EC1">
        <w:t>ä</w:t>
      </w:r>
      <w:r w:rsidRPr="001B4EC1">
        <w:t>kerhetsområdet, enligt vilket man bl.a. åtog sig att inför IMO:s miljökommi</w:t>
      </w:r>
      <w:r w:rsidRPr="001B4EC1">
        <w:t>t</w:t>
      </w:r>
      <w:r w:rsidRPr="001B4EC1">
        <w:t xml:space="preserve">témöte i mars 2004 ansöka om att få Östersjön klassat som PSSA. Den 11–12 september 2003 stod Sverige värd för ett första expertarbetsmöte i Stockholm i syfte att utarbeta en ansökan. Ryssland deklarerade vid mötet att man avstod från fortsatt medverkan. Frågan togs upp den 2 oktober 2003 i ett möte mellan Jan O. Karlsson och Rysslands utrikesminister Igor </w:t>
      </w:r>
      <w:r w:rsidRPr="001B4EC1">
        <w:t>Ivanov. Den 6–7 oktober hölls ett andra expertmöte med samtliga Östersjöländer utom Ryssland i syfte att fortsätta utarbetandet av ansökan.</w:t>
      </w:r>
    </w:p>
    <w:p w:rsidR="00252869" w:rsidRPr="001B4EC1" w:rsidRDefault="00252869">
      <w:pPr>
        <w:pStyle w:val="Normaltindrag"/>
      </w:pPr>
      <w:r w:rsidRPr="001B4EC1">
        <w:t>I budgetpropositionen för år 2004 redovisades situationen när det gäller Östersjöns status (prop. 2003/04:1). Sjöfartsverket hade fått i uppdrag att leda det fortsatta arbetet och samordna en gemensam ansökan till IMO från intre</w:t>
      </w:r>
      <w:r w:rsidRPr="001B4EC1">
        <w:t>s</w:t>
      </w:r>
      <w:r w:rsidRPr="001B4EC1">
        <w:t xml:space="preserve">serade Östersjöstater. Eftersom Östersjöländerna under hösten inte lyckats enas kring en gemensam ansökan hade regeringen för avsikt att gå vidare med en nationell ansökan. Regeringen ansåg att det var angeläget att åtgärder för att skydda Östersjön skulle komma till stånd inom en snar framtid. </w:t>
      </w:r>
    </w:p>
    <w:p w:rsidR="00252869" w:rsidRPr="001B4EC1" w:rsidRDefault="00252869">
      <w:pPr>
        <w:pStyle w:val="Normaltindrag"/>
      </w:pPr>
      <w:r w:rsidRPr="001B4EC1">
        <w:t>Den 19 december 2003 inlämnades till Internationella sjöfartsorganisati</w:t>
      </w:r>
      <w:r w:rsidRPr="001B4EC1">
        <w:t>o</w:t>
      </w:r>
      <w:r w:rsidRPr="001B4EC1">
        <w:t>nen (IMO) en gemensam ansökan av Danmark, Estland, Finland, Tyskland, Lettland, Litauen, Polen och Sverige om att få Östersjön – utom ryska vatten –  klassad som ett särskilt känsligt område. Den 2 april 2004 beslutade IMO att klassa Östersjön som särskilt känsligt vattenområde.</w:t>
      </w:r>
    </w:p>
    <w:p w:rsidR="00252869" w:rsidRPr="001B4EC1" w:rsidRDefault="00252869">
      <w:pPr>
        <w:pStyle w:val="Rubrik3"/>
        <w:spacing w:before="235"/>
        <w:rPr>
          <w:noProof w:val="0"/>
        </w:rPr>
      </w:pPr>
      <w:bookmarkStart w:id="15" w:name="_Toc72648446"/>
      <w:r w:rsidRPr="001B4EC1">
        <w:rPr>
          <w:noProof w:val="0"/>
        </w:rPr>
        <w:t>Promemorior från Miljödepartementet</w:t>
      </w:r>
      <w:bookmarkEnd w:id="15"/>
    </w:p>
    <w:p w:rsidR="00252869" w:rsidRPr="001B4EC1" w:rsidRDefault="00252869">
      <w:pPr>
        <w:rPr>
          <w:i/>
        </w:rPr>
      </w:pPr>
      <w:r w:rsidRPr="001B4EC1">
        <w:t xml:space="preserve">Från Regeringskansliets sida  har på utskottets begäran lämnats synpunkter på granskningsanmälan. Synpunkterna framförs i en promemoria upprättad inom Miljödepartementet, </w:t>
      </w:r>
      <w:r w:rsidRPr="001B4EC1">
        <w:rPr>
          <w:i/>
        </w:rPr>
        <w:t>bilaga A1.1.2,</w:t>
      </w:r>
      <w:r w:rsidRPr="001B4EC1">
        <w:t xml:space="preserve"> som även innehåller i tidigare avsnitt redovisad beskrivning av innebörden av PSSA-klassning samt uppgifter om vidtagna åtgärder på området. I en annan promemoria har Miljödepartementet lämnat svar på vissa frågor från konstitutionsutskottet, </w:t>
      </w:r>
      <w:r w:rsidRPr="001B4EC1">
        <w:rPr>
          <w:i/>
        </w:rPr>
        <w:t>bilaga A1.1.3.</w:t>
      </w:r>
    </w:p>
    <w:p w:rsidR="00252869" w:rsidRPr="001B4EC1" w:rsidRDefault="00252869">
      <w:pPr>
        <w:pStyle w:val="Normaltindrag"/>
      </w:pPr>
      <w:r w:rsidRPr="001B4EC1">
        <w:t>I den förstnämnda promemorian hänvisas till miljö- och jordbruksutsko</w:t>
      </w:r>
      <w:r w:rsidRPr="001B4EC1">
        <w:t>t</w:t>
      </w:r>
      <w:r w:rsidRPr="001B4EC1">
        <w:t>tets tillkännagivande till regeringen om att ”regeringen så snart som möjligt hos IMO ansöker om att svenskt vatten i Östersjön skall få status som särskilt känsligt havsområde. Vidare bör regeringen ytterligare påskynda arbetet inom Helcom för att även övriga länder i Östersjöregionen skall få sina vatten klassade som särskilt känsliga havsområden.”</w:t>
      </w:r>
    </w:p>
    <w:p w:rsidR="00252869" w:rsidRPr="001B4EC1" w:rsidRDefault="00252869">
      <w:pPr>
        <w:pStyle w:val="Normaltindrag"/>
      </w:pPr>
      <w:r w:rsidRPr="001B4EC1">
        <w:t>Enligt promemorian konstaterar utskottet visserligen i sitt betänkande att det senare inte behöver innebära att Sverige avstår från möjligheten att gå före me</w:t>
      </w:r>
      <w:r w:rsidRPr="001B4EC1">
        <w:t>d en nationell ansökan. Enligt Regeringskansliets mening ger skrivningen dock utrymme för att arbeta med båda målsättningarna parallellt, då det ena inte uteslutet det andra. Regeringen har under hela år 2003 haft riksdagens tillkännagivande som utgångspunkt i PSSA-arbetet och arbetet har bedrivits efter två parallella huvudlinjer. Mest önskvärt – både för riksdagen och r</w:t>
      </w:r>
      <w:r w:rsidRPr="001B4EC1">
        <w:t>e</w:t>
      </w:r>
      <w:r w:rsidRPr="001B4EC1">
        <w:t>geringen – hade varit en gemensam PSSA-ansökan tillsammans med övriga Östersjöländer. Samtidigt gjordes förberedelser för att kunna gå in</w:t>
      </w:r>
      <w:r w:rsidRPr="001B4EC1">
        <w:t xml:space="preserve"> med en nationell ansökan, om en gemensam ansökan skulle visa sig inte vara mö</w:t>
      </w:r>
      <w:r w:rsidRPr="001B4EC1">
        <w:t>j</w:t>
      </w:r>
      <w:r w:rsidRPr="001B4EC1">
        <w:t>lig.</w:t>
      </w:r>
    </w:p>
    <w:p w:rsidR="00252869" w:rsidRPr="001B4EC1" w:rsidRDefault="00252869">
      <w:pPr>
        <w:pStyle w:val="Normaltindrag"/>
      </w:pPr>
      <w:r w:rsidRPr="001B4EC1">
        <w:t>Det fanns enligt promemorian två huvudsakliga skäl till att en nationell PSSA-ansökan inte lämnades in före utgången av den tidsfrist (den 11 april) som gällde för ansökan till IMO:s miljökommittémöte i juli 2003. Det ena var att det inte fanns tid att utarbeta en ansökan till dess. Det andra var att arbetet med en gemensam ansökan från Östersjöländerna om att klassa hela Östersjön som PSSA var på väg att slutföras inom Helc</w:t>
      </w:r>
      <w:r w:rsidRPr="001B4EC1">
        <w:t xml:space="preserve">om. Eftersom det av tidsmässiga skäl inte bedömdes vara möjligt att lämna in en ansökan förrän till IMO:s miljökommittémöte i mars 2004, vars tidsfrist gick ut i slutet av december, fanns det inget att förlora på att ha beredskap för både en gemensam och en nationell ansökan parallellt. Regeringens ambition har hela tiden varit att Sverige skulle lämna in en ansökan till IMO så snart som möjligt, nationellt eller gemensamt med övriga Östersjöländer. Begreppet ”så snart som möjligt” har dock tolkats som att </w:t>
      </w:r>
      <w:r w:rsidRPr="001B4EC1">
        <w:t>tillräckligt med tid borde medges för att en ansökan skulle hålla en rimlig kvalitet och vara komplett i förhållande till de krav som IMO ställer på en ansökan. Tidsaspekten måste balanseras mot behovet av kvalitet så att det inte fanns en risk för att ansökan föll.  Att tidsgränsen löpte ut den 11 april 2003 stod inte klart från början. När uppdraget till Sjöfartsve</w:t>
      </w:r>
      <w:r w:rsidRPr="001B4EC1">
        <w:t>r</w:t>
      </w:r>
      <w:r w:rsidRPr="001B4EC1">
        <w:t>ket  lämnades den 19 december 2002 gjordes det med sikte på att Helcoms process med att utarbeta en gemensam ansökan skulle fullföljas fram ti</w:t>
      </w:r>
      <w:r w:rsidRPr="001B4EC1">
        <w:t xml:space="preserve">ll Helcoms ministermöte i juni 2003, men Sjöfartsverket skulle även ta fram underlag för en svensk ansökan om Helcomprocessen misslyckades. </w:t>
      </w:r>
    </w:p>
    <w:p w:rsidR="00252869" w:rsidRPr="001B4EC1" w:rsidRDefault="00252869">
      <w:pPr>
        <w:pStyle w:val="Normaltindrag"/>
      </w:pPr>
      <w:r w:rsidRPr="001B4EC1">
        <w:t>Enligt promemorian var det vid tidpunkten för riksdagens tillkännagivande oklart när tidsfristen för en ansökan till IMO:s nästkommande miljökommi</w:t>
      </w:r>
      <w:r w:rsidRPr="001B4EC1">
        <w:t>t</w:t>
      </w:r>
      <w:r w:rsidRPr="001B4EC1">
        <w:t>témöte gick ut och hur omfattande en ansökan måste vara. Riksdagsbeslutet ledde till att man från Regeringskansliets sida började med att ta reda på när ansökan senast måste lämnas in, vilket underlag som krävdes för att utarbeta en ansökan  och bedöma hur realistiskt det var att med givna resurser hinna få fram en ansökan med tillräckligt hög kvalitet i tid. Den 25 februari 2003 enades företrädare för de två berörda departementen – Närings- och Miljöd</w:t>
      </w:r>
      <w:r w:rsidRPr="001B4EC1">
        <w:t>e</w:t>
      </w:r>
      <w:r w:rsidRPr="001B4EC1">
        <w:t>partementen – om att man skulle kontakta respektive my</w:t>
      </w:r>
      <w:r w:rsidRPr="001B4EC1">
        <w:t>ndigheter som ansv</w:t>
      </w:r>
      <w:r w:rsidRPr="001B4EC1">
        <w:t>a</w:t>
      </w:r>
      <w:r w:rsidRPr="001B4EC1">
        <w:t>rade för PSSA-arbetet, nämligen Sjöfartsverket och Naturvårdsverket och betona att arbetet med att ta fram underlag skulle vara inriktat på två para</w:t>
      </w:r>
      <w:r w:rsidRPr="001B4EC1">
        <w:t>l</w:t>
      </w:r>
      <w:r w:rsidRPr="001B4EC1">
        <w:t>lella spår – nationell respektive gemensam ansökan – så att det skulle finnas en möjlighet att agera skyndsamt när Sj</w:t>
      </w:r>
      <w:r w:rsidRPr="001B4EC1">
        <w:t>ö</w:t>
      </w:r>
      <w:r w:rsidRPr="001B4EC1">
        <w:t>fartsverkets analys lämnades.</w:t>
      </w:r>
    </w:p>
    <w:p w:rsidR="00252869" w:rsidRPr="001B4EC1" w:rsidRDefault="00252869">
      <w:pPr>
        <w:pStyle w:val="Normaltindrag"/>
      </w:pPr>
      <w:r w:rsidRPr="001B4EC1">
        <w:t>Den 5 mars 2003 kom signalen att EU-kommissionen övervägde initiativ till en gemensam PSSA-ansökan för allt EU-vatten, vilket då sågs som en intressant möjlighet att gå skyndsamt fram. Kommissione</w:t>
      </w:r>
      <w:r w:rsidRPr="001B4EC1">
        <w:t>n tog dock aldrig något sådant initiativ.</w:t>
      </w:r>
    </w:p>
    <w:p w:rsidR="00252869" w:rsidRPr="001B4EC1" w:rsidRDefault="00252869">
      <w:pPr>
        <w:pStyle w:val="Normaltindrag"/>
      </w:pPr>
      <w:r w:rsidRPr="001B4EC1">
        <w:t>I syfte att tydliggöra den politiska vikten av att skyndsamt utarbeta ett u</w:t>
      </w:r>
      <w:r w:rsidRPr="001B4EC1">
        <w:t>n</w:t>
      </w:r>
      <w:r w:rsidRPr="001B4EC1">
        <w:t>derlag som krävdes för ansökan och att tillräckliga resurser avdelades för arbetet kallades generaldirektörerna för Sjöfartsverket och Naturvårdsverket till ett möte med departementstjänstemän den 12 mars 2003. Från Sjöfart</w:t>
      </w:r>
      <w:r w:rsidRPr="001B4EC1">
        <w:t>s</w:t>
      </w:r>
      <w:r w:rsidRPr="001B4EC1">
        <w:t>verkets sida klargjordes att för att kunna ha en ansökan klar den 11 april 2003 behövdes ett underlag som sedan måste övervägas ur olika aspekter, därefter behövdes kontakter med berörda grannländer och först därefter kunde ans</w:t>
      </w:r>
      <w:r w:rsidRPr="001B4EC1">
        <w:t>ö</w:t>
      </w:r>
      <w:r w:rsidRPr="001B4EC1">
        <w:t>kan lämnas till IMO. Sjöfartsverkets uppfattning var att ma</w:t>
      </w:r>
      <w:r w:rsidRPr="001B4EC1">
        <w:t>n inte skulle uppnå något med att skydda bara svenska vatten och verket betonade vikten av att få med alla Östersjöländer om man ville uppnå ett ökat skydd av Östersjön.</w:t>
      </w:r>
    </w:p>
    <w:p w:rsidR="00252869" w:rsidRPr="001B4EC1" w:rsidRDefault="00252869">
      <w:pPr>
        <w:pStyle w:val="Normaltindrag"/>
      </w:pPr>
      <w:r w:rsidRPr="001B4EC1">
        <w:t>Inför transportministermötet den 27 mars 2003 gjordes bedömningen att Sverige inte kunde ansluta sig till den ansökan från fem västeuropeiska länder som aviserats eftersom Sveriges vatten inte hänger ihop med de övrigas. Däremot borde ett eget initiativ eller ett initiativ tillsammans med Finland övervägas. Det stod dock klart att Sverige i</w:t>
      </w:r>
      <w:r w:rsidRPr="001B4EC1">
        <w:t>nte skulle hinna ta fram en sådan ansökan till den 11 april 2003. Sverige skulle dessutom riskera att skada relationerna till grannländerna om man plötsligt flaggade för en snabb ensidig ansökan i stället för att gå fram tillsammans med övriga Helcomländer enligt åtaganden som gjorts i Köpenhamnsdelegationen och det efterföljade arbetet inom Helcom. Den korta tid som återstod för att lämna in en ansökan bedö</w:t>
      </w:r>
      <w:r w:rsidRPr="001B4EC1">
        <w:t>m</w:t>
      </w:r>
      <w:r w:rsidRPr="001B4EC1">
        <w:t>des inte vara tillräcklig för att föra underhandsdiskussioner och få med andra länder i en påskyndad</w:t>
      </w:r>
      <w:r w:rsidRPr="001B4EC1">
        <w:t xml:space="preserve"> ansökan.  </w:t>
      </w:r>
    </w:p>
    <w:p w:rsidR="00252869" w:rsidRPr="001B4EC1" w:rsidRDefault="00252869">
      <w:pPr>
        <w:pStyle w:val="Normaltindrag"/>
      </w:pPr>
      <w:r w:rsidRPr="001B4EC1">
        <w:t>Regeringen bedömde att ett gemensamt agerande med övriga Östersjölä</w:t>
      </w:r>
      <w:r w:rsidRPr="001B4EC1">
        <w:t>n</w:t>
      </w:r>
      <w:r w:rsidRPr="001B4EC1">
        <w:t>der var önskvärt. Inte minst viktigt var att få med sig Ryssland, eftersom det var de ökande oljetransporterna från Ryssland som utgjorde det största hotet. Om Sverige genom en nationell ansökan skulle föregå åtagandet i Helcom om att man gemensamt skulle se över möjligheten att klassa Östersjön som PSSA fanns det en risk att tappa andra länders engagemang för den gemensamma saken. Genom att agera gemensamt visade Sverige solidaritet med övriga berörda länder. Genom att Sverige tillträtt Helsingforskonvent</w:t>
      </w:r>
      <w:r w:rsidRPr="001B4EC1">
        <w:t>ionen hade Sverige åtagit sig att samverka med övriga parter till skydd för Östersjöns miljö. Om Sverige ensidigt skulle ha gått in med en ansökan till IMO para</w:t>
      </w:r>
      <w:r w:rsidRPr="001B4EC1">
        <w:t>l</w:t>
      </w:r>
      <w:r w:rsidRPr="001B4EC1">
        <w:t>lellt med den pågående Helcomprocessen hade Sverige riskerat att förlora i trovärdighet och skada det fortsatta samarbetet med grannländerna även i andra frågor. Härtill kom att det i IMO:s riktlinjer för ansökan uttryckligen angavs att om två eller fler länder har gemensamma intressen skall de form</w:t>
      </w:r>
      <w:r w:rsidRPr="001B4EC1">
        <w:t>u</w:t>
      </w:r>
      <w:r w:rsidRPr="001B4EC1">
        <w:t>lera en gemensam ansökan.</w:t>
      </w:r>
    </w:p>
    <w:p w:rsidR="00252869" w:rsidRPr="001B4EC1" w:rsidRDefault="00252869">
      <w:pPr>
        <w:pStyle w:val="Normaltindrag"/>
      </w:pPr>
      <w:r w:rsidRPr="001B4EC1">
        <w:t xml:space="preserve">Om Sverige inkommit med </w:t>
      </w:r>
      <w:r w:rsidRPr="001B4EC1">
        <w:t>en enskild ansökan hade det enligt promemor</w:t>
      </w:r>
      <w:r w:rsidRPr="001B4EC1">
        <w:t>i</w:t>
      </w:r>
      <w:r w:rsidRPr="001B4EC1">
        <w:t>an varit mycket svårt för Sverige att hävda att den svenska delen av Östersjön ur ekologisk, social, kulturell, ekonomisk eller vetenskaplig synvinkel beh</w:t>
      </w:r>
      <w:r w:rsidRPr="001B4EC1">
        <w:t>ö</w:t>
      </w:r>
      <w:r w:rsidRPr="001B4EC1">
        <w:t>ver mer skydd än det övriga Östersjöområdet. Om flertalet länder inom He</w:t>
      </w:r>
      <w:r w:rsidRPr="001B4EC1">
        <w:t>l</w:t>
      </w:r>
      <w:r w:rsidRPr="001B4EC1">
        <w:t>com motsatt  sig eller varit tveksamma till en sådan ansökan skulle det ha minskat möjligheterna att få ansökan godkänd. Det var inte omöjligt att IMO skulle ha skjutit fram behandlingen av den svenska ansökan till dess att den geme</w:t>
      </w:r>
      <w:r w:rsidRPr="001B4EC1">
        <w:t>n</w:t>
      </w:r>
      <w:r w:rsidRPr="001B4EC1">
        <w:t>samma a</w:t>
      </w:r>
      <w:r w:rsidRPr="001B4EC1">
        <w:t>nsökan inkommit. Även om svenska vatten fått PSSA-klassning kunde Sverige inte ensamt besluta om skyddsåtgärder i den ekon</w:t>
      </w:r>
      <w:r w:rsidRPr="001B4EC1">
        <w:t>o</w:t>
      </w:r>
      <w:r w:rsidRPr="001B4EC1">
        <w:t>miska z</w:t>
      </w:r>
      <w:r w:rsidRPr="001B4EC1">
        <w:t>o</w:t>
      </w:r>
      <w:r w:rsidRPr="001B4EC1">
        <w:t>nen. Sådana åtgärder måste beslutas av IMO.</w:t>
      </w:r>
    </w:p>
    <w:p w:rsidR="00252869" w:rsidRPr="001B4EC1" w:rsidRDefault="00252869">
      <w:pPr>
        <w:pStyle w:val="Normaltindrag"/>
      </w:pPr>
      <w:r w:rsidRPr="001B4EC1">
        <w:t>Även om stora ansträngningar gjordes för att få till stånd en gemensam PSSA-ansökan fanns det hela tiden en beredskap för och en möjlighet att gå in med en nationell ansökan om Helcomländerna inte skulle enas.</w:t>
      </w:r>
    </w:p>
    <w:p w:rsidR="00252869" w:rsidRPr="001B4EC1" w:rsidRDefault="00252869">
      <w:pPr>
        <w:pStyle w:val="Normaltindrag"/>
      </w:pPr>
      <w:r w:rsidRPr="001B4EC1">
        <w:t>Enligt promemorian gjordes det i ett tidigt skede bedömningen att det av tidsmässiga skäl inte var möjligt att utarbeta en ansökan till den 11 april 2003 och arbetet kunde därför inriktas på att ha beredskap för både en gemensam och en nationell ansökan, utan att det ena alternativet riskerade att förhala det andra.</w:t>
      </w:r>
    </w:p>
    <w:p w:rsidR="00252869" w:rsidRPr="001B4EC1" w:rsidRDefault="00252869">
      <w:pPr>
        <w:pStyle w:val="Normaltindrag"/>
      </w:pPr>
      <w:r w:rsidRPr="001B4EC1">
        <w:t>Enligt regeringens uppdrag skulle Sjöfartsverkets analys lämnas senast den 31 mars 2003. Bedömningen gjordes att det inte var rimligt att låta Sjöfart</w:t>
      </w:r>
      <w:r w:rsidRPr="001B4EC1">
        <w:t>s</w:t>
      </w:r>
      <w:r w:rsidRPr="001B4EC1">
        <w:t>verket göra sina analyser och bedömningar på kortare tid då det riskerade att leda till ett sämre underlag. Dagarna före EU:s transportministerråd den 27 mars 2003 gjordes den slutliga bedömningen att det mellan tidpunkten för Sjöfartsverkets redovisning och tidsfristen för att lämna in en ansökan till IMO inte fanns tillräckligt med tid för att det skulle vara praktiskt möjligt att hinna utarbeta en ansökan.</w:t>
      </w:r>
    </w:p>
    <w:p w:rsidR="00252869" w:rsidRPr="001B4EC1" w:rsidRDefault="00252869">
      <w:pPr>
        <w:pStyle w:val="Rubrik4"/>
        <w:rPr>
          <w:noProof w:val="0"/>
        </w:rPr>
      </w:pPr>
      <w:bookmarkStart w:id="16" w:name="_Toc72648447"/>
      <w:r w:rsidRPr="001B4EC1">
        <w:rPr>
          <w:noProof w:val="0"/>
        </w:rPr>
        <w:t>Utfrågning med miljöminister Lena Sommestad</w:t>
      </w:r>
      <w:bookmarkEnd w:id="16"/>
    </w:p>
    <w:p w:rsidR="00252869" w:rsidRPr="001B4EC1" w:rsidRDefault="00252869">
      <w:r w:rsidRPr="001B4EC1">
        <w:t>Utskottet har den 25 mars 2004 hållit en offentlig utfrågning med miljöm</w:t>
      </w:r>
      <w:r w:rsidRPr="001B4EC1">
        <w:t>i</w:t>
      </w:r>
      <w:r w:rsidRPr="001B4EC1">
        <w:t xml:space="preserve">nister Lena Sommestad, </w:t>
      </w:r>
      <w:r w:rsidRPr="001B4EC1">
        <w:rPr>
          <w:i/>
        </w:rPr>
        <w:t>bilaga B3</w:t>
      </w:r>
      <w:r w:rsidRPr="001B4EC1">
        <w:t>. Miljöministern underströk att arbetet med havsmiljöfrågor har mycket hög prioritet inom regeringen. Redan hösten 2001 enades samtliga Helcomländer om att till år 2003 utreda möjligheten att kla</w:t>
      </w:r>
      <w:r w:rsidRPr="001B4EC1">
        <w:t>s</w:t>
      </w:r>
      <w:r w:rsidRPr="001B4EC1">
        <w:t>sa Östersjön som särskilt skyddat havsområde, PSSA. Sverige drev på arbetet ytterligare efter den tragiska olyckan med Prestige hösten 2002. Riksdagens önskemål den 29 januari 2003 är detsamma som regeringens övergripande målsättning – att öka skyddet för Östersjöns miljö. Regeringe</w:t>
      </w:r>
      <w:r w:rsidRPr="001B4EC1">
        <w:t>ns utgångspunkt har hela tiden varit att tillgodose riksdagens önskemål på bästa sätt. Förutsät</w:t>
      </w:r>
      <w:r w:rsidRPr="001B4EC1">
        <w:t>t</w:t>
      </w:r>
      <w:r w:rsidRPr="001B4EC1">
        <w:t xml:space="preserve">ningarna för att gå före med en ansökan att klassa svenska vatten som PSSA utreddes noga. </w:t>
      </w:r>
    </w:p>
    <w:p w:rsidR="00252869" w:rsidRPr="001B4EC1" w:rsidRDefault="00252869">
      <w:pPr>
        <w:pStyle w:val="Normaltindrag"/>
      </w:pPr>
      <w:r w:rsidRPr="001B4EC1">
        <w:t>Ett nödvändigt underlag för en ansökan var det uppdrag som Sjöfartsverket hade att tillsammans med berörda myndigheter utreda förutsättningarna för en PSSA-klassning. Sjöfartsverket hade redan i december fått uppdraget att förbereda möjligheterna både för ett gemensamt agerande och för ett enskilt agerande. Sjöfartsverket h</w:t>
      </w:r>
      <w:r w:rsidRPr="001B4EC1">
        <w:t>ade inte haft uppdraget att färdigställa en ansökan till den 11 april. Men när tillkännagivandet från riksdagen hade kommit för</w:t>
      </w:r>
      <w:r w:rsidRPr="001B4EC1">
        <w:t>e</w:t>
      </w:r>
      <w:r w:rsidRPr="001B4EC1">
        <w:t>kom vid två tillfällen samtal med de generaldirektörer som var ansvariga för uppdraget för att klargöra att det fanns ett tydligt önskemål från riksdagen om att ha en enskild svensk ansökan så snart som möjligt. De berörda generald</w:t>
      </w:r>
      <w:r w:rsidRPr="001B4EC1">
        <w:t>i</w:t>
      </w:r>
      <w:r w:rsidRPr="001B4EC1">
        <w:t>rektörerna uppmanades att påskynda analysarbetet efter riksdagens tillkänn</w:t>
      </w:r>
      <w:r w:rsidRPr="001B4EC1">
        <w:t>a</w:t>
      </w:r>
      <w:r w:rsidRPr="001B4EC1">
        <w:t xml:space="preserve">givande. Myndigheternas bedömning var att det inte var praktiskt möjligt att </w:t>
      </w:r>
      <w:r w:rsidRPr="001B4EC1">
        <w:t>hinna utarbeta en ansökan till den 11 april. En ansökan behövde hålla en tillräckligt god kvalitet för att nå framgång i IMO, och berörda grannländer måste konsulteras. Regeringen fann inga skäl att göra någon annan bedö</w:t>
      </w:r>
      <w:r w:rsidRPr="001B4EC1">
        <w:t>m</w:t>
      </w:r>
      <w:r w:rsidRPr="001B4EC1">
        <w:t>ning. Vid bedömningen av möjligheten att lämna in en svensk ansökan til</w:t>
      </w:r>
      <w:r w:rsidRPr="001B4EC1">
        <w:t>l</w:t>
      </w:r>
      <w:r w:rsidRPr="001B4EC1">
        <w:t>kom ytterligare aspekter. Regeringen hade under lång tid ägnat stor kraft åt att förmå övriga länder att sluta upp bakom en gemensam ansökan. Att gå före med en svensk ansökan i ett läge då det fanns en stark uppslutnin</w:t>
      </w:r>
      <w:r w:rsidRPr="001B4EC1">
        <w:t>g från sam</w:t>
      </w:r>
      <w:r w:rsidRPr="001B4EC1">
        <w:t>t</w:t>
      </w:r>
      <w:r w:rsidRPr="001B4EC1">
        <w:t>liga Östersjöländer att arbeta med en gemensam ansökan hade riskerat att motverka möjligheterna att nå riksdagens övergripande mål om att hela Öste</w:t>
      </w:r>
      <w:r w:rsidRPr="001B4EC1">
        <w:t>r</w:t>
      </w:r>
      <w:r w:rsidRPr="001B4EC1">
        <w:t>sjön skulle klassas som PSSA.</w:t>
      </w:r>
    </w:p>
    <w:p w:rsidR="00252869" w:rsidRPr="001B4EC1" w:rsidRDefault="00252869">
      <w:pPr>
        <w:pStyle w:val="Normaltindrag"/>
      </w:pPr>
      <w:r w:rsidRPr="001B4EC1">
        <w:t>Regeringen gjorde sammantaget bedömningen att det inte var möjligt och inte heller lämpligt eller meningsfullt att i det läge som rådde gå före med en egen ansökan. Regeringens uppfattning är dock att en ansökan har lämnats inom en rimlig tid eftersom riksdagen inte har angivit någon annan tidsram än så snart som möjligt.</w:t>
      </w:r>
      <w:r w:rsidRPr="001B4EC1">
        <w:t xml:space="preserve"> Regeringen har gjort allt för att tillgodose riksdagens önskemål. Ställningstagandena byggde på noggranna överväganden av vad som var möjligt och vad som var framgångsrikt med den övergripande må</w:t>
      </w:r>
      <w:r w:rsidRPr="001B4EC1">
        <w:t>l</w:t>
      </w:r>
      <w:r w:rsidRPr="001B4EC1">
        <w:t xml:space="preserve">sättningen att skydda Östersjöns miljö på bästa sätt. </w:t>
      </w:r>
    </w:p>
    <w:p w:rsidR="00252869" w:rsidRPr="001B4EC1" w:rsidRDefault="00252869">
      <w:pPr>
        <w:pStyle w:val="Normaltindrag"/>
      </w:pPr>
      <w:r w:rsidRPr="001B4EC1">
        <w:t>Miljöministern var väl medveten om att riksdagen tydligt sade att den gä</w:t>
      </w:r>
      <w:r w:rsidRPr="001B4EC1">
        <w:t>r</w:t>
      </w:r>
      <w:r w:rsidRPr="001B4EC1">
        <w:t>na såg att man gick före med det svenska spåret om man inte ansåg att det gemensamma spåret skulle försinka arbetet och att man skulle avstå från en svensk ansökan till förmån för en gemensam. Det var dock enligt miljöm</w:t>
      </w:r>
      <w:r w:rsidRPr="001B4EC1">
        <w:t>i</w:t>
      </w:r>
      <w:r w:rsidRPr="001B4EC1">
        <w:t>nistern inte möjligt att först göra den svenska ansökan och därefter intensifi</w:t>
      </w:r>
      <w:r w:rsidRPr="001B4EC1">
        <w:t>e</w:t>
      </w:r>
      <w:r w:rsidRPr="001B4EC1">
        <w:t>ra arbetet i Helcom. Arbetet i Helcom hade sin egen tidsplan. Det var ett ganska unikt tillfälle i juni 2003 då ministermötet skulle hållas i Helcom och frågan om PSSA skulle komma upp. Som ansvarig miljöminister</w:t>
      </w:r>
      <w:r w:rsidRPr="001B4EC1">
        <w:t xml:space="preserve"> för förhan</w:t>
      </w:r>
      <w:r w:rsidRPr="001B4EC1">
        <w:t>d</w:t>
      </w:r>
      <w:r w:rsidRPr="001B4EC1">
        <w:t xml:space="preserve">lingarna i Helcom kunde hon inte gärna välja bort att intensifiera arbetet med en gemensam ansökan under våren 2003 i syfte att i stället prioritera den svenska ansökan. Alltså måste hon ta ansvar för att driva linjerna parallellt, att i Helcom under februari och mars och vidare arbeta med sina kolleger för att få dem att ställa upp på Östersjön som ett PSSA. Det var också det bästa stödet för att kunna få svenska vatten klassade. </w:t>
      </w:r>
    </w:p>
    <w:p w:rsidR="00252869" w:rsidRPr="001B4EC1" w:rsidRDefault="00252869">
      <w:pPr>
        <w:pStyle w:val="Normaltindrag"/>
      </w:pPr>
      <w:r w:rsidRPr="001B4EC1">
        <w:t xml:space="preserve">Vid möte inom Helcom sent i mars stod det klart att alla länder </w:t>
      </w:r>
      <w:r w:rsidRPr="001B4EC1">
        <w:t>faktiskt stod bakom en ansökan. Hennes värdering i det läget var att regeringen inte hade skäl att göra någon annan bedömning än Sjöfartsverket. Ungefär samt</w:t>
      </w:r>
      <w:r w:rsidRPr="001B4EC1">
        <w:t>i</w:t>
      </w:r>
      <w:r w:rsidRPr="001B4EC1">
        <w:t>digt med tillkännagivandet hade Sjöfartsverket och andra kommit så långt i sin utredning att det stod klart att det måste vara en omfattande ansökan. Myndigheten fick då inte i uppdrag att göra en ansökan klar till den 11 april utan man fortsatte det uppdrag som man hade med att förbereda en gemensam eller en enskild ans</w:t>
      </w:r>
      <w:r w:rsidRPr="001B4EC1">
        <w:t>ö</w:t>
      </w:r>
      <w:r w:rsidRPr="001B4EC1">
        <w:t xml:space="preserve">kan. </w:t>
      </w:r>
    </w:p>
    <w:p w:rsidR="00252869" w:rsidRPr="001B4EC1" w:rsidRDefault="00252869">
      <w:pPr>
        <w:pStyle w:val="Normaltindrag"/>
      </w:pPr>
      <w:r w:rsidRPr="001B4EC1">
        <w:t>När tillkännagivandet frå</w:t>
      </w:r>
      <w:r w:rsidRPr="001B4EC1">
        <w:t>n riksdagen kom den 29 januari fanns i det läget knappast några förutsättningar att hinna med en ansökan så snabbt som till den 11 april. Miljöministerns bedömning var att om hon skulle ta ansvar för det önskemål som riksdagen hade och som hon hela tiden uppfattade som det grundläggande önskemålet, nämligen att få Östersjön klassad som PSSA. Även om miljöministern visste att man ville gå fram tidigt hade regeringen inga möjligheter att gå fram i april därför att det inte fanns tillräckligt gott underlag och</w:t>
      </w:r>
      <w:r w:rsidRPr="001B4EC1">
        <w:t xml:space="preserve"> det skulle ha riskerat att spoliera chanserna. Hon kunde möjlig</w:t>
      </w:r>
      <w:r w:rsidRPr="001B4EC1">
        <w:t>t</w:t>
      </w:r>
      <w:r w:rsidRPr="001B4EC1">
        <w:t>vis ha övervägt att göra det enbart i syfte att formellt tillgodose den ena delen av riksdagens uppdrag. Det fanns också en annan del i riksdagens uppdrag med innebörd att arbetet inom Helcom för att nå fram till en klassning av hela Östersjön skulle intensifieras. Det fanns alltså två uppdrag som skulle vägas sa</w:t>
      </w:r>
      <w:r w:rsidRPr="001B4EC1">
        <w:t>m</w:t>
      </w:r>
      <w:r w:rsidRPr="001B4EC1">
        <w:t>man.</w:t>
      </w:r>
    </w:p>
    <w:p w:rsidR="00252869" w:rsidRPr="001B4EC1" w:rsidRDefault="00252869">
      <w:pPr>
        <w:pStyle w:val="Normaltindrag"/>
      </w:pPr>
      <w:r w:rsidRPr="001B4EC1">
        <w:t>Regeringen gjorde vid flera tillfällen under våren klart för riksdagen att den arbetade med både en gemensam linje och en enski</w:t>
      </w:r>
      <w:r w:rsidRPr="001B4EC1">
        <w:t>ld linje. Regeringens uppfattning var nämligen att för att bäst tillgodose riksdagens önskemål måste detta hållas öppet och bedömas efter vilka sakliga grunder som bäst skulle leda till  fra</w:t>
      </w:r>
      <w:r w:rsidRPr="001B4EC1">
        <w:t>m</w:t>
      </w:r>
      <w:r w:rsidRPr="001B4EC1">
        <w:t xml:space="preserve">gång.  </w:t>
      </w:r>
    </w:p>
    <w:p w:rsidR="00252869" w:rsidRPr="001B4EC1" w:rsidRDefault="00252869">
      <w:pPr>
        <w:pStyle w:val="Normaltindrag"/>
      </w:pPr>
      <w:r w:rsidRPr="001B4EC1">
        <w:t>Regeringen fick ett uppdrag från riksdagen som var väldigt tydligt. Man ville se Sverige gå fram på egen hand med förhoppningen att svenskt vatten därmed skulle kunna klassas snabbare än i en gemensam process. Som rege</w:t>
      </w:r>
      <w:r w:rsidRPr="001B4EC1">
        <w:t>r</w:t>
      </w:r>
      <w:r w:rsidRPr="001B4EC1">
        <w:t>ingen såg det var ”så snart som möjligt” ingen bestämd tidsgräns och det var också därför man hade en mycket intensiv diskussion i slutet av mars om det var möjligt att lämna in en ansökan med den här tidsgränsen. Det svar och det underlag som kom från myndigheterna var: Nej, det är inte möjligt att göra det med en kvalitet som gör det meningsfullt. Det tog sedan tolv veckor att färdigställa denna ansökan.</w:t>
      </w:r>
    </w:p>
    <w:p w:rsidR="00252869" w:rsidRPr="001B4EC1" w:rsidRDefault="00252869">
      <w:pPr>
        <w:pStyle w:val="Normaltindrag"/>
      </w:pPr>
      <w:r w:rsidRPr="001B4EC1">
        <w:t>Det var miljöministerns bestämda bedömning att med den ansökan som nu förelåg med åtta Östersjöländer</w:t>
      </w:r>
      <w:r w:rsidRPr="001B4EC1">
        <w:t>, som gällde stora delar av Östersjön och med ett kvalitetsmässigt mycket gediget underlag fanns det mycket bättre föru</w:t>
      </w:r>
      <w:r w:rsidRPr="001B4EC1">
        <w:t>t</w:t>
      </w:r>
      <w:r w:rsidRPr="001B4EC1">
        <w:t>sättningar att få igenom en klassning också av de svenska vattnen än om regeringen hade gått fram i april med en snabbansökan på egen hand, med ont om tid för konsult</w:t>
      </w:r>
      <w:r w:rsidRPr="001B4EC1">
        <w:t>a</w:t>
      </w:r>
      <w:r w:rsidRPr="001B4EC1">
        <w:t>tion och utan stöd från övriga länder runt Östersjön.</w:t>
      </w:r>
    </w:p>
    <w:p w:rsidR="00252869" w:rsidRPr="001B4EC1" w:rsidRDefault="00252869">
      <w:pPr>
        <w:pStyle w:val="Normaltindrag"/>
      </w:pPr>
      <w:r w:rsidRPr="001B4EC1">
        <w:t xml:space="preserve">Riktlinjerna från IMO är mycket entydiga när det gäller hur man vill att denna typ av ansökningar skall gå till. Man säger att man vill att länder skall gå fram gemensamt </w:t>
      </w:r>
      <w:r w:rsidRPr="001B4EC1">
        <w:t>om de har geme</w:t>
      </w:r>
      <w:r w:rsidRPr="001B4EC1">
        <w:t>n</w:t>
      </w:r>
      <w:r w:rsidRPr="001B4EC1">
        <w:t>samma intressen.</w:t>
      </w:r>
    </w:p>
    <w:p w:rsidR="00252869" w:rsidRPr="001B4EC1" w:rsidRDefault="00252869">
      <w:pPr>
        <w:pStyle w:val="R3"/>
      </w:pPr>
      <w:r w:rsidRPr="001B4EC1">
        <w:t>Betydelsen av riksdagens tillkännagivanden till regeringen</w:t>
      </w:r>
    </w:p>
    <w:p w:rsidR="00252869" w:rsidRPr="001B4EC1" w:rsidRDefault="00252869">
      <w:r w:rsidRPr="001B4EC1">
        <w:t>Konstitutionsutskottet har vid tidigare tillfällen granskat frågor kring efte</w:t>
      </w:r>
      <w:r w:rsidRPr="001B4EC1">
        <w:t>r</w:t>
      </w:r>
      <w:r w:rsidRPr="001B4EC1">
        <w:t>kommandet av riksdagens tillkännagivanden till regeringen. I betänkande 1994/95:KU30 underströk utskottet att utgångspunkten måste vara att det önskemål som tillkännagivandet avser bör tillgodoses. Om det visar sig för</w:t>
      </w:r>
      <w:r w:rsidRPr="001B4EC1">
        <w:t>e</w:t>
      </w:r>
      <w:r w:rsidRPr="001B4EC1">
        <w:t>ligga omständigheter som hindrar ett genomförande eller om regeringen gör en annan bedömning än riksdagen måste regeringen dock kunna underlåta att vidta de åtgärder tillkännagivandet avser. En förutsättning borde då enligt utskottet vara att regeringens bedömningar i detta avseende redovisa</w:t>
      </w:r>
      <w:r w:rsidRPr="001B4EC1">
        <w:t>s för riksdagen. I såväl utskottets granskning hösten 1997 (bet. 1997/98:KU10), hösten 1998 (bet. 1998/99:KU10) och våren 2002 (bet. 2001/02:KU20) li</w:t>
      </w:r>
      <w:r w:rsidRPr="001B4EC1">
        <w:t>k</w:t>
      </w:r>
      <w:r w:rsidRPr="001B4EC1">
        <w:t>som i samband med behandlingen av regeringens redogörelse för behandlin</w:t>
      </w:r>
      <w:r w:rsidRPr="001B4EC1">
        <w:t>g</w:t>
      </w:r>
      <w:r w:rsidRPr="001B4EC1">
        <w:t>en av riksdagens skrivelser till regeringen (bet. 2001/02:KU6) har utskottet återkommit till detta ställningstaga</w:t>
      </w:r>
      <w:r w:rsidRPr="001B4EC1">
        <w:t>n</w:t>
      </w:r>
      <w:r w:rsidRPr="001B4EC1">
        <w:t>de.</w:t>
      </w:r>
    </w:p>
    <w:p w:rsidR="00252869" w:rsidRPr="001B4EC1" w:rsidRDefault="00252869">
      <w:pPr>
        <w:pStyle w:val="Normaltindrag"/>
      </w:pPr>
      <w:r w:rsidRPr="001B4EC1">
        <w:t>Granskningen våren 2002 gällde bl.a. ett tillkännagivande från riksdagen till regeringen rörande en delning av Torslanda kommun. U</w:t>
      </w:r>
      <w:r w:rsidRPr="001B4EC1">
        <w:t>t</w:t>
      </w:r>
      <w:r w:rsidRPr="001B4EC1">
        <w:t>skottet anförde:</w:t>
      </w:r>
    </w:p>
    <w:p w:rsidR="00252869" w:rsidRPr="001B4EC1" w:rsidRDefault="00252869">
      <w:pPr>
        <w:pStyle w:val="Citat"/>
        <w:spacing w:before="125"/>
      </w:pPr>
      <w:r w:rsidRPr="001B4EC1">
        <w:t>Som utskottet tidigare anfört i andra sammanhang finns det inte någon reglering i fråga om s.k. tillkännagivanden. Utskottet förutsätter dock att regeringen hörsammar riksdagens tillkännagivanden. Om regeringen a</w:t>
      </w:r>
      <w:r w:rsidRPr="001B4EC1">
        <w:t>n</w:t>
      </w:r>
      <w:r w:rsidRPr="001B4EC1">
        <w:t>ser sig kunna underlåta att vidta de åtgärder ett tillkännagivande avser, måste regeringens bedömning vad gäller riksdagsbeslut redovisas för riksdagen i samband med att regeringen lämnar sin redogörelse till rik</w:t>
      </w:r>
      <w:r w:rsidRPr="001B4EC1">
        <w:t>s</w:t>
      </w:r>
      <w:r w:rsidRPr="001B4EC1">
        <w:t>dagen för vilka åtgärder regeringen vidtagit med anledning av riksd</w:t>
      </w:r>
      <w:r w:rsidRPr="001B4EC1">
        <w:t>a</w:t>
      </w:r>
      <w:r w:rsidRPr="001B4EC1">
        <w:t>gens</w:t>
      </w:r>
    </w:p>
    <w:p w:rsidR="00252869" w:rsidRPr="001B4EC1" w:rsidRDefault="00252869">
      <w:pPr>
        <w:pStyle w:val="Citat"/>
      </w:pPr>
      <w:r w:rsidRPr="001B4EC1">
        <w:t>beslut.</w:t>
      </w:r>
    </w:p>
    <w:p w:rsidR="00252869" w:rsidRPr="001B4EC1" w:rsidRDefault="00252869">
      <w:pPr>
        <w:pStyle w:val="Citat"/>
      </w:pPr>
    </w:p>
    <w:p w:rsidR="00252869" w:rsidRPr="001B4EC1" w:rsidRDefault="00252869">
      <w:r w:rsidRPr="001B4EC1">
        <w:t>Våren 2003 granskade utskottet finansministerns hantering av frågan om de s.k. 3:12-reglerna (bet. 2002/03:KU30). Utskottet uttalade:</w:t>
      </w:r>
    </w:p>
    <w:p w:rsidR="00252869" w:rsidRPr="001B4EC1" w:rsidRDefault="00252869">
      <w:pPr>
        <w:pStyle w:val="Citat"/>
      </w:pPr>
    </w:p>
    <w:p w:rsidR="00252869" w:rsidRPr="001B4EC1" w:rsidRDefault="00252869">
      <w:pPr>
        <w:pStyle w:val="Citat"/>
      </w:pPr>
      <w:r w:rsidRPr="001B4EC1">
        <w:t>Riksdagens tillkännagivande innebar att det begärdes att en proposition skulle lämnas till riksdagen senast under augusti månad. Propositionen lämnades dock först i november efter att den 1 oktober ha aviserats i pr</w:t>
      </w:r>
      <w:r w:rsidRPr="001B4EC1">
        <w:t>o</w:t>
      </w:r>
      <w:r w:rsidRPr="001B4EC1">
        <w:t>positionsförteckningen. Det  uppstod därigenom ett dröjsmål som innebar att det under en tid  kunde råda osäkerhet om regeringens avsikter både bland riksdagsledamöter och b</w:t>
      </w:r>
      <w:r w:rsidRPr="001B4EC1">
        <w:t>e</w:t>
      </w:r>
      <w:r w:rsidRPr="001B4EC1">
        <w:t>rörda skattskyldiga.</w:t>
      </w:r>
    </w:p>
    <w:p w:rsidR="00252869" w:rsidRPr="001B4EC1" w:rsidRDefault="00252869">
      <w:pPr>
        <w:pStyle w:val="CitatIndrag"/>
      </w:pPr>
      <w:r w:rsidRPr="001B4EC1">
        <w:t>Som konstitutionsutskottet tidigare anfört förutsätter utskottet att r</w:t>
      </w:r>
      <w:r w:rsidRPr="001B4EC1">
        <w:t>e</w:t>
      </w:r>
      <w:r w:rsidRPr="001B4EC1">
        <w:t>geringen hörsammar riksdagens tillkännagivanden och att regeringen r</w:t>
      </w:r>
      <w:r w:rsidRPr="001B4EC1">
        <w:t>e</w:t>
      </w:r>
      <w:r w:rsidRPr="001B4EC1">
        <w:t>dovisar för riksdagen sina bedömningar om de begärda åtgärderna inte vidtas. Om regeringen inte avser att vidta en begärd åtgärd i enlighet med riksdagsbeslutet måste detta enligt utskottets mening redovisas för rik</w:t>
      </w:r>
      <w:r w:rsidRPr="001B4EC1">
        <w:t>s</w:t>
      </w:r>
      <w:r w:rsidRPr="001B4EC1">
        <w:t>dagen inom tidsramen, om en sådan uppställts av riksdagen. Även skälen för att riksdagsbeslutet inte följs bör tas upp i sammanhanget. Om en r</w:t>
      </w:r>
      <w:r w:rsidRPr="001B4EC1">
        <w:t>e</w:t>
      </w:r>
      <w:r w:rsidRPr="001B4EC1">
        <w:t xml:space="preserve">dovisning inte kan ges i skrivelse eller proposition till riksdagen bör den enligt </w:t>
      </w:r>
      <w:r w:rsidRPr="001B4EC1">
        <w:t>utskottets mening lämnas till riksdagen i annan form som gör den tillgänglig för riksdagens sam</w:t>
      </w:r>
      <w:r w:rsidRPr="001B4EC1">
        <w:t>t</w:t>
      </w:r>
      <w:r w:rsidRPr="001B4EC1">
        <w:t>liga ledamöter.</w:t>
      </w:r>
    </w:p>
    <w:p w:rsidR="00252869" w:rsidRPr="001B4EC1" w:rsidRDefault="00252869">
      <w:pPr>
        <w:pStyle w:val="Rubrik3"/>
        <w:rPr>
          <w:noProof w:val="0"/>
        </w:rPr>
      </w:pPr>
      <w:bookmarkStart w:id="17" w:name="_Toc72648448"/>
      <w:r w:rsidRPr="001B4EC1">
        <w:rPr>
          <w:noProof w:val="0"/>
        </w:rPr>
        <w:t>Utskottets ställningstagande</w:t>
      </w:r>
      <w:bookmarkEnd w:id="17"/>
    </w:p>
    <w:p w:rsidR="00252869" w:rsidRPr="001B4EC1" w:rsidRDefault="00252869">
      <w:r w:rsidRPr="001B4EC1">
        <w:t>Det övergripande målet för regeringen var att i enlighet med riksdagens beslut få Östersjön klassad som särskilt känsligt havsområde (PSSA), vilket up</w:t>
      </w:r>
      <w:r w:rsidRPr="001B4EC1">
        <w:t>p</w:t>
      </w:r>
      <w:r w:rsidRPr="001B4EC1">
        <w:t>nåddes genom IMO:s beslut den 2 april 2004.</w:t>
      </w:r>
    </w:p>
    <w:p w:rsidR="00252869" w:rsidRPr="001B4EC1" w:rsidRDefault="00252869">
      <w:pPr>
        <w:pStyle w:val="Normaltindrag"/>
      </w:pPr>
      <w:r w:rsidRPr="001B4EC1">
        <w:t>I riksdagens tillkännagivande om en ansökan till IMO om att ge Östersjön status som särskilt känsligt havsområde angavs två handlingslinjer som inte uteslöt varandra och som gav regeringen ett visst handlingsutrymme, bl.a. genom att arbeta parallellt med båda inriktningarna. Enligt tillkännagivandet borde en ansökan i fråga om svenskt vatten göras så snart som möjligt, dvs. utan bestämd tidsgräns. Sjöfartsverket och andra myndigheter, som i dece</w:t>
      </w:r>
      <w:r w:rsidRPr="001B4EC1">
        <w:t>m</w:t>
      </w:r>
      <w:r w:rsidRPr="001B4EC1">
        <w:t>ber 2002 fått uppdraget att tillsammans förbereda både ett gemensamt ag</w:t>
      </w:r>
      <w:r w:rsidRPr="001B4EC1">
        <w:t>e</w:t>
      </w:r>
      <w:r w:rsidRPr="001B4EC1">
        <w:t>rande av Östersjöländerna och ett eget svenskt agerande, gjorde i mars 2003 bedömningen att det inte var praktiskt möjligt att hinna utarbeta en ansökan till den 11 april 2003 med tillräckligt god kvalitet för att nå framgång inom IMO. Regeringen fann inte skäl att göra en annan bedömning. Den 10 april informerade miljöministern miljö- och jordbruksutskottet om att det inte var praktiskt möjligt att ha en ansökan med rimlig kvalitet kl</w:t>
      </w:r>
      <w:r w:rsidRPr="001B4EC1">
        <w:t>ar redan den 11 april. Samma dag angav statsministern vid en frågestund i riksdagen att regeringen gjort bedömningen att en PSSA-ansökan skulle göras tillsammans med övriga stater runt Östersjön för att få maximalt genomslag och snabb behandling, och att man inte skulle kunna komma fram snabbare med en nationell ans</w:t>
      </w:r>
      <w:r w:rsidRPr="001B4EC1">
        <w:t>ö</w:t>
      </w:r>
      <w:r w:rsidRPr="001B4EC1">
        <w:t>kan.</w:t>
      </w:r>
    </w:p>
    <w:p w:rsidR="00252869" w:rsidRPr="001B4EC1" w:rsidRDefault="00252869">
      <w:pPr>
        <w:pStyle w:val="Normaltindrag"/>
      </w:pPr>
      <w:r w:rsidRPr="001B4EC1">
        <w:t>Från regeringens sida har således, trots att riksdagens tillkännagivande inte innehöll något tidsgräns knuten till IMO-mötet i juni, både utskottet och riksdagen informerats om att regering</w:t>
      </w:r>
      <w:r w:rsidRPr="001B4EC1">
        <w:t>en inte avsåg att lämna in en ansökan i tid för att behandlas under detta möte. Informationen har dessutom klargjort att rege</w:t>
      </w:r>
      <w:r w:rsidRPr="001B4EC1">
        <w:t>r</w:t>
      </w:r>
      <w:r w:rsidRPr="001B4EC1">
        <w:t>ingen arbetade med båda de handlingslinjer tillkännagivandet avsåg.</w:t>
      </w:r>
    </w:p>
    <w:p w:rsidR="00252869" w:rsidRPr="001B4EC1" w:rsidRDefault="00252869">
      <w:pPr>
        <w:pStyle w:val="Rubrik2"/>
        <w:spacing w:before="375"/>
      </w:pPr>
      <w:bookmarkStart w:id="18" w:name="_Toc72648449"/>
      <w:r w:rsidRPr="001B4EC1">
        <w:t>1.2 Statsrådet Hans Karlssons ansvar för förseningen av en utredning om arbetskraftsinvandring</w:t>
      </w:r>
      <w:bookmarkEnd w:id="18"/>
    </w:p>
    <w:p w:rsidR="00252869" w:rsidRPr="001B4EC1" w:rsidRDefault="00252869">
      <w:pPr>
        <w:pStyle w:val="Rubrik3"/>
        <w:spacing w:before="235"/>
        <w:rPr>
          <w:noProof w:val="0"/>
        </w:rPr>
      </w:pPr>
      <w:bookmarkStart w:id="19" w:name="_Toc72648450"/>
      <w:r w:rsidRPr="001B4EC1">
        <w:rPr>
          <w:noProof w:val="0"/>
        </w:rPr>
        <w:t>Anmälan</w:t>
      </w:r>
      <w:bookmarkEnd w:id="19"/>
    </w:p>
    <w:p w:rsidR="00252869" w:rsidRPr="001B4EC1" w:rsidRDefault="00252869">
      <w:r w:rsidRPr="001B4EC1">
        <w:t xml:space="preserve">I en anmälan till konstitutionsutskottet den 28 januari 2004, </w:t>
      </w:r>
      <w:r w:rsidRPr="001B4EC1">
        <w:rPr>
          <w:i/>
        </w:rPr>
        <w:t>bilaga A1.2.1</w:t>
      </w:r>
      <w:r w:rsidRPr="001B4EC1">
        <w:t>, begärs att konstitutionsutskottet granskar statsrådet Hans Karlssons hantering av riksdagens beslut om tillsättande av en parlamentarisk utredning om vi</w:t>
      </w:r>
      <w:r w:rsidRPr="001B4EC1">
        <w:t>d</w:t>
      </w:r>
      <w:r w:rsidRPr="001B4EC1">
        <w:t>gad arbetskraftsinvan</w:t>
      </w:r>
      <w:r w:rsidRPr="001B4EC1">
        <w:t>d</w:t>
      </w:r>
      <w:r w:rsidRPr="001B4EC1">
        <w:t>ring.</w:t>
      </w:r>
    </w:p>
    <w:p w:rsidR="00252869" w:rsidRPr="001B4EC1" w:rsidRDefault="00252869">
      <w:pPr>
        <w:pStyle w:val="Normaltindrag"/>
      </w:pPr>
      <w:r w:rsidRPr="001B4EC1">
        <w:t>I anmälan anförs att regeringen och Hans Karlsson i olika sammanhang har uppgett att kommittén skall tillsättas ”inom kort” och att arbetet med att se till att kommittén kan börja arbeta kommer att ha ”mycket hög prioritet”. I rik</w:t>
      </w:r>
      <w:r w:rsidRPr="001B4EC1">
        <w:t>s</w:t>
      </w:r>
      <w:r w:rsidRPr="001B4EC1">
        <w:t>dagens tillkännagivande skisseras efter vilka riktlinjer den parlamentariska utredningen skall bedrivas. Trots det har enligt anmälan regeringen efter nio månader inte fattat beslut om kommittédirektiv. Konstitutionsutskottet bör därför granska om Hans Karlssons hantering står i överensstämmelse med regeringens konstitutionella skyldighet att verkställa av riksdagen fattade beslut.</w:t>
      </w:r>
    </w:p>
    <w:p w:rsidR="00252869" w:rsidRPr="001B4EC1" w:rsidRDefault="00252869">
      <w:pPr>
        <w:pStyle w:val="Rubrik3"/>
        <w:spacing w:before="235"/>
        <w:rPr>
          <w:noProof w:val="0"/>
        </w:rPr>
      </w:pPr>
      <w:bookmarkStart w:id="20" w:name="_Toc72648451"/>
      <w:r w:rsidRPr="001B4EC1">
        <w:rPr>
          <w:noProof w:val="0"/>
        </w:rPr>
        <w:t>Bakgrund</w:t>
      </w:r>
      <w:bookmarkEnd w:id="20"/>
    </w:p>
    <w:p w:rsidR="00252869" w:rsidRPr="001B4EC1" w:rsidRDefault="00252869">
      <w:pPr>
        <w:pStyle w:val="R4"/>
        <w:spacing w:before="125"/>
      </w:pPr>
      <w:r w:rsidRPr="001B4EC1">
        <w:t>Socialförsäkringsutskottets behandling och riksdagens beslut</w:t>
      </w:r>
    </w:p>
    <w:p w:rsidR="00252869" w:rsidRPr="001B4EC1" w:rsidRDefault="00252869">
      <w:r w:rsidRPr="001B4EC1">
        <w:t>Under våren 2003 behandlade socialförsäkringsutskottet ett antal motioner om arbetskraftsinvandring (bet. 2002/03:SfU8). Enligt utskottets uppfattning fanns skäl att närmare utreda förutsättningarna för en ökad arbetskraftsi</w:t>
      </w:r>
      <w:r w:rsidRPr="001B4EC1">
        <w:t>n</w:t>
      </w:r>
      <w:r w:rsidRPr="001B4EC1">
        <w:t>vandring. Redan under 2004 öppnas möjligheter för ytterligare arbetskraftsi</w:t>
      </w:r>
      <w:r w:rsidRPr="001B4EC1">
        <w:t>n</w:t>
      </w:r>
      <w:r w:rsidRPr="001B4EC1">
        <w:t>vandring inom ramen för EU:s inre marknad. Utskottet ansåg emellertid att det fanns skäl att även analysera de behov av arbetskraftsinvandring från länder utanför EU/EES-området som kan uppstå framöver och att så sker i ett globalt perspektiv. Utskottet hade erfarit att regeringen skulle komma att tillsätta en utredning i syfte att analysera det framtida behovet av arbetskraft i olika yrken och sektorer och de konsekvenser som dett</w:t>
      </w:r>
      <w:r w:rsidRPr="001B4EC1">
        <w:t>a skulle kunna få på arbetsmarknaden och samhället i övrigt. Utskottet ansåg att motionsyrkand</w:t>
      </w:r>
      <w:r w:rsidRPr="001B4EC1">
        <w:t>e</w:t>
      </w:r>
      <w:r w:rsidRPr="001B4EC1">
        <w:t>na avseende utredning om arbetskraftsinvandring var delvis tillgodosedda. Utskottet avstyrkte även motionsyrkanden avseende framtagande av förslag om regelverk som underlättar för arbet</w:t>
      </w:r>
      <w:r w:rsidRPr="001B4EC1">
        <w:t>s</w:t>
      </w:r>
      <w:r w:rsidRPr="001B4EC1">
        <w:t>kraftsinvandring m.m.</w:t>
      </w:r>
    </w:p>
    <w:p w:rsidR="00252869" w:rsidRPr="001B4EC1" w:rsidRDefault="00252869">
      <w:pPr>
        <w:pStyle w:val="Normaltindrag"/>
        <w:rPr>
          <w:snapToGrid w:val="0"/>
        </w:rPr>
      </w:pPr>
      <w:r w:rsidRPr="001B4EC1">
        <w:t>Reservation anfördes av m, fp, kd, c och mp. Enligt reservationen borde riksdagen ge regeringen till känna, och därmed bifalla motionsyrkandena därom, att en parlamentarisk utredning bör tillsättas med uppdrag</w:t>
      </w:r>
      <w:r w:rsidRPr="001B4EC1">
        <w:t xml:space="preserve"> att utreda konsekvenser av och ta fram ett regelverk som medger vidgad arbetskraftsi</w:t>
      </w:r>
      <w:r w:rsidRPr="001B4EC1">
        <w:t>n</w:t>
      </w:r>
      <w:r w:rsidRPr="001B4EC1">
        <w:t xml:space="preserve">vandring från länder utanför EU. </w:t>
      </w:r>
      <w:r w:rsidRPr="001B4EC1">
        <w:rPr>
          <w:snapToGrid w:val="0"/>
        </w:rPr>
        <w:t>I uppdraget borde ingå att se över hur socia</w:t>
      </w:r>
      <w:r w:rsidRPr="001B4EC1">
        <w:rPr>
          <w:snapToGrid w:val="0"/>
        </w:rPr>
        <w:t>l</w:t>
      </w:r>
      <w:r w:rsidRPr="001B4EC1">
        <w:rPr>
          <w:snapToGrid w:val="0"/>
        </w:rPr>
        <w:t>försäkringar, sociala förmåner och arbetsrätt skall utformas. Vidare angavs att lön, försäkringsskydd och övriga anställningsvillkor inte får vara sämre för arbetskraftsinvandrare än vad som gäller för svensk arbetskraft. Sambandet med asylrätten borde också studeras, så att den inte urholkas, och i utrednin</w:t>
      </w:r>
      <w:r w:rsidRPr="001B4EC1">
        <w:rPr>
          <w:snapToGrid w:val="0"/>
        </w:rPr>
        <w:t>g</w:t>
      </w:r>
      <w:r w:rsidRPr="001B4EC1">
        <w:rPr>
          <w:snapToGrid w:val="0"/>
        </w:rPr>
        <w:t>ens arbete borde finnas ett EU-perspek</w:t>
      </w:r>
      <w:r w:rsidRPr="001B4EC1">
        <w:rPr>
          <w:snapToGrid w:val="0"/>
        </w:rPr>
        <w:t>tiv.</w:t>
      </w:r>
    </w:p>
    <w:p w:rsidR="00252869" w:rsidRPr="001B4EC1" w:rsidRDefault="00252869">
      <w:pPr>
        <w:pStyle w:val="Normaltindrag"/>
      </w:pPr>
      <w:r w:rsidRPr="001B4EC1">
        <w:t>Riksdagen biföll den 11 april 2003 reservationen (rskr. 2002/03:143).</w:t>
      </w:r>
    </w:p>
    <w:p w:rsidR="00252869" w:rsidRPr="001B4EC1" w:rsidRDefault="00252869">
      <w:pPr>
        <w:pStyle w:val="R4"/>
      </w:pPr>
      <w:r w:rsidRPr="001B4EC1">
        <w:t>Regeringens beslut den 19 februari 2004 om kommittédirektiv</w:t>
      </w:r>
    </w:p>
    <w:p w:rsidR="00252869" w:rsidRPr="001B4EC1" w:rsidRDefault="00252869">
      <w:r w:rsidRPr="001B4EC1">
        <w:t>Den 19 februari 2004 beslutade regeringen om direktiv (dir. 2004:21) till en parlamentarisk kommitté med uppdrag att se över regelverket för arbet</w:t>
      </w:r>
      <w:r w:rsidRPr="001B4EC1">
        <w:t>s</w:t>
      </w:r>
      <w:r w:rsidRPr="001B4EC1">
        <w:t>kraftsinvandring. Kommittén skall se över det regelverk som styr möjligh</w:t>
      </w:r>
      <w:r w:rsidRPr="001B4EC1">
        <w:t>e</w:t>
      </w:r>
      <w:r w:rsidRPr="001B4EC1">
        <w:t>terna till arbetskraftsinvandring med syfte att ta fram ett regelverk som me</w:t>
      </w:r>
      <w:r w:rsidRPr="001B4EC1">
        <w:t>d</w:t>
      </w:r>
      <w:r w:rsidRPr="001B4EC1">
        <w:t>ger vidgad arbetskraftsinvandring från länder utanför EU/EES. Kommittén skall i sammanhanget också utreda behovet av arbetskraftsinvandring, bed</w:t>
      </w:r>
      <w:r w:rsidRPr="001B4EC1">
        <w:t>ö</w:t>
      </w:r>
      <w:r w:rsidRPr="001B4EC1">
        <w:t>ma de konsekvenser som ytterligare sådan invandring kan få på arbetsmar</w:t>
      </w:r>
      <w:r w:rsidRPr="001B4EC1">
        <w:t>k</w:t>
      </w:r>
      <w:r w:rsidRPr="001B4EC1">
        <w:t>naden och i övrigt samt, med utgångspunkt i denna bedömning, föreslå eve</w:t>
      </w:r>
      <w:r w:rsidRPr="001B4EC1">
        <w:t>n</w:t>
      </w:r>
      <w:r w:rsidRPr="001B4EC1">
        <w:t>tuella åtgärder. Kommittén skall redovisa sitt uppdrag i ett delbetänka</w:t>
      </w:r>
      <w:r w:rsidRPr="001B4EC1">
        <w:t>nde senast den 1 mars 2005 och i ett slutbetänkande senast den 1 mars 2006.</w:t>
      </w:r>
    </w:p>
    <w:p w:rsidR="00252869" w:rsidRPr="001B4EC1" w:rsidRDefault="00252869">
      <w:pPr>
        <w:pStyle w:val="R3"/>
      </w:pPr>
      <w:r w:rsidRPr="001B4EC1">
        <w:t>Regeringens information till riksdagen</w:t>
      </w:r>
    </w:p>
    <w:p w:rsidR="00252869" w:rsidRPr="001B4EC1" w:rsidRDefault="00252869">
      <w:pPr>
        <w:pStyle w:val="R4"/>
      </w:pPr>
      <w:r w:rsidRPr="001B4EC1">
        <w:t>Budgetpropositionen för 2004</w:t>
      </w:r>
    </w:p>
    <w:p w:rsidR="00252869" w:rsidRPr="001B4EC1" w:rsidRDefault="00252869">
      <w:pPr>
        <w:rPr>
          <w:snapToGrid w:val="0"/>
        </w:rPr>
      </w:pPr>
      <w:r w:rsidRPr="001B4EC1">
        <w:t>I budgetpropositionen för 2004 (prop. 2003/04:1 utg.omr. 13), som överlä</w:t>
      </w:r>
      <w:r w:rsidRPr="001B4EC1">
        <w:t>m</w:t>
      </w:r>
      <w:r w:rsidRPr="001B4EC1">
        <w:t>nades till riksdagen den 22 september 2003, angav regeringen att r</w:t>
      </w:r>
      <w:r w:rsidRPr="001B4EC1">
        <w:rPr>
          <w:snapToGrid w:val="0"/>
        </w:rPr>
        <w:t>iksdagen beslutat att en parlamentarisk utredning skall tillsättas med syfte att ta fram ett regelverk som medger vidgad arbetskraftsinvandring från länder utanför EU/EES. Enligt regeringen skulle utredningen komma att tillsättas inom kort i enlighet med riksdagens beslut (s. 15).</w:t>
      </w:r>
    </w:p>
    <w:p w:rsidR="00252869" w:rsidRPr="001B4EC1" w:rsidRDefault="00252869">
      <w:pPr>
        <w:pStyle w:val="Normaltindrag"/>
      </w:pPr>
      <w:r w:rsidRPr="001B4EC1">
        <w:t>I arbetsmarknadsutskottets betänkande 2003/04:AU1 anförde utskottet i november 2003, med anledning av ett motionsyrkande (kd) om att regeringen snarast skall verks</w:t>
      </w:r>
      <w:r w:rsidRPr="001B4EC1">
        <w:t>tälla riksdagsbeslutet från den 11 april 2003, att utskottet erfarit från Regeringskansliet att beredningsarbetet ännu inte var avslutat. Motionsyrkandet avstyrktes.</w:t>
      </w:r>
    </w:p>
    <w:p w:rsidR="00252869" w:rsidRPr="001B4EC1" w:rsidRDefault="00252869">
      <w:pPr>
        <w:pStyle w:val="R4"/>
      </w:pPr>
      <w:r w:rsidRPr="001B4EC1">
        <w:t>Regeringens skrivelse om migrations- och asylpolitiken</w:t>
      </w:r>
    </w:p>
    <w:p w:rsidR="00252869" w:rsidRPr="001B4EC1" w:rsidRDefault="00252869">
      <w:r w:rsidRPr="001B4EC1">
        <w:t>Den 26 november 2003 överlämnade regeringen skrivelse 2003/04:37 Migr</w:t>
      </w:r>
      <w:r w:rsidRPr="001B4EC1">
        <w:t>a</w:t>
      </w:r>
      <w:r w:rsidRPr="001B4EC1">
        <w:t>tion och asylpolitik till riksdagen. I skrivelsen redovisas den svenska migr</w:t>
      </w:r>
      <w:r w:rsidRPr="001B4EC1">
        <w:t>a</w:t>
      </w:r>
      <w:r w:rsidRPr="001B4EC1">
        <w:t>tions- och asylpolitiken sedan december 2002. I skrivelsen anförde regeringen att den mot bakgrund av riksdagens til</w:t>
      </w:r>
      <w:r w:rsidRPr="001B4EC1">
        <w:rPr>
          <w:snapToGrid w:val="0"/>
        </w:rPr>
        <w:t>lkännagivande av den 11 april 2003 inom kort kommer att tillsätta en parlamentarisk kommitté som skall se över det regelverk som styr möjligheterna till arbetskraftsinvandring. Enligt skr</w:t>
      </w:r>
      <w:r w:rsidRPr="001B4EC1">
        <w:rPr>
          <w:snapToGrid w:val="0"/>
        </w:rPr>
        <w:t>i</w:t>
      </w:r>
      <w:r w:rsidRPr="001B4EC1">
        <w:rPr>
          <w:snapToGrid w:val="0"/>
        </w:rPr>
        <w:t xml:space="preserve">velsen skall kommittén redovisa sitt uppdrag i ett delbetänkande senast den 1 december 2004 och i ett slutbetänkande senast den 1 </w:t>
      </w:r>
      <w:r w:rsidRPr="001B4EC1">
        <w:rPr>
          <w:snapToGrid w:val="0"/>
        </w:rPr>
        <w:t>december 2005 (s. 7 f.).</w:t>
      </w:r>
    </w:p>
    <w:p w:rsidR="00252869" w:rsidRPr="001B4EC1" w:rsidRDefault="00252869">
      <w:pPr>
        <w:pStyle w:val="Normaltindrag"/>
      </w:pPr>
      <w:r w:rsidRPr="001B4EC1">
        <w:t>Skrivelsen behandlas av socialförsäkringsutskottet under våren 2004.</w:t>
      </w:r>
    </w:p>
    <w:p w:rsidR="00252869" w:rsidRPr="001B4EC1" w:rsidRDefault="00252869">
      <w:pPr>
        <w:pStyle w:val="R4"/>
      </w:pPr>
      <w:r w:rsidRPr="001B4EC1">
        <w:t>Fråge- och interpellationssvar</w:t>
      </w:r>
    </w:p>
    <w:p w:rsidR="00252869" w:rsidRPr="001B4EC1" w:rsidRDefault="00252869">
      <w:r w:rsidRPr="001B4EC1">
        <w:t>Under innevarande riksmöte har Hans Karlsson lämnat information till rik</w:t>
      </w:r>
      <w:r w:rsidRPr="001B4EC1">
        <w:t>s</w:t>
      </w:r>
      <w:r w:rsidRPr="001B4EC1">
        <w:t>dagen om tillsättandet av en utredning om arbetskraftsinvandring i flera fr</w:t>
      </w:r>
      <w:r w:rsidRPr="001B4EC1">
        <w:t>å</w:t>
      </w:r>
      <w:r w:rsidRPr="001B4EC1">
        <w:t>gesvar och interpell</w:t>
      </w:r>
      <w:r w:rsidRPr="001B4EC1">
        <w:t>a</w:t>
      </w:r>
      <w:r w:rsidRPr="001B4EC1">
        <w:t>tionssvar.</w:t>
      </w:r>
    </w:p>
    <w:p w:rsidR="00252869" w:rsidRPr="001B4EC1" w:rsidRDefault="00252869">
      <w:pPr>
        <w:pStyle w:val="Normaltindrag"/>
      </w:pPr>
      <w:r w:rsidRPr="001B4EC1">
        <w:t>Den 24 september 2003 anförde Hans Karlsson i sitt svar på en fråga (fr. 2003/04:8) om innehållet i de direktiv som höll på att arbetas fram, att den kommande utredningen kommer att ha som sitt kärnuppdrag att se över det regelverk som styr möjligheterna för arbetskraftsinvandring. En översyn av det aktuella regelverket är dock ett komplext uppdrag, och det vore därför ofrånkomligt att utredningen ko</w:t>
      </w:r>
      <w:r w:rsidRPr="001B4EC1">
        <w:t>mmer att behöva ta ställning till en rad, till kärnuppdraget kopplade, frågor. Ett av utredningens uppdrag borde vara att sammanställa befintlig kunskap om det framtida behovet av arbetskraft och bedöma vilken roll arbetskraftsinvandring kan och bör spela för att motverka brist på arbetskraft på såväl län</w:t>
      </w:r>
      <w:r w:rsidRPr="001B4EC1">
        <w:t>g</w:t>
      </w:r>
      <w:r w:rsidRPr="001B4EC1">
        <w:t>re som kortare sikt.</w:t>
      </w:r>
    </w:p>
    <w:p w:rsidR="00252869" w:rsidRPr="001B4EC1" w:rsidRDefault="00252869">
      <w:pPr>
        <w:pStyle w:val="Normaltindrag"/>
      </w:pPr>
      <w:r w:rsidRPr="001B4EC1">
        <w:t>Den 22 oktober 2003 uppgav Hans Karlsson i sitt svar på en fråga (fr. 2003/04:75) att beredningen inom Regeringskansliet av de aktuella kommi</w:t>
      </w:r>
      <w:r w:rsidRPr="001B4EC1">
        <w:t>t</w:t>
      </w:r>
      <w:r w:rsidRPr="001B4EC1">
        <w:t>tédirektiven i princip var avslutad. Diskussioner pågick emellertid med för</w:t>
      </w:r>
      <w:r w:rsidRPr="001B4EC1">
        <w:t>e</w:t>
      </w:r>
      <w:r w:rsidRPr="001B4EC1">
        <w:t>trädare för Vänsterpartiet och Miljöpartiet de gröna. Förhoppningen var att regeringen skulle kunna fatta beslut inom en snar framtid. Mot bakgrund av att något beslut ännu inte förelåg uppgav Hans Karlsson dock att han inte kunde ge besked om vilka tidsramar som skulle komma att gälla för kommi</w:t>
      </w:r>
      <w:r w:rsidRPr="001B4EC1">
        <w:t>t</w:t>
      </w:r>
      <w:r w:rsidRPr="001B4EC1">
        <w:t>téns arbete. Han ville dock rent allmänt framhålla att en översyn av det akt</w:t>
      </w:r>
      <w:r w:rsidRPr="001B4EC1">
        <w:t>u</w:t>
      </w:r>
      <w:r w:rsidRPr="001B4EC1">
        <w:t>ella regelverket är ett komplext uppdrag. Han framhöll även a</w:t>
      </w:r>
      <w:r w:rsidRPr="001B4EC1">
        <w:t>tt han inte var beredd att medverka till att ett nytt regelverk för arbetskraftsinvandring hastas fram, och betonade att det är av yttersta vikt att slå vakt om kvaliteten i la</w:t>
      </w:r>
      <w:r w:rsidRPr="001B4EC1">
        <w:t>g</w:t>
      </w:r>
      <w:r w:rsidRPr="001B4EC1">
        <w:t>stif</w:t>
      </w:r>
      <w:r w:rsidRPr="001B4EC1">
        <w:t>t</w:t>
      </w:r>
      <w:r w:rsidRPr="001B4EC1">
        <w:t>ningsprocessen.</w:t>
      </w:r>
    </w:p>
    <w:p w:rsidR="00252869" w:rsidRPr="001B4EC1" w:rsidRDefault="00252869">
      <w:pPr>
        <w:pStyle w:val="Normaltindrag"/>
      </w:pPr>
      <w:r w:rsidRPr="001B4EC1">
        <w:t>Den 26 november 2003 uppgav Hans Karlsson i sitt svar på en fråga (fr. 2003/04:314) att beredningen inom Regeringskansliet av de aktuella ko</w:t>
      </w:r>
      <w:r w:rsidRPr="001B4EC1">
        <w:t>m</w:t>
      </w:r>
      <w:r w:rsidRPr="001B4EC1">
        <w:t>mittédirektiven i princip var avslutad och att han hoppades på ett regeringsb</w:t>
      </w:r>
      <w:r w:rsidRPr="001B4EC1">
        <w:t>e</w:t>
      </w:r>
      <w:r w:rsidRPr="001B4EC1">
        <w:t>slut inom kort.</w:t>
      </w:r>
    </w:p>
    <w:p w:rsidR="00252869" w:rsidRPr="001B4EC1" w:rsidRDefault="00252869">
      <w:pPr>
        <w:pStyle w:val="Normaltindrag"/>
      </w:pPr>
      <w:r w:rsidRPr="001B4EC1">
        <w:t>Den 28 november 2003 hänvisade Hans Karlsson i sitt svar på en interpe</w:t>
      </w:r>
      <w:r w:rsidRPr="001B4EC1">
        <w:t>l</w:t>
      </w:r>
      <w:r w:rsidRPr="001B4EC1">
        <w:t>lation (ip. 2003/04:127) till frågesvaret den 22 oktober, i vilket han informerat om att beredningen inom Regeringskansliet av de aktuella kommittédirekt</w:t>
      </w:r>
      <w:r w:rsidRPr="001B4EC1">
        <w:t>i</w:t>
      </w:r>
      <w:r w:rsidRPr="001B4EC1">
        <w:t>ven i princip var avslutad, att diskussioner pågick med företrädare för Milj</w:t>
      </w:r>
      <w:r w:rsidRPr="001B4EC1">
        <w:t>ö</w:t>
      </w:r>
      <w:r w:rsidRPr="001B4EC1">
        <w:t xml:space="preserve">partiet och Vänsterpartiet samt att han hoppades på ett regeringsbeslut inom en snar framtid. Enligt Hans Karlsson gällde detta fortfarande. Vidare anförde Hans Karlsson att när väl beslut om kommittédirektiv föreligger bör övriga vederbörliga beslut kunna fattas omgående så att </w:t>
      </w:r>
      <w:r w:rsidRPr="001B4EC1">
        <w:t>kommittén så fort som mö</w:t>
      </w:r>
      <w:r w:rsidRPr="001B4EC1">
        <w:t>j</w:t>
      </w:r>
      <w:r w:rsidRPr="001B4EC1">
        <w:t>ligt skall kunna börja arbeta. Han framhöll att flera av de frågor som utre</w:t>
      </w:r>
      <w:r w:rsidRPr="001B4EC1">
        <w:t>d</w:t>
      </w:r>
      <w:r w:rsidRPr="001B4EC1">
        <w:t>ningen kommer att behöva ta ställning till är både juridiskt och politiskt ko</w:t>
      </w:r>
      <w:r w:rsidRPr="001B4EC1">
        <w:t>m</w:t>
      </w:r>
      <w:r w:rsidRPr="001B4EC1">
        <w:t>plicerade, och det är därför inte märkligt att det tar en viss tid att ta fram kommittédirektiv i det aktuella fallet. Samtidigt medgav Hans Karlsson att det var otillfredsställande att arbetet med kommittédirektiven dragit ut på tiden så som har skett. Han försäkrade att det bakom detta inte ligger någon vilja från hans sida att f</w:t>
      </w:r>
      <w:r w:rsidRPr="001B4EC1">
        <w:t>örhala ett regeringsbeslut i linje med vad riksdagen givit uttryck för. Arbetet för att få till stånd ett beslut om kommittédirektiv och i övrigt se till att kommittén kan börja arbeta skulle därför också fortsättningsvis komma att ha mycket hög prioritet.</w:t>
      </w:r>
    </w:p>
    <w:p w:rsidR="00252869" w:rsidRPr="001B4EC1" w:rsidRDefault="00252869">
      <w:pPr>
        <w:pStyle w:val="Normaltindrag"/>
      </w:pPr>
      <w:r w:rsidRPr="001B4EC1">
        <w:t>Den 16 december 2003 upprepade Hans Karlsson i sitt svar på en inte</w:t>
      </w:r>
      <w:r w:rsidRPr="001B4EC1">
        <w:t>r</w:t>
      </w:r>
      <w:r w:rsidRPr="001B4EC1">
        <w:t>pellation (ip. 2003/04:140) vad han anfört i ovan nämnda interpellationssvar. I den efterföljande interpellationsdebatten anförde Hans Karlsson bl.a. att han inte var beredd att binda sig för ett exakt datum, men att efterfrågan på utre</w:t>
      </w:r>
      <w:r w:rsidRPr="001B4EC1">
        <w:t>d</w:t>
      </w:r>
      <w:r w:rsidRPr="001B4EC1">
        <w:t>ningsdirektiven är berättigad. Han försäkrade att det inte finns något annat skäl till tidsutdräkten än att detta är ett komplicerat arbete.</w:t>
      </w:r>
    </w:p>
    <w:p w:rsidR="00252869" w:rsidRPr="001B4EC1" w:rsidRDefault="00252869">
      <w:pPr>
        <w:pStyle w:val="Rubrik3"/>
        <w:rPr>
          <w:noProof w:val="0"/>
        </w:rPr>
      </w:pPr>
      <w:bookmarkStart w:id="21" w:name="_Toc72648452"/>
      <w:r w:rsidRPr="001B4EC1">
        <w:rPr>
          <w:noProof w:val="0"/>
        </w:rPr>
        <w:t>Promemoria från Näringsdepartementet</w:t>
      </w:r>
      <w:bookmarkEnd w:id="21"/>
    </w:p>
    <w:p w:rsidR="00252869" w:rsidRPr="001B4EC1" w:rsidRDefault="00252869">
      <w:r w:rsidRPr="001B4EC1">
        <w:t>Genom en skrivelse till Regeringskansliet har konstitutionsutskottet begärt en redogörelse för kommentarer till dels vad som anförs i anmälan om tidsu</w:t>
      </w:r>
      <w:r w:rsidRPr="001B4EC1">
        <w:t>t</w:t>
      </w:r>
      <w:r w:rsidRPr="001B4EC1">
        <w:t>dräkten i det aktuella ärendet, dels riktigheten i den information som getts till riksdagen vid olika tillfällen. Som svar har till utskottet översänts en pro</w:t>
      </w:r>
      <w:r w:rsidRPr="001B4EC1">
        <w:softHyphen/>
        <w:t xml:space="preserve">memoria som upprättats inom Näringsdepartementet den 1 mars 2004, </w:t>
      </w:r>
      <w:r w:rsidRPr="001B4EC1">
        <w:rPr>
          <w:i/>
        </w:rPr>
        <w:t>bilaga A1.2.2</w:t>
      </w:r>
      <w:r w:rsidRPr="001B4EC1">
        <w:t>. I promemorian anförs att beredningen av direktiven har involverat ett stort antal enheter på flera departement och att det därför i och för sig inte är märkligt att processen tagit viss tid. Vidare anförs att parallellt med bere</w:t>
      </w:r>
      <w:r w:rsidRPr="001B4EC1">
        <w:t>d</w:t>
      </w:r>
      <w:r w:rsidRPr="001B4EC1">
        <w:t>ningen inom Regeringskansliet har diskussi</w:t>
      </w:r>
      <w:r w:rsidRPr="001B4EC1">
        <w:t>oner också förts med Vänsterpa</w:t>
      </w:r>
      <w:r w:rsidRPr="001B4EC1">
        <w:t>r</w:t>
      </w:r>
      <w:r w:rsidRPr="001B4EC1">
        <w:t>tiet och Miljöpartiet de gröna, vilket bidragit till att ett beslut om direktiven dröjt. Enligt promemorian har Hans Karlsson vid upprepade tillfällen beklagat tidsutdräkten i ärendet. Han har också vid flera tillfällen informerat riksdagen om beredningsläget och då även redovisat bedömningar om när ett regering</w:t>
      </w:r>
      <w:r w:rsidRPr="001B4EC1">
        <w:t>s</w:t>
      </w:r>
      <w:r w:rsidRPr="001B4EC1">
        <w:t>beslut i saken rimligen borde kunna förväntas. Enligt promemorian kan det i efterhand konstateras att vissa av dessa bedömningar varit väl opt</w:t>
      </w:r>
      <w:r w:rsidRPr="001B4EC1">
        <w:t>i</w:t>
      </w:r>
      <w:r w:rsidRPr="001B4EC1">
        <w:t>mistiska.</w:t>
      </w:r>
    </w:p>
    <w:p w:rsidR="00252869" w:rsidRPr="001B4EC1" w:rsidRDefault="00252869">
      <w:pPr>
        <w:pStyle w:val="Rubrik4"/>
        <w:rPr>
          <w:noProof w:val="0"/>
        </w:rPr>
      </w:pPr>
      <w:bookmarkStart w:id="22" w:name="_Toc72648453"/>
      <w:r w:rsidRPr="001B4EC1">
        <w:rPr>
          <w:noProof w:val="0"/>
        </w:rPr>
        <w:t>Utfrågning med</w:t>
      </w:r>
      <w:r w:rsidRPr="001B4EC1">
        <w:rPr>
          <w:noProof w:val="0"/>
        </w:rPr>
        <w:t xml:space="preserve"> statsrådet Hans Karlsson</w:t>
      </w:r>
      <w:bookmarkEnd w:id="22"/>
    </w:p>
    <w:p w:rsidR="00252869" w:rsidRPr="001B4EC1" w:rsidRDefault="00252869">
      <w:r w:rsidRPr="001B4EC1">
        <w:t xml:space="preserve">Utskottet har den 25 mars 2004 hållit en offentlig utfrågning i ärendet med statsrådet Hans Karlsson, </w:t>
      </w:r>
      <w:r w:rsidRPr="001B4EC1">
        <w:rPr>
          <w:i/>
        </w:rPr>
        <w:t>bilaga B4</w:t>
      </w:r>
      <w:r w:rsidRPr="001B4EC1">
        <w:t>. Han uppgav bl.a. att framtagandet av direktiven inte har varit alldeles enkelt. Det är både komplexa, komplicerade och väldigt sammansatta frågor som berör många departement. I och med att det är en stor, viktig och långsiktigt väldigt betydelsefull fråga har ambitionen varit att det skall bli hög kvalitet i direktiven och att också framtagandet av direktiven har en förankring i riksdagen. Arbetet tog dock längre tid än vad han hade förväntat sig, vilket han också vid olika tillfällen beklagat, m</w:t>
      </w:r>
      <w:r w:rsidRPr="001B4EC1">
        <w:t>en av en rad olika skäl tappade regeringen fart under hösten. Den tidsplan han hade och som innebar att direktiven skulle vara klara före årsskiftet gick då inte att hålla. På frågan vad det fanns för skäl för Hans Karlsson att den 22 oktober 2003 (se frågesvar ovan) meddela att beredningen av kommittédirektiven i princip var avslutad om han inte hade grund för detta i sakförhållandena, svarade Hans Karlsson att han haft goda grunder för sin bedömning när den gjordes, men att den var optimistisk.</w:t>
      </w:r>
    </w:p>
    <w:p w:rsidR="00252869" w:rsidRPr="001B4EC1" w:rsidRDefault="00252869">
      <w:pPr>
        <w:pStyle w:val="Normaltindrag"/>
      </w:pPr>
      <w:r w:rsidRPr="001B4EC1">
        <w:t>Vad gäller</w:t>
      </w:r>
      <w:r w:rsidRPr="001B4EC1">
        <w:t xml:space="preserve"> ambitionen att förankra direktiven i riksdagen uppgav Hans Karlsson att en så stor fråga som den aktuella förtjänar att förankras hos en majoritet i  riksdagen, även om det formellt inte är nödvändigt. Det faktum att det var en relativt knapp majoritet i riksdagen som beställde utredningen ökade dock inte enligt Hans Karlssons mening behovet av förankring. Efte</w:t>
      </w:r>
      <w:r w:rsidRPr="001B4EC1">
        <w:t>r</w:t>
      </w:r>
      <w:r w:rsidRPr="001B4EC1">
        <w:t xml:space="preserve">som regeringen är en minoritetsregering fanns det dock skäl att förankra direktiven i varje fall hos samarbetspartierna. Något försök att förankra </w:t>
      </w:r>
      <w:r w:rsidRPr="001B4EC1">
        <w:t>d</w:t>
      </w:r>
      <w:r w:rsidRPr="001B4EC1">
        <w:t>i</w:t>
      </w:r>
      <w:r w:rsidRPr="001B4EC1">
        <w:t>rektiven hos övriga partier i riksdagen har inte gjorts. Han ville dock inte överbetona betydelsen av en politisk majoritet i riksdagen omkring direktiven, utan den andra delen – beredningsprocessen i Regeringskansliet – har egentl</w:t>
      </w:r>
      <w:r w:rsidRPr="001B4EC1">
        <w:t>i</w:t>
      </w:r>
      <w:r w:rsidRPr="001B4EC1">
        <w:t>gen haft större betydelse.</w:t>
      </w:r>
    </w:p>
    <w:p w:rsidR="00252869" w:rsidRPr="001B4EC1" w:rsidRDefault="00252869">
      <w:pPr>
        <w:pStyle w:val="Normaltindrag"/>
      </w:pPr>
      <w:r w:rsidRPr="001B4EC1">
        <w:t>Vidare uppgav Hans Karlsson att han möjligen borde vara mindre opt</w:t>
      </w:r>
      <w:r w:rsidRPr="001B4EC1">
        <w:t>i</w:t>
      </w:r>
      <w:r w:rsidRPr="001B4EC1">
        <w:t>mistisk och mera tillbakahållen i svaren i riksdagen för att inte riskera att vilseleda riksdagen. Samtidigt är ambitionen att vara någorlunda öppen och tillmötesgående i diskussioner.</w:t>
      </w:r>
    </w:p>
    <w:p w:rsidR="00252869" w:rsidRPr="001B4EC1" w:rsidRDefault="00252869">
      <w:pPr>
        <w:pStyle w:val="Rubrik3"/>
        <w:spacing w:before="235"/>
        <w:rPr>
          <w:noProof w:val="0"/>
        </w:rPr>
      </w:pPr>
      <w:bookmarkStart w:id="23" w:name="_Toc72648454"/>
      <w:r w:rsidRPr="001B4EC1">
        <w:rPr>
          <w:noProof w:val="0"/>
        </w:rPr>
        <w:t>Utskottets ställningstagande</w:t>
      </w:r>
      <w:bookmarkEnd w:id="23"/>
    </w:p>
    <w:p w:rsidR="00252869" w:rsidRPr="001B4EC1" w:rsidRDefault="00252869">
      <w:r w:rsidRPr="001B4EC1">
        <w:t>I april 2003 begärde riksdagen att en parlamentarisk utredning skulle tillsättas med uppdrag att utreda konsekvenser av och ta fram ett regelverk som me</w:t>
      </w:r>
      <w:r w:rsidRPr="001B4EC1">
        <w:t>d</w:t>
      </w:r>
      <w:r w:rsidRPr="001B4EC1">
        <w:t>ger vidgad arbetskraftsinvandring från länder utanför EU, och i februari 2004 beslutade regeringen om direktiv till en sådan utredning. Under denna period har regeringen och Hans Karlsson vid olika tillfällen redogjort för den påg</w:t>
      </w:r>
      <w:r w:rsidRPr="001B4EC1">
        <w:t>å</w:t>
      </w:r>
      <w:r w:rsidRPr="001B4EC1">
        <w:t>ende beredningen av direktiven och gjort bedömningar om när dessa skulle vara klara och utredningen skulle kunna tillsättas. Som framgår av det föreg</w:t>
      </w:r>
      <w:r w:rsidRPr="001B4EC1">
        <w:t>å</w:t>
      </w:r>
      <w:r w:rsidRPr="001B4EC1">
        <w:t>ende och som även framhållits av Hans Karlsson har arbetet med direktiven tagit längre tid än vad regeringen och Hans Karlsson vid</w:t>
      </w:r>
      <w:r w:rsidRPr="001B4EC1">
        <w:t xml:space="preserve"> dessa tillfällen föru</w:t>
      </w:r>
      <w:r w:rsidRPr="001B4EC1">
        <w:t>t</w:t>
      </w:r>
      <w:r w:rsidRPr="001B4EC1">
        <w:t>spått.</w:t>
      </w:r>
    </w:p>
    <w:p w:rsidR="00252869" w:rsidRPr="001B4EC1" w:rsidRDefault="00252869">
      <w:pPr>
        <w:pStyle w:val="Normaltindrag"/>
        <w:jc w:val="left"/>
      </w:pPr>
      <w:r w:rsidRPr="001B4EC1">
        <w:t>Enligt utskottets mening föranleder granskningen inte något uttalande i ö</w:t>
      </w:r>
      <w:r w:rsidRPr="001B4EC1">
        <w:t>v</w:t>
      </w:r>
      <w:r w:rsidRPr="001B4EC1">
        <w:t>rigt från utskottet.</w:t>
      </w:r>
    </w:p>
    <w:p w:rsidR="00252869" w:rsidRPr="001B4EC1" w:rsidRDefault="00252869">
      <w:pPr>
        <w:pStyle w:val="Rubrik2"/>
      </w:pPr>
      <w:bookmarkStart w:id="24" w:name="_Toc72648455"/>
      <w:r w:rsidRPr="001B4EC1">
        <w:t>1.3 Regeringens agerande avseende riksdagens beslut om Utlänningsnäm</w:t>
      </w:r>
      <w:r w:rsidRPr="001B4EC1">
        <w:t>n</w:t>
      </w:r>
      <w:r w:rsidRPr="001B4EC1">
        <w:t>den</w:t>
      </w:r>
      <w:bookmarkEnd w:id="24"/>
    </w:p>
    <w:p w:rsidR="00252869" w:rsidRPr="001B4EC1" w:rsidRDefault="00252869">
      <w:pPr>
        <w:pStyle w:val="Rubrik3"/>
        <w:spacing w:before="235"/>
        <w:rPr>
          <w:noProof w:val="0"/>
        </w:rPr>
      </w:pPr>
      <w:bookmarkStart w:id="25" w:name="_Toc72648456"/>
      <w:r w:rsidRPr="001B4EC1">
        <w:rPr>
          <w:noProof w:val="0"/>
        </w:rPr>
        <w:t>Anmälningar</w:t>
      </w:r>
      <w:bookmarkEnd w:id="25"/>
    </w:p>
    <w:p w:rsidR="00252869" w:rsidRPr="001B4EC1" w:rsidRDefault="00252869">
      <w:r w:rsidRPr="001B4EC1">
        <w:t xml:space="preserve">I en anmälan till konstitutionsutskottet den 13 oktober 2003, </w:t>
      </w:r>
      <w:r w:rsidRPr="001B4EC1">
        <w:rPr>
          <w:i/>
        </w:rPr>
        <w:t>bilaga A1.3.1</w:t>
      </w:r>
      <w:r w:rsidRPr="001B4EC1">
        <w:t>,  begärs att konstitutionsutskottet granskar statsrådet Barbro Holmberg och hennes företrädare statsrådet Jan O. Karlsson för att söka utröna huruvida regeringen obstruerat riksdagens beslut om Utlänningsnämndens avskaffande. I anmälan anförs att regeringen eventuellt har förhalat processen på grund av att den ogillar riksdagens beslut. I anmälan refereras ett uttalande av Barbro Holmberg och hänvisas till en promemoria som upprättats i Regeringskansliet enligt vilken kostnaden för en förändra</w:t>
      </w:r>
      <w:r w:rsidRPr="001B4EC1">
        <w:t>d process- och instansordning i utlä</w:t>
      </w:r>
      <w:r w:rsidRPr="001B4EC1">
        <w:t>n</w:t>
      </w:r>
      <w:r w:rsidRPr="001B4EC1">
        <w:t>ningsärenden blir klart högre än vad tidigare utre</w:t>
      </w:r>
      <w:r w:rsidRPr="001B4EC1">
        <w:t>d</w:t>
      </w:r>
      <w:r w:rsidRPr="001B4EC1">
        <w:t>ningar kommit fram till.</w:t>
      </w:r>
    </w:p>
    <w:p w:rsidR="00252869" w:rsidRPr="001B4EC1" w:rsidRDefault="00252869">
      <w:pPr>
        <w:pStyle w:val="Normaltindrag"/>
      </w:pPr>
      <w:r w:rsidRPr="001B4EC1">
        <w:t xml:space="preserve">I en anmälan till konstitutionsutskottet den 14 oktober 2003, </w:t>
      </w:r>
      <w:r w:rsidRPr="001B4EC1">
        <w:rPr>
          <w:i/>
        </w:rPr>
        <w:t>bilaga A1.3.2</w:t>
      </w:r>
      <w:r w:rsidRPr="001B4EC1">
        <w:t>,  begärs att konstitutionsutskottet granskar hur regeringen verkställt och up</w:t>
      </w:r>
      <w:r w:rsidRPr="001B4EC1">
        <w:t>p</w:t>
      </w:r>
      <w:r w:rsidRPr="001B4EC1">
        <w:t>fyllt riksdagens beslut om Utlänningsnämnden. I anmälan anförs att regerin</w:t>
      </w:r>
      <w:r w:rsidRPr="001B4EC1">
        <w:t>g</w:t>
      </w:r>
      <w:r w:rsidRPr="001B4EC1">
        <w:t>en fortfarande inte har genomfört riksdagens beslut och att Socialdemokrate</w:t>
      </w:r>
      <w:r w:rsidRPr="001B4EC1">
        <w:t>r</w:t>
      </w:r>
      <w:r w:rsidRPr="001B4EC1">
        <w:t>na enligt uppgifter anser att en nedläggning skulle medföra alltför stora kos</w:t>
      </w:r>
      <w:r w:rsidRPr="001B4EC1">
        <w:t>t</w:t>
      </w:r>
      <w:r w:rsidRPr="001B4EC1">
        <w:t>nader, allt enligt beräkningar från Regeringskansliet.</w:t>
      </w:r>
    </w:p>
    <w:p w:rsidR="00252869" w:rsidRPr="001B4EC1" w:rsidRDefault="00252869">
      <w:pPr>
        <w:pStyle w:val="Rubrik3"/>
        <w:rPr>
          <w:noProof w:val="0"/>
        </w:rPr>
      </w:pPr>
      <w:bookmarkStart w:id="26" w:name="_Toc72648457"/>
      <w:r w:rsidRPr="001B4EC1">
        <w:rPr>
          <w:noProof w:val="0"/>
        </w:rPr>
        <w:t>Bakgrund</w:t>
      </w:r>
      <w:bookmarkEnd w:id="26"/>
    </w:p>
    <w:p w:rsidR="00252869" w:rsidRPr="001B4EC1" w:rsidRDefault="00252869">
      <w:pPr>
        <w:pStyle w:val="R4"/>
      </w:pPr>
      <w:r w:rsidRPr="001B4EC1">
        <w:t>Beredning av och beslut i frågan om en ny instansordning i utlänningsärenden</w:t>
      </w:r>
    </w:p>
    <w:p w:rsidR="00252869" w:rsidRPr="001B4EC1" w:rsidRDefault="00252869">
      <w:r w:rsidRPr="001B4EC1">
        <w:t xml:space="preserve">År 1997 tillsattes en parlamentarisk kommitté med uppgift att utreda frågan om en ny instans- och processordning vid tillämpning av utlännings- och medborgarskapslagstiftningen. Kommittén antog namnet Kommittén om ny instans- och processordning i utlänningsärenden (NIPU). </w:t>
      </w:r>
      <w:r w:rsidRPr="001B4EC1">
        <w:rPr>
          <w:snapToGrid w:val="0"/>
        </w:rPr>
        <w:t>I slutbetänkandet Ökad rättssäkerhet i asylärenden (SOU 1999:16) var samtliga ledamöter i kommittén överens om att överprövningen i utlänningsärendena borde föras över till de allmänna förvaltningsdomstolarna.</w:t>
      </w:r>
    </w:p>
    <w:p w:rsidR="00252869" w:rsidRPr="001B4EC1" w:rsidRDefault="00252869">
      <w:pPr>
        <w:pStyle w:val="Normaltindrag"/>
        <w:rPr>
          <w:snapToGrid w:val="0"/>
        </w:rPr>
      </w:pPr>
      <w:r w:rsidRPr="001B4EC1">
        <w:rPr>
          <w:snapToGrid w:val="0"/>
        </w:rPr>
        <w:t>Med anledning av innehållet i en del av remissvaren som avgavs med a</w:t>
      </w:r>
      <w:r w:rsidRPr="001B4EC1">
        <w:rPr>
          <w:snapToGrid w:val="0"/>
        </w:rPr>
        <w:t>n</w:t>
      </w:r>
      <w:r w:rsidRPr="001B4EC1">
        <w:rPr>
          <w:snapToGrid w:val="0"/>
        </w:rPr>
        <w:t>ledning av slutbetänkandet tillsattes en arbetsgrupp inom Regeringskansliet för att dels se över kostnaderna för den föreslagna instansordningen, dels utreda ett specialdomstolsalternativ. Arbetsgruppen redogjorde för sitt arbete i departementspromemorian En specialdomstol för utlänningsärenden (Ds 2000:45).</w:t>
      </w:r>
    </w:p>
    <w:p w:rsidR="00252869" w:rsidRPr="001B4EC1" w:rsidRDefault="00252869">
      <w:pPr>
        <w:pStyle w:val="Normaltindrag"/>
      </w:pPr>
      <w:r w:rsidRPr="001B4EC1">
        <w:t>I november 2001 tillkännagav riksdagen för regeringen som sin mening att regeringen snarast borde återkomma till riksdagen med ett förslag till en ny instans- och processordning i utlänningsärenden (rs</w:t>
      </w:r>
      <w:r w:rsidRPr="001B4EC1">
        <w:t>kr. 2001/02:69–70). I det betänkande som låg till grund för riksdagens beslut (bet. 2001/02:SfU2) utt</w:t>
      </w:r>
      <w:r w:rsidRPr="001B4EC1">
        <w:t>a</w:t>
      </w:r>
      <w:r w:rsidRPr="001B4EC1">
        <w:t>lade socialförsäkringsutskottet att det utgick från att det omfattande bere</w:t>
      </w:r>
      <w:r w:rsidRPr="001B4EC1">
        <w:t>d</w:t>
      </w:r>
      <w:r w:rsidRPr="001B4EC1">
        <w:t>ningsarbete som genomförts möjliggjorde att en proposition kunde föreläggas riksdagen under våren 2002, för riksdagsbeslut före somm</w:t>
      </w:r>
      <w:r w:rsidRPr="001B4EC1">
        <w:t>a</w:t>
      </w:r>
      <w:r w:rsidRPr="001B4EC1">
        <w:t>ren.</w:t>
      </w:r>
    </w:p>
    <w:p w:rsidR="00252869" w:rsidRPr="001B4EC1" w:rsidRDefault="00252869">
      <w:pPr>
        <w:pStyle w:val="Normaltindrag"/>
      </w:pPr>
      <w:r w:rsidRPr="001B4EC1">
        <w:t>Regeringen överlämnade i juni 2002 en remiss om ny instans- och pr</w:t>
      </w:r>
      <w:r w:rsidRPr="001B4EC1">
        <w:t>o</w:t>
      </w:r>
      <w:r w:rsidRPr="001B4EC1">
        <w:t xml:space="preserve">cessordning i utlänningsärenden till Lagrådet. </w:t>
      </w:r>
      <w:r w:rsidRPr="001B4EC1">
        <w:rPr>
          <w:snapToGrid w:val="0"/>
        </w:rPr>
        <w:t>I sitt yttrande av den 9 oktober 2002 avstyrkte Lagrådet på förevarande underlag förslaget till ny process- och instansordning. Lagrådet uttalade att det är en fördel från rättssäkerhetssy</w:t>
      </w:r>
      <w:r w:rsidRPr="001B4EC1">
        <w:rPr>
          <w:snapToGrid w:val="0"/>
        </w:rPr>
        <w:t>n</w:t>
      </w:r>
      <w:r w:rsidRPr="001B4EC1">
        <w:rPr>
          <w:snapToGrid w:val="0"/>
        </w:rPr>
        <w:t>punkt om proceduren organiseras som ett tvåpartsförfarande med inslag av muntlig förhandling. De föreslagna åtgärderna rörande proceduren var ko</w:t>
      </w:r>
      <w:r w:rsidRPr="001B4EC1">
        <w:rPr>
          <w:snapToGrid w:val="0"/>
        </w:rPr>
        <w:t>n</w:t>
      </w:r>
      <w:r w:rsidRPr="001B4EC1">
        <w:rPr>
          <w:snapToGrid w:val="0"/>
        </w:rPr>
        <w:t>centrerade till överprövningen av beslut som fattas i första instans. En grun</w:t>
      </w:r>
      <w:r w:rsidRPr="001B4EC1">
        <w:rPr>
          <w:snapToGrid w:val="0"/>
        </w:rPr>
        <w:t>d</w:t>
      </w:r>
      <w:r w:rsidRPr="001B4EC1">
        <w:rPr>
          <w:snapToGrid w:val="0"/>
        </w:rPr>
        <w:t xml:space="preserve">läggande förutsättning för att regleringen skall ge </w:t>
      </w:r>
      <w:r w:rsidRPr="001B4EC1">
        <w:rPr>
          <w:snapToGrid w:val="0"/>
        </w:rPr>
        <w:t>godtagbara rättssäkerhet</w:t>
      </w:r>
      <w:r w:rsidRPr="001B4EC1">
        <w:rPr>
          <w:snapToGrid w:val="0"/>
        </w:rPr>
        <w:t>s</w:t>
      </w:r>
      <w:r w:rsidRPr="001B4EC1">
        <w:rPr>
          <w:snapToGrid w:val="0"/>
        </w:rPr>
        <w:t>garantier var dock enligt Lagrådet att de materiella reglerna är utformade så att tillämpningen kan bli enhetlig och förutsebar. Lagrådet menade vidare att det måste beaktas hur denna nyordning återverkar på handläggningstiderna. Ett alldeles särskilt problem på rättsområdet var enligt Lagrådet att överkl</w:t>
      </w:r>
      <w:r w:rsidRPr="001B4EC1">
        <w:rPr>
          <w:snapToGrid w:val="0"/>
        </w:rPr>
        <w:t>a</w:t>
      </w:r>
      <w:r w:rsidRPr="001B4EC1">
        <w:rPr>
          <w:snapToGrid w:val="0"/>
        </w:rPr>
        <w:t>gandefrekvensen i avlägsnandeärenden är ytterligt hög. Lagrådet var vidare tveksamt till tanken på den föreslagna ordningen med att lägga ansvaret för praxisbildning på utlänningsr</w:t>
      </w:r>
      <w:r w:rsidRPr="001B4EC1">
        <w:rPr>
          <w:snapToGrid w:val="0"/>
        </w:rPr>
        <w:t>ättens område på en kammarrätt (migration</w:t>
      </w:r>
      <w:r w:rsidRPr="001B4EC1">
        <w:rPr>
          <w:snapToGrid w:val="0"/>
        </w:rPr>
        <w:t>s</w:t>
      </w:r>
      <w:r w:rsidRPr="001B4EC1">
        <w:rPr>
          <w:snapToGrid w:val="0"/>
        </w:rPr>
        <w:t xml:space="preserve">överdomstol). </w:t>
      </w:r>
    </w:p>
    <w:p w:rsidR="00252869" w:rsidRPr="001B4EC1" w:rsidRDefault="00252869">
      <w:pPr>
        <w:pStyle w:val="Normaltindrag"/>
      </w:pPr>
      <w:r w:rsidRPr="001B4EC1">
        <w:t>Den 6 mars 2003 beslutade regeringen om direktiv för en parlamentarisk kommitté om översyn av utlänningslagstiftningen (dir. 2003:28). Kommittén skall göra en genomgång av utlänningslagens materiella bestämmelser och anpassa dessa till en övergång från handläggning hos förvaltningsmyndigh</w:t>
      </w:r>
      <w:r w:rsidRPr="001B4EC1">
        <w:t>e</w:t>
      </w:r>
      <w:r w:rsidRPr="001B4EC1">
        <w:t>ter och regeringen till ett system där överprövningen sker i domstol. Ko</w:t>
      </w:r>
      <w:r w:rsidRPr="001B4EC1">
        <w:t>m</w:t>
      </w:r>
      <w:r w:rsidRPr="001B4EC1">
        <w:t>mittén skall därvid utreda hur vissa materiella bestämmelser i utlänningslagen skall utformas för att säkerställa en rättssäker, förutsebar och enhetlig ti</w:t>
      </w:r>
      <w:r w:rsidRPr="001B4EC1">
        <w:t>l</w:t>
      </w:r>
      <w:r w:rsidRPr="001B4EC1">
        <w:t>lämpning i såväl första instans som högre instans vid en reformerad instans- och processordning. Utgångspunkt för kommittén är den lagrådsremiss med förslag till ny instans- och processordning i utlännings- och medborgarskap</w:t>
      </w:r>
      <w:r w:rsidRPr="001B4EC1">
        <w:t>s</w:t>
      </w:r>
      <w:r w:rsidRPr="001B4EC1">
        <w:t>ärenden som regeringen beslutade om i juni 2002 samt Lagr</w:t>
      </w:r>
      <w:r w:rsidRPr="001B4EC1">
        <w:t>ådets yttrande från oktober 2002. Ordförande, ledamöter, experter och sekreterare till ko</w:t>
      </w:r>
      <w:r w:rsidRPr="001B4EC1">
        <w:t>m</w:t>
      </w:r>
      <w:r w:rsidRPr="001B4EC1">
        <w:t>mittén utsågs den 22 respektive 29 april 2003, och kommittén påbörjade sitt arbete den 1 maj 2003.</w:t>
      </w:r>
    </w:p>
    <w:p w:rsidR="00252869" w:rsidRPr="001B4EC1" w:rsidRDefault="00252869">
      <w:pPr>
        <w:pStyle w:val="Normaltindrag"/>
      </w:pPr>
      <w:r w:rsidRPr="001B4EC1">
        <w:t>Socialförsäkringsutskottet behandlade i mars 2003 motionsyrkanden om ändrad instansordning i asylärenden (bet. 2002/03:SfU8). Utskottet avstyrkte motionsyrkandena med hänvisning till att den parlamentariska utredningens förslag bör avvaktas. Riksdagen följde utskottet (rskr. 2002/03:143).</w:t>
      </w:r>
    </w:p>
    <w:p w:rsidR="00252869" w:rsidRPr="001B4EC1" w:rsidRDefault="00252869">
      <w:pPr>
        <w:pStyle w:val="Normaltindrag"/>
      </w:pPr>
      <w:r w:rsidRPr="001B4EC1">
        <w:t>Enligt de första, ovan nämnda, direktiven skulle kommittén om översyn av utlänningslagstiftningen slutföra sitt arbete senast den 15 december 2003 (dir. 2003:28). Den 10 november 2003 begärde kommittén att tiden för utrednin</w:t>
      </w:r>
      <w:r w:rsidRPr="001B4EC1">
        <w:t>g</w:t>
      </w:r>
      <w:r w:rsidRPr="001B4EC1">
        <w:t>en skulle förlängas till den 1 juni 2004. Kommittén ville därmed bl.a. beakta de förslag i den proposition som regeringen skulle besluta i december 2003 om prövning av verkställighetshinder i utlänningsärenden. Den 4 december 2003 beslutade regeringen om förlängd utredningstid för kommittén. Enligt tilläggsdirektiven skall kommittén redovisa sitt uppdrag senast den 1 juni 2004 (dir. 2003:147).</w:t>
      </w:r>
    </w:p>
    <w:p w:rsidR="00252869" w:rsidRPr="001B4EC1" w:rsidRDefault="00252869">
      <w:pPr>
        <w:pStyle w:val="Normaltindrag"/>
      </w:pPr>
      <w:r w:rsidRPr="001B4EC1">
        <w:t>Regeringen har vid olika tillfällen informerat riksdagen och socialförsä</w:t>
      </w:r>
      <w:r w:rsidRPr="001B4EC1">
        <w:t>k</w:t>
      </w:r>
      <w:r w:rsidRPr="001B4EC1">
        <w:t>ringsutskottet om beredningsläget i ärendet om en ny instansordning i utlä</w:t>
      </w:r>
      <w:r w:rsidRPr="001B4EC1">
        <w:t>n</w:t>
      </w:r>
      <w:r w:rsidRPr="001B4EC1">
        <w:t>ningsärenden, bl.a. i regeringens skrivelse 2003/04:75 Redogörelse för b</w:t>
      </w:r>
      <w:r w:rsidRPr="001B4EC1">
        <w:t>e</w:t>
      </w:r>
      <w:r w:rsidRPr="001B4EC1">
        <w:t xml:space="preserve">handlingen av riksdagens skrivelser till regeringen, som överlämnades till riksdagen i mars 2004. I skrivelsen (s. 42) uppger regeringen att dess </w:t>
      </w:r>
      <w:r w:rsidRPr="001B4EC1">
        <w:rPr>
          <w:snapToGrid w:val="0"/>
          <w:lang w:eastAsia="sv-SE"/>
        </w:rPr>
        <w:t>avsikt är att återkomma till riksdagen med ett nytt förslag till hur en reform skulle kunna utformas när den ovan nämnda parlamentariska kommittén presenterat sitt förslag, och detta förslag har remissbehandlats i sed</w:t>
      </w:r>
      <w:r w:rsidRPr="001B4EC1">
        <w:rPr>
          <w:snapToGrid w:val="0"/>
          <w:lang w:eastAsia="sv-SE"/>
        </w:rPr>
        <w:t>vanlig ordning.</w:t>
      </w:r>
    </w:p>
    <w:p w:rsidR="00252869" w:rsidRPr="001B4EC1" w:rsidRDefault="00252869">
      <w:pPr>
        <w:pStyle w:val="Normaltindrag"/>
      </w:pPr>
      <w:r w:rsidRPr="001B4EC1">
        <w:t>Konstitutionsutskottet bereder under våren regeringens skrivelse 2003/04: 75 och har därvid anmodat övriga utskott att yttra sig över skrivelsen. I sitt yttrande till konstitutionsutskottet redogör socialförsäkringsutskottet för den information om beredningsarbetet med den nya instans- och processordningen som utskottet fått under innevarande riksmöte (yttr. 2003/04:SfU4y). Socia</w:t>
      </w:r>
      <w:r w:rsidRPr="001B4EC1">
        <w:t>l</w:t>
      </w:r>
      <w:r w:rsidRPr="001B4EC1">
        <w:t>försäkringsutskottet uppger också att utskottet nödgas konstatera att regerin</w:t>
      </w:r>
      <w:r w:rsidRPr="001B4EC1">
        <w:t>g</w:t>
      </w:r>
      <w:r w:rsidRPr="001B4EC1">
        <w:t>ens beredning av den nya instans- och processordningen i utlänningsärenden som riksdagen begärt tar orimligt lång tid. Åtskilliga moment i beredningsa</w:t>
      </w:r>
      <w:r w:rsidRPr="001B4EC1">
        <w:t>r</w:t>
      </w:r>
      <w:r w:rsidRPr="001B4EC1">
        <w:t>betet har enligt utskottet dragit ut på tiden och sammantaget medfört en mycket lång tidsutdräkt. Utskottet konstaterar att den organisationskommitté som det då ansvariga statsrådet vid överläggningar med de övriga riksdag</w:t>
      </w:r>
      <w:r w:rsidRPr="001B4EC1">
        <w:t>s</w:t>
      </w:r>
      <w:r w:rsidRPr="001B4EC1">
        <w:t>partierna i december 2002 utfäste skulle tillsättas samtidi</w:t>
      </w:r>
      <w:r w:rsidRPr="001B4EC1">
        <w:t>gt med Utlänning</w:t>
      </w:r>
      <w:r w:rsidRPr="001B4EC1">
        <w:t>s</w:t>
      </w:r>
      <w:r w:rsidRPr="001B4EC1">
        <w:t>lagskommittén ännu inte tillsatts. Enligt utskottet är detta ytterligare ett tec</w:t>
      </w:r>
      <w:r w:rsidRPr="001B4EC1">
        <w:t>k</w:t>
      </w:r>
      <w:r w:rsidRPr="001B4EC1">
        <w:t>en på att beredningsarbetet inte bedrivs med den skyndsamhet som är motiv</w:t>
      </w:r>
      <w:r w:rsidRPr="001B4EC1">
        <w:t>e</w:t>
      </w:r>
      <w:r w:rsidRPr="001B4EC1">
        <w:t>rad. Utskottet anser att konstitutionsutskottet bör göra ett påpekande om detta. Avvikande mening anförs i yttrandet av socialförsäkringsutskottets s-leda</w:t>
      </w:r>
      <w:r w:rsidRPr="001B4EC1">
        <w:softHyphen/>
        <w:t>möter. Dessa anser med hänsyn till vad som redovisats om det pågående beredningsarbetet att det inte finns anledning för konstitutionsutskottet att göra något påpekande i ärendet.</w:t>
      </w:r>
    </w:p>
    <w:p w:rsidR="00252869" w:rsidRPr="001B4EC1" w:rsidRDefault="00252869">
      <w:pPr>
        <w:pStyle w:val="Rubrik3"/>
        <w:rPr>
          <w:noProof w:val="0"/>
        </w:rPr>
      </w:pPr>
      <w:bookmarkStart w:id="27" w:name="_Toc72648458"/>
      <w:r w:rsidRPr="001B4EC1">
        <w:rPr>
          <w:noProof w:val="0"/>
        </w:rPr>
        <w:t>Prome</w:t>
      </w:r>
      <w:r w:rsidRPr="001B4EC1">
        <w:rPr>
          <w:noProof w:val="0"/>
        </w:rPr>
        <w:t>morior från Utrikesdepartementet</w:t>
      </w:r>
      <w:bookmarkEnd w:id="27"/>
    </w:p>
    <w:p w:rsidR="00252869" w:rsidRPr="001B4EC1" w:rsidRDefault="00252869">
      <w:pPr>
        <w:pStyle w:val="R4"/>
      </w:pPr>
      <w:r w:rsidRPr="001B4EC1">
        <w:t>Promemorian den 3 februari 2004</w:t>
      </w:r>
    </w:p>
    <w:p w:rsidR="00252869" w:rsidRPr="001B4EC1" w:rsidRDefault="00252869">
      <w:r w:rsidRPr="001B4EC1">
        <w:t>Genom en skrivelse den 20 januari 2004 begärde konstitutionsutskottet dels kommentarer till vad som anförs i granskningsanmälningarna och en redog</w:t>
      </w:r>
      <w:r w:rsidRPr="001B4EC1">
        <w:t>ö</w:t>
      </w:r>
      <w:r w:rsidRPr="001B4EC1">
        <w:t>relse för vilka skäl som ligger bakom tidsutdräkten i ärendet, dels att få ta del av den promemoria som upprättats inom Regeringskansliet och som innehå</w:t>
      </w:r>
      <w:r w:rsidRPr="001B4EC1">
        <w:t>l</w:t>
      </w:r>
      <w:r w:rsidRPr="001B4EC1">
        <w:t>ler beräkning av kostnaden för en ny process- och instansordning i utlä</w:t>
      </w:r>
      <w:r w:rsidRPr="001B4EC1">
        <w:t>n</w:t>
      </w:r>
      <w:r w:rsidRPr="001B4EC1">
        <w:t>ningsärenden, dels en redogörelse för vilka åtgärder regeringen vidtagit för att informera riksdagen om orsakerna till tidsutdräkten i ärendet.</w:t>
      </w:r>
    </w:p>
    <w:p w:rsidR="00252869" w:rsidRPr="001B4EC1" w:rsidRDefault="00252869">
      <w:pPr>
        <w:pStyle w:val="Normaltindrag"/>
      </w:pPr>
      <w:r w:rsidRPr="001B4EC1">
        <w:t>Som svar översändes till utskottet en promemoria som upprättats inom U</w:t>
      </w:r>
      <w:r w:rsidRPr="001B4EC1">
        <w:t>t</w:t>
      </w:r>
      <w:r w:rsidRPr="001B4EC1">
        <w:t xml:space="preserve">rikesdepartementet den 3 februari 2004, </w:t>
      </w:r>
      <w:r w:rsidRPr="001B4EC1">
        <w:rPr>
          <w:i/>
        </w:rPr>
        <w:t>bilaga A1.3.3</w:t>
      </w:r>
      <w:r w:rsidRPr="001B4EC1">
        <w:t>.</w:t>
      </w:r>
    </w:p>
    <w:p w:rsidR="00252869" w:rsidRPr="001B4EC1" w:rsidRDefault="00252869">
      <w:pPr>
        <w:pStyle w:val="Normaltindrag"/>
      </w:pPr>
      <w:r w:rsidRPr="001B4EC1">
        <w:t>Vad gäller tidsutdräkten i ärendet anförs i promemorian att regeringen den 6 juni 2002 beslutade om en lagrådsremiss om en ny instans- och processor</w:t>
      </w:r>
      <w:r w:rsidRPr="001B4EC1">
        <w:t>d</w:t>
      </w:r>
      <w:r w:rsidRPr="001B4EC1">
        <w:t>ning i utlänningsärenden i enlighet med riksdagens tillkännagivande och med NIPU:s betänkande som huvudsaklig grund, men förslaget avstyrktes av Lagrådet. Efter Lagrådets yttrande informerades socialförsäkringsutskottet om den uppkomna situationen. Enskilda samtal mellan statsrådet Jan O. Karlsson och företrädare för riksdagspartierna ägde också rum under senhö</w:t>
      </w:r>
      <w:r w:rsidRPr="001B4EC1">
        <w:t>s</w:t>
      </w:r>
      <w:r w:rsidRPr="001B4EC1">
        <w:t>ten 2002. Enligt promemorian erhöll regeringen vid dessa samtal klartecken från övriga riksdagspartier att inte direkt gå vidare med det förslag so</w:t>
      </w:r>
      <w:r w:rsidRPr="001B4EC1">
        <w:t>m La</w:t>
      </w:r>
      <w:r w:rsidRPr="001B4EC1">
        <w:t>g</w:t>
      </w:r>
      <w:r w:rsidRPr="001B4EC1">
        <w:t>rådet avstyrkte. I stället beslutade regeringen i mars 2003 att tillsätta en pa</w:t>
      </w:r>
      <w:r w:rsidRPr="001B4EC1">
        <w:t>r</w:t>
      </w:r>
      <w:r w:rsidRPr="001B4EC1">
        <w:t>lamentarisk kommitté med uppgift att bl.a. göra en översyn av utlänningsla</w:t>
      </w:r>
      <w:r w:rsidRPr="001B4EC1">
        <w:t>g</w:t>
      </w:r>
      <w:r w:rsidRPr="001B4EC1">
        <w:t>stiftningen och anpassa dessa materiella regler för tillämpning i do</w:t>
      </w:r>
      <w:r w:rsidRPr="001B4EC1">
        <w:t>m</w:t>
      </w:r>
      <w:r w:rsidRPr="001B4EC1">
        <w:t>stol.</w:t>
      </w:r>
    </w:p>
    <w:p w:rsidR="00252869" w:rsidRPr="001B4EC1" w:rsidRDefault="00252869">
      <w:pPr>
        <w:pStyle w:val="Normaltindrag"/>
      </w:pPr>
      <w:r w:rsidRPr="001B4EC1">
        <w:t>Trots att en parlamentarisk utredning lämnat ett förslag till hur en ny i</w:t>
      </w:r>
      <w:r w:rsidRPr="001B4EC1">
        <w:t>n</w:t>
      </w:r>
      <w:r w:rsidRPr="001B4EC1">
        <w:t>stans- och processordning skulle kunna utformas och att en interdeparteme</w:t>
      </w:r>
      <w:r w:rsidRPr="001B4EC1">
        <w:t>n</w:t>
      </w:r>
      <w:r w:rsidRPr="001B4EC1">
        <w:t>tal arbetsgrupp därefter utrett hur en specialdomstol skulle kunna ersätta Utlänningsnämnden framkom, enligt promemorian, under den fortsatta b</w:t>
      </w:r>
      <w:r w:rsidRPr="001B4EC1">
        <w:t>e</w:t>
      </w:r>
      <w:r w:rsidRPr="001B4EC1">
        <w:t>redningen att ett flertal frågor inte belysts tillräckligt väl eller inte alls. Fra</w:t>
      </w:r>
      <w:r w:rsidRPr="001B4EC1">
        <w:t>m</w:t>
      </w:r>
      <w:r w:rsidRPr="001B4EC1">
        <w:t>för allt framkom att de ekonomiska beräkningarna var bristfälliga men även att de organisatoriska frågorna var otillräckligt analyserade. Vidare anförs att mycket har hänt sedan det ursprungliga beslutet om at</w:t>
      </w:r>
      <w:r w:rsidRPr="001B4EC1">
        <w:t>t utreda en ny instans- och processordning fattades 1997 och sedan NIPU:s betänkande lades fram 1999, och förutsättningarna är således i vissa delar förändrade. Sedan riksd</w:t>
      </w:r>
      <w:r w:rsidRPr="001B4EC1">
        <w:t>a</w:t>
      </w:r>
      <w:r w:rsidRPr="001B4EC1">
        <w:t>gens tillkännagivande har också enligt promemorian en mängd åtgärder vi</w:t>
      </w:r>
      <w:r w:rsidRPr="001B4EC1">
        <w:t>d</w:t>
      </w:r>
      <w:r w:rsidRPr="001B4EC1">
        <w:t>tagits, inom Regeringskansliet men också hos berörda myndigheter, under beredningen av frågan om en ny instans- och processordning för utlänning</w:t>
      </w:r>
      <w:r w:rsidRPr="001B4EC1">
        <w:t>s</w:t>
      </w:r>
      <w:r w:rsidRPr="001B4EC1">
        <w:t>äre</w:t>
      </w:r>
      <w:r w:rsidRPr="001B4EC1">
        <w:t>n</w:t>
      </w:r>
      <w:r w:rsidRPr="001B4EC1">
        <w:t>den.</w:t>
      </w:r>
    </w:p>
    <w:p w:rsidR="00252869" w:rsidRPr="001B4EC1" w:rsidRDefault="00252869">
      <w:pPr>
        <w:pStyle w:val="Normaltindrag"/>
      </w:pPr>
      <w:r w:rsidRPr="001B4EC1">
        <w:t>Vad gäller kostnadsberäkningarna som gjorts inom Regeringskansliet a</w:t>
      </w:r>
      <w:r w:rsidRPr="001B4EC1">
        <w:t>n</w:t>
      </w:r>
      <w:r w:rsidRPr="001B4EC1">
        <w:t>förs i promemorian att de gjorts i syfte att skapa ett fullgott underlag för att kunna verkställa riksdagens beslut. I en bilaga till promemorian bifogas det dokument med kostnadsberäkningar som upprättades i Regeringskansliet i oktober 2003. I dokumentet finns två alternativ som i olika avseenden skiljer sig från de förutsättningar som NIPU utgick ifrån. Kostnadspåverkande fakt</w:t>
      </w:r>
      <w:r w:rsidRPr="001B4EC1">
        <w:t>o</w:t>
      </w:r>
      <w:r w:rsidRPr="001B4EC1">
        <w:t>rer, som ett större antal asylsökande, har tillkommit. Enligt alternativ 1 skulle en ny instans- och processordning medföra en re</w:t>
      </w:r>
      <w:r w:rsidRPr="001B4EC1">
        <w:t>formkostnad (årlig merkos</w:t>
      </w:r>
      <w:r w:rsidRPr="001B4EC1">
        <w:t>t</w:t>
      </w:r>
      <w:r w:rsidRPr="001B4EC1">
        <w:t>nad) på 710–910 miljoner kronor och en omställningskostnad på 285–485 miljoner kronor och enligt alternativ 2 en reformkostnad (årlig merkostnad) på 530–630 miljoner kronor och en omställningskostnad på 220–370 miljoner kronor. I dokumentet anförs att alla siffror är preliminära och avrundade och att mer exakta siffror kan lämnas ut först när det står klart hur de lagbestä</w:t>
      </w:r>
      <w:r w:rsidRPr="001B4EC1">
        <w:t>m</w:t>
      </w:r>
      <w:r w:rsidRPr="001B4EC1">
        <w:t>melser som do</w:t>
      </w:r>
      <w:r w:rsidRPr="001B4EC1">
        <w:t>m</w:t>
      </w:r>
      <w:r w:rsidRPr="001B4EC1">
        <w:t>stolarna skall tillämpa utformas.</w:t>
      </w:r>
    </w:p>
    <w:p w:rsidR="00252869" w:rsidRPr="001B4EC1" w:rsidRDefault="00252869">
      <w:pPr>
        <w:pStyle w:val="Normaltindrag"/>
      </w:pPr>
      <w:r w:rsidRPr="001B4EC1">
        <w:t>Vad gäller informationen till riksdagen anförs i promemorian a</w:t>
      </w:r>
      <w:r w:rsidRPr="001B4EC1">
        <w:t>tt de åtgä</w:t>
      </w:r>
      <w:r w:rsidRPr="001B4EC1">
        <w:t>r</w:t>
      </w:r>
      <w:r w:rsidRPr="001B4EC1">
        <w:t>der regeringen vidtagit sedan riksdagens beslut öppet har redovisats för rik</w:t>
      </w:r>
      <w:r w:rsidRPr="001B4EC1">
        <w:t>s</w:t>
      </w:r>
      <w:r w:rsidRPr="001B4EC1">
        <w:t>dagen i skrivelser, svar på riksdagsfrågor, interpellationer etc. I promemorian lämnas en beskrivning av vilka åtgärder som vidtagits, när och av vem.</w:t>
      </w:r>
    </w:p>
    <w:p w:rsidR="00252869" w:rsidRPr="001B4EC1" w:rsidRDefault="00252869">
      <w:pPr>
        <w:pStyle w:val="R4"/>
      </w:pPr>
      <w:r w:rsidRPr="001B4EC1">
        <w:t>Promemorian den 3 mars 2004</w:t>
      </w:r>
    </w:p>
    <w:p w:rsidR="00252869" w:rsidRPr="001B4EC1" w:rsidRDefault="00252869">
      <w:r w:rsidRPr="001B4EC1">
        <w:t>Genom en skrivelse den 19 februari 2004 begärde konstitutionsutskottet y</w:t>
      </w:r>
      <w:r w:rsidRPr="001B4EC1">
        <w:t>t</w:t>
      </w:r>
      <w:r w:rsidRPr="001B4EC1">
        <w:t>terligare underlag för granskningen. Utskottet begärde dels en redogörelse för om regeringen genom de överlämnade dokumenten kan anses ha informerat riksdagen om kostnadsberäkningen för en ny instans- och processordning, dels en mer detaljerad redogörelse för de beräkningar som görs i ovan näm</w:t>
      </w:r>
      <w:r w:rsidRPr="001B4EC1">
        <w:t>n</w:t>
      </w:r>
      <w:r w:rsidRPr="001B4EC1">
        <w:t>da bilaga och som förklarar varför kostnaderna för en ny instans- och pr</w:t>
      </w:r>
      <w:r w:rsidRPr="001B4EC1">
        <w:t>o</w:t>
      </w:r>
      <w:r w:rsidRPr="001B4EC1">
        <w:t>cessordning i olika avseenden skiljer sig kraftigt mellan alternativ 1, altern</w:t>
      </w:r>
      <w:r w:rsidRPr="001B4EC1">
        <w:t>a</w:t>
      </w:r>
      <w:r w:rsidRPr="001B4EC1">
        <w:t>tiv 2 samt de berä</w:t>
      </w:r>
      <w:r w:rsidRPr="001B4EC1">
        <w:t>k</w:t>
      </w:r>
      <w:r w:rsidRPr="001B4EC1">
        <w:t>ningar som gjordes av NIPU.</w:t>
      </w:r>
    </w:p>
    <w:p w:rsidR="00252869" w:rsidRPr="001B4EC1" w:rsidRDefault="00252869">
      <w:pPr>
        <w:pStyle w:val="Normaltindrag"/>
      </w:pPr>
      <w:r w:rsidRPr="001B4EC1">
        <w:t>Som svar översänd</w:t>
      </w:r>
      <w:r w:rsidRPr="001B4EC1">
        <w:t>es till utskottet en promemoria som upprättats inom U</w:t>
      </w:r>
      <w:r w:rsidRPr="001B4EC1">
        <w:t>t</w:t>
      </w:r>
      <w:r w:rsidRPr="001B4EC1">
        <w:t xml:space="preserve">rikesdepartementet den 3 mars 2004, </w:t>
      </w:r>
      <w:r w:rsidRPr="001B4EC1">
        <w:rPr>
          <w:i/>
        </w:rPr>
        <w:t>bilaga A1.3.4</w:t>
      </w:r>
      <w:r w:rsidRPr="001B4EC1">
        <w:t>. I promemorian anförs att det dokument som överlämnats till konstitutionsutskottet upprättats inom Regeringskansliet på direkt begäran av tjänstemän på Finansdepartementet som representerar regeringens samarbetspartier Vänsterpartiet och Miljöpart</w:t>
      </w:r>
      <w:r w:rsidRPr="001B4EC1">
        <w:t>i</w:t>
      </w:r>
      <w:r w:rsidRPr="001B4EC1">
        <w:t>et de gröna. Frågan om kostnader för reformen hade uppkommit i samband med det då pågående budgetarbetet. Syftet med dokumentet var inte att i</w:t>
      </w:r>
      <w:r w:rsidRPr="001B4EC1">
        <w:t>n</w:t>
      </w:r>
      <w:r w:rsidRPr="001B4EC1">
        <w:t>formera riksdagen</w:t>
      </w:r>
      <w:r w:rsidRPr="001B4EC1">
        <w:t xml:space="preserve"> om aktuella kostnadsberäkningar. Socialförsäkringsu</w:t>
      </w:r>
      <w:r w:rsidRPr="001B4EC1">
        <w:t>t</w:t>
      </w:r>
      <w:r w:rsidRPr="001B4EC1">
        <w:t>skottet begärde och fick i december 2003 information av tjänstemän från Regeringskansliet om pågående arbete med kostnadsberäkningar och faktorer av betydelse för dessa inom ramen för beredningen av en reformerad instans- och processordning i utlänningsärenden. Enligt promemorian fick socialfö</w:t>
      </w:r>
      <w:r w:rsidRPr="001B4EC1">
        <w:t>r</w:t>
      </w:r>
      <w:r w:rsidRPr="001B4EC1">
        <w:t>säkringsutskottet även ta del av de kostnadsberäkningar som gjorts.</w:t>
      </w:r>
    </w:p>
    <w:p w:rsidR="00252869" w:rsidRPr="001B4EC1" w:rsidRDefault="00252869">
      <w:pPr>
        <w:pStyle w:val="Normaltindrag"/>
      </w:pPr>
      <w:r w:rsidRPr="001B4EC1">
        <w:t>I promemorian redogörs för skillnaderna mellan olika kostnadsberäknin</w:t>
      </w:r>
      <w:r w:rsidRPr="001B4EC1">
        <w:t>g</w:t>
      </w:r>
      <w:r w:rsidRPr="001B4EC1">
        <w:t>ar. Skillnaderna mellan alternativ 1 och 2 förklaras av att beräkningarna i alternativ 1 utgår från 8 500 asylärenden per år och i alternativ 2 från 6 100 asylärenden per år. Enligt promemorian avser termen asylärenden i detta sammanhang alla asylärenden utom de där det är fråga om uppenbart ogru</w:t>
      </w:r>
      <w:r w:rsidRPr="001B4EC1">
        <w:t>n</w:t>
      </w:r>
      <w:r w:rsidRPr="001B4EC1">
        <w:t>dade ansökningar eller där det är fråga om avvisning till tredje land. I prom</w:t>
      </w:r>
      <w:r w:rsidRPr="001B4EC1">
        <w:t>e</w:t>
      </w:r>
      <w:r w:rsidRPr="001B4EC1">
        <w:t>morian redogörs även för skillnaderna gentemot NIPU:s beräkningar. De aktuella beräkningarna visar enligt promemorian på procentuella k</w:t>
      </w:r>
      <w:r w:rsidRPr="001B4EC1">
        <w:t>ostnadsö</w:t>
      </w:r>
      <w:r w:rsidRPr="001B4EC1">
        <w:t>k</w:t>
      </w:r>
      <w:r w:rsidRPr="001B4EC1">
        <w:t>ningar som är 3–4 gånger högre än de NIPU uppskattade. Som förklaring till att NIPU:s beräkningar och de aktuella kostnadsberäkningarna skiljer sig åt anges faktorer som antal asylsökande, tidsåtgången för muntlig förhandling, klagandenas resor, antal nämndemän, ombud, tolkar, domare och föredraga</w:t>
      </w:r>
      <w:r w:rsidRPr="001B4EC1">
        <w:t>n</w:t>
      </w:r>
      <w:r w:rsidRPr="001B4EC1">
        <w:t>de och lokaler. Vidare anförs i promemorian att NIPU inte redogjort för o</w:t>
      </w:r>
      <w:r w:rsidRPr="001B4EC1">
        <w:t>m</w:t>
      </w:r>
      <w:r w:rsidRPr="001B4EC1">
        <w:t>ställning</w:t>
      </w:r>
      <w:r w:rsidRPr="001B4EC1">
        <w:t>s</w:t>
      </w:r>
      <w:r w:rsidRPr="001B4EC1">
        <w:t>kostnader för reformen.</w:t>
      </w:r>
    </w:p>
    <w:p w:rsidR="00252869" w:rsidRPr="001B4EC1" w:rsidRDefault="00252869">
      <w:pPr>
        <w:pStyle w:val="R4"/>
      </w:pPr>
      <w:r w:rsidRPr="001B4EC1">
        <w:t>Promemorian den 2 april 2004</w:t>
      </w:r>
    </w:p>
    <w:p w:rsidR="00252869" w:rsidRPr="001B4EC1" w:rsidRDefault="00252869">
      <w:r w:rsidRPr="001B4EC1">
        <w:t>I anslutning till konstitutionsutskottets utfrågning med f.d. statsrådet Jan O. Karlsson den 25 mars 2004 (se nedan) begärde konstitutionsutskottet vissa ytterligare uppgifter från Regeringskansliet. Utskottet begärde svar på frågo</w:t>
      </w:r>
      <w:r w:rsidRPr="001B4EC1">
        <w:t>r</w:t>
      </w:r>
      <w:r w:rsidRPr="001B4EC1">
        <w:t>na om dels det slutdatum som fastställdes i kommittédirektiven för utrednin</w:t>
      </w:r>
      <w:r w:rsidRPr="001B4EC1">
        <w:t>g</w:t>
      </w:r>
      <w:r w:rsidRPr="001B4EC1">
        <w:t>en om översyn av utlänningslagstiftningen – den 15 december 2003 – var samberett med partierna i riksdagen och, i så fall, på vilket sätt, dels om s.k. enkla ärenden konsekvent inkluderas i de alternativa kostnadsberäkningar som gjorts i föregående bilaga.</w:t>
      </w:r>
    </w:p>
    <w:p w:rsidR="00252869" w:rsidRPr="001B4EC1" w:rsidRDefault="00252869">
      <w:pPr>
        <w:pStyle w:val="Normaltindrag"/>
      </w:pPr>
      <w:r w:rsidRPr="001B4EC1">
        <w:t>Som svar översändes till utskottet en promemoria som upprättats inom U</w:t>
      </w:r>
      <w:r w:rsidRPr="001B4EC1">
        <w:t>t</w:t>
      </w:r>
      <w:r w:rsidRPr="001B4EC1">
        <w:t xml:space="preserve">rikesdepartementet den 2 april 2004, </w:t>
      </w:r>
      <w:r w:rsidRPr="001B4EC1">
        <w:rPr>
          <w:i/>
        </w:rPr>
        <w:t>bilaga A1.3.5</w:t>
      </w:r>
      <w:r w:rsidRPr="001B4EC1">
        <w:t>. I promemorian anfördes att, vid de överläggningar Jan O. Karlsson hade haft med övriga riksdagspa</w:t>
      </w:r>
      <w:r w:rsidRPr="001B4EC1">
        <w:t>r</w:t>
      </w:r>
      <w:r w:rsidRPr="001B4EC1">
        <w:t>tier efter det att Lagrådet avstyrkt regeringens förslag, samtliga partier var överens om att en översyn av utlänningslagstiftningens materiella bestämme</w:t>
      </w:r>
      <w:r w:rsidRPr="001B4EC1">
        <w:t>l</w:t>
      </w:r>
      <w:r w:rsidRPr="001B4EC1">
        <w:t>ser måste göras och att kommittén skyndsamt skulle presentera ett betänka</w:t>
      </w:r>
      <w:r w:rsidRPr="001B4EC1">
        <w:t>n</w:t>
      </w:r>
      <w:r w:rsidRPr="001B4EC1">
        <w:t>de. Det var också regeringens utgångspunkt i de kommittédirektiv som b</w:t>
      </w:r>
      <w:r w:rsidRPr="001B4EC1">
        <w:t>e</w:t>
      </w:r>
      <w:r w:rsidRPr="001B4EC1">
        <w:t>slutades den 6 mars 2003. Något exakt slutdatum för kommitténs</w:t>
      </w:r>
      <w:r w:rsidRPr="001B4EC1">
        <w:t xml:space="preserve"> arbete sa</w:t>
      </w:r>
      <w:r w:rsidRPr="001B4EC1">
        <w:t>m</w:t>
      </w:r>
      <w:r w:rsidRPr="001B4EC1">
        <w:t>bereddes dock inte vid överläggningarna med rik</w:t>
      </w:r>
      <w:r w:rsidRPr="001B4EC1">
        <w:t>s</w:t>
      </w:r>
      <w:r w:rsidRPr="001B4EC1">
        <w:t>dagspartierna.</w:t>
      </w:r>
    </w:p>
    <w:p w:rsidR="00252869" w:rsidRPr="001B4EC1" w:rsidRDefault="00252869">
      <w:pPr>
        <w:pStyle w:val="Normaltindrag"/>
      </w:pPr>
      <w:r w:rsidRPr="001B4EC1">
        <w:t>Av promemorian framgår vidare att s.k. enkla ärenden inte har räknats ifrån i alternativ 1, vilket rätteligen borde ha gjorts. Det rör sig dock om ett förhållandevis litet antal ärenden. Siffrorna i räkneexemplet för alternativ 1 kan justeras i enlighet därmed men påverkar beräkningen endast marginellt.</w:t>
      </w:r>
    </w:p>
    <w:p w:rsidR="00252869" w:rsidRPr="001B4EC1" w:rsidRDefault="00252869">
      <w:pPr>
        <w:pStyle w:val="Rubrik4"/>
        <w:rPr>
          <w:noProof w:val="0"/>
        </w:rPr>
      </w:pPr>
      <w:bookmarkStart w:id="28" w:name="_Toc72648459"/>
      <w:r w:rsidRPr="001B4EC1">
        <w:rPr>
          <w:noProof w:val="0"/>
        </w:rPr>
        <w:t>Utfrågning med f.d. statsrådet Jan O. Karlsson</w:t>
      </w:r>
      <w:bookmarkEnd w:id="28"/>
    </w:p>
    <w:p w:rsidR="00252869" w:rsidRPr="001B4EC1" w:rsidRDefault="00252869">
      <w:r w:rsidRPr="001B4EC1">
        <w:t xml:space="preserve">Utskottet har den 25 mars 2004 hållit en offentlig utfrågning i ärendet med f.d. statsrådet Jan O. Karlsson, </w:t>
      </w:r>
      <w:r w:rsidRPr="001B4EC1">
        <w:rPr>
          <w:i/>
        </w:rPr>
        <w:t>bilaga B2</w:t>
      </w:r>
      <w:r w:rsidRPr="001B4EC1">
        <w:t>. Han uppgav därvid att när han övertog frågan om avskaffande av Utlänningsnämnden var den politiska frågan redan löst. Alla riksdagens partier hade i ett uttalande i socialförsä</w:t>
      </w:r>
      <w:r w:rsidRPr="001B4EC1">
        <w:t>k</w:t>
      </w:r>
      <w:r w:rsidRPr="001B4EC1">
        <w:t xml:space="preserve">ringsutskottet, därefter bekräftat av riksdagen </w:t>
      </w:r>
      <w:r w:rsidRPr="001B4EC1">
        <w:rPr>
          <w:i/>
        </w:rPr>
        <w:t>in pleno</w:t>
      </w:r>
      <w:r w:rsidRPr="001B4EC1">
        <w:t>, uttalat sig för ett a</w:t>
      </w:r>
      <w:r w:rsidRPr="001B4EC1">
        <w:t>v</w:t>
      </w:r>
      <w:r w:rsidRPr="001B4EC1">
        <w:t>skaffande av Utlänningsnämnden. Arbetet kom därefter att kännetecknas av ett mycket nära samråd mellan honom själv i egenskap av föredragande stat</w:t>
      </w:r>
      <w:r w:rsidRPr="001B4EC1">
        <w:t>s</w:t>
      </w:r>
      <w:r w:rsidRPr="001B4EC1">
        <w:t>råd och socialförsäkringsutskottet, framför allt för att gemensamt med u</w:t>
      </w:r>
      <w:r w:rsidRPr="001B4EC1">
        <w:t>t</w:t>
      </w:r>
      <w:r w:rsidRPr="001B4EC1">
        <w:t>skottet utarbeta det för</w:t>
      </w:r>
      <w:r w:rsidRPr="001B4EC1">
        <w:t>slag som remitterades till Lagrådet. Jan O. Karlsson varnade också tidigt för att kostnaderna för reformen skulle bli högre än vad som uppgavs i NIPU:s betänkande. Efter Lagrådets kritik enades man, efter en ny överläggningsomgång, om att se över lagstiftningen så att den blir möjlig att tillämpa i förvaltningsdomst</w:t>
      </w:r>
      <w:r w:rsidRPr="001B4EC1">
        <w:t>o</w:t>
      </w:r>
      <w:r w:rsidRPr="001B4EC1">
        <w:t>lar.</w:t>
      </w:r>
    </w:p>
    <w:p w:rsidR="00252869" w:rsidRPr="001B4EC1" w:rsidRDefault="00252869">
      <w:pPr>
        <w:pStyle w:val="Normaltindrag"/>
      </w:pPr>
      <w:r w:rsidRPr="001B4EC1">
        <w:t>Det förhållandet att reformen enligt beräkningar visar sig vara mer kos</w:t>
      </w:r>
      <w:r w:rsidRPr="001B4EC1">
        <w:t>t</w:t>
      </w:r>
      <w:r w:rsidRPr="001B4EC1">
        <w:t>sam än vad den ursprungliga utredningen påstod uppgavs av Jan O. Karlsson inte ha något att göra med det som tas upp i anmälan, nämligen att regeringen skulle ha fördröjt genomförandet av ett beslut som riksdagen har fattat. Det som har varit helt avgörande för vilken tid det har tagit har varit det förhå</w:t>
      </w:r>
      <w:r w:rsidRPr="001B4EC1">
        <w:t>l</w:t>
      </w:r>
      <w:r w:rsidRPr="001B4EC1">
        <w:t>landet att Lagrådet inte anser att man kan behandla utlänningsärenden i fö</w:t>
      </w:r>
      <w:r w:rsidRPr="001B4EC1">
        <w:t>r</w:t>
      </w:r>
      <w:r w:rsidRPr="001B4EC1">
        <w:t>valtning</w:t>
      </w:r>
      <w:r w:rsidRPr="001B4EC1">
        <w:t>s</w:t>
      </w:r>
      <w:r w:rsidRPr="001B4EC1">
        <w:t>domstolar med gällande lagstiftning.</w:t>
      </w:r>
    </w:p>
    <w:p w:rsidR="00252869" w:rsidRPr="001B4EC1" w:rsidRDefault="00252869">
      <w:pPr>
        <w:pStyle w:val="Normaltindrag"/>
      </w:pPr>
      <w:r w:rsidRPr="001B4EC1">
        <w:t>När det gäller tiden som gick mellan Lagrådets yttrande i oktober 2002 över regerin</w:t>
      </w:r>
      <w:r w:rsidRPr="001B4EC1">
        <w:t>gens lagrådsremiss och tillsättandet av den nya utredningen i mars 2003 berodde den enligt Jan O. Karlsson på överläggningar med rik</w:t>
      </w:r>
      <w:r w:rsidRPr="001B4EC1">
        <w:t>s</w:t>
      </w:r>
      <w:r w:rsidRPr="001B4EC1">
        <w:t>dagspartiernas företrädare om den uppkomna situationen och vad som skulle göras. Han menade att det inte fanns någon som helst avsikt att förhala pr</w:t>
      </w:r>
      <w:r w:rsidRPr="001B4EC1">
        <w:t>o</w:t>
      </w:r>
      <w:r w:rsidRPr="001B4EC1">
        <w:t>cessen, utan att man tvärtom arbetade mycket inte</w:t>
      </w:r>
      <w:r w:rsidRPr="001B4EC1">
        <w:t>n</w:t>
      </w:r>
      <w:r w:rsidRPr="001B4EC1">
        <w:t>sivt.</w:t>
      </w:r>
    </w:p>
    <w:p w:rsidR="00252869" w:rsidRPr="001B4EC1" w:rsidRDefault="00252869">
      <w:pPr>
        <w:pStyle w:val="Normaltindrag"/>
      </w:pPr>
      <w:r w:rsidRPr="001B4EC1">
        <w:rPr>
          <w:snapToGrid w:val="0"/>
        </w:rPr>
        <w:t>På frågan om varför de kostnadsberäkningar som upprättats inom Rege</w:t>
      </w:r>
      <w:r w:rsidRPr="001B4EC1">
        <w:rPr>
          <w:snapToGrid w:val="0"/>
        </w:rPr>
        <w:t>r</w:t>
      </w:r>
      <w:r w:rsidRPr="001B4EC1">
        <w:rPr>
          <w:snapToGrid w:val="0"/>
        </w:rPr>
        <w:t>ingskansliet endast överlämnades till tjänstemän från Vänsterpartiet och Mi</w:t>
      </w:r>
      <w:r w:rsidRPr="001B4EC1">
        <w:rPr>
          <w:snapToGrid w:val="0"/>
        </w:rPr>
        <w:t>l</w:t>
      </w:r>
      <w:r w:rsidRPr="001B4EC1">
        <w:rPr>
          <w:snapToGrid w:val="0"/>
        </w:rPr>
        <w:t>jöpartiet vid Finansdepartementet och till socialförsäkringsutskottets ordf</w:t>
      </w:r>
      <w:r w:rsidRPr="001B4EC1">
        <w:rPr>
          <w:snapToGrid w:val="0"/>
        </w:rPr>
        <w:t>ö</w:t>
      </w:r>
      <w:r w:rsidRPr="001B4EC1">
        <w:rPr>
          <w:snapToGrid w:val="0"/>
        </w:rPr>
        <w:t>rande, inte till socialförsäkringsutskottet och riksdagen i dess helhet, anförde Jan O. Karlsson att tjänstemännen hade begärt att få beräkningarna. Avsikten bakom att hålla socialförsäkringsutskottets ordförande underrättad var intre</w:t>
      </w:r>
      <w:r w:rsidRPr="001B4EC1">
        <w:rPr>
          <w:snapToGrid w:val="0"/>
        </w:rPr>
        <w:t>s</w:t>
      </w:r>
      <w:r w:rsidRPr="001B4EC1">
        <w:rPr>
          <w:snapToGrid w:val="0"/>
        </w:rPr>
        <w:t xml:space="preserve">set för öppenheten. Jan O. Karlsson menade att om regeringen lämnar över material av det aktuella slaget är det viktigt att </w:t>
      </w:r>
      <w:r w:rsidRPr="001B4EC1">
        <w:rPr>
          <w:snapToGrid w:val="0"/>
        </w:rPr>
        <w:t>utskottet hålls underrättat om det. Om det i formell mening anses att utskottet därmed har blivit underrättat ville han för stunden inte bedöma. Enligt Jan O. Karlsson skall avsikten med överlämnandet snarast ses som en fortlöpande orientering om ett material som ännu inte var färdigställt och därför inte i någon officiell mening kunde öve</w:t>
      </w:r>
      <w:r w:rsidRPr="001B4EC1">
        <w:rPr>
          <w:snapToGrid w:val="0"/>
        </w:rPr>
        <w:t>r</w:t>
      </w:r>
      <w:r w:rsidRPr="001B4EC1">
        <w:rPr>
          <w:snapToGrid w:val="0"/>
        </w:rPr>
        <w:t>lämnas till socialförsä</w:t>
      </w:r>
      <w:r w:rsidRPr="001B4EC1">
        <w:rPr>
          <w:snapToGrid w:val="0"/>
        </w:rPr>
        <w:t>k</w:t>
      </w:r>
      <w:r w:rsidRPr="001B4EC1">
        <w:rPr>
          <w:snapToGrid w:val="0"/>
        </w:rPr>
        <w:t>ringsutskottet.</w:t>
      </w:r>
    </w:p>
    <w:p w:rsidR="00252869" w:rsidRPr="001B4EC1" w:rsidRDefault="00252869">
      <w:pPr>
        <w:pStyle w:val="Rubrik4"/>
        <w:rPr>
          <w:noProof w:val="0"/>
        </w:rPr>
      </w:pPr>
      <w:bookmarkStart w:id="29" w:name="_Toc72648460"/>
      <w:r w:rsidRPr="001B4EC1">
        <w:rPr>
          <w:noProof w:val="0"/>
        </w:rPr>
        <w:t>Utfrågning med statsrådet Barbro Holmberg</w:t>
      </w:r>
      <w:bookmarkEnd w:id="29"/>
    </w:p>
    <w:p w:rsidR="00252869" w:rsidRPr="001B4EC1" w:rsidRDefault="00252869">
      <w:r w:rsidRPr="001B4EC1">
        <w:t xml:space="preserve">Utskottet har den 1 april 2004 hållit en offentlig utfrågning i ärendet med migrationsminister Barbro Holmberg, </w:t>
      </w:r>
      <w:r w:rsidRPr="001B4EC1">
        <w:rPr>
          <w:i/>
        </w:rPr>
        <w:t>bilaga B6</w:t>
      </w:r>
      <w:r w:rsidRPr="001B4EC1">
        <w:t>. Hon uppgav därvid bl.a. att partierna i de partisamtal som fördes efter Lagrådets yttrande var helt överens om att det inte var möjligt att gå vidare med det förslag som Lagrådet hade avstyrkt. För att följa Lagrådets yttrande måste man först se över lagstiftnin</w:t>
      </w:r>
      <w:r w:rsidRPr="001B4EC1">
        <w:t>g</w:t>
      </w:r>
      <w:r w:rsidRPr="001B4EC1">
        <w:t>en, varpå en parlamentarisk kommitté tillsattes som skulle se över lagstif</w:t>
      </w:r>
      <w:r w:rsidRPr="001B4EC1">
        <w:t>t</w:t>
      </w:r>
      <w:r w:rsidRPr="001B4EC1">
        <w:t>ningen och lämna sitt betänkande i december 2003. Under tiden skulle, enligt den överenskommelse som gjordes med de politiska partierna, själva geno</w:t>
      </w:r>
      <w:r w:rsidRPr="001B4EC1">
        <w:t>m</w:t>
      </w:r>
      <w:r w:rsidRPr="001B4EC1">
        <w:t>förandeprocess</w:t>
      </w:r>
      <w:r w:rsidRPr="001B4EC1">
        <w:t>en beredas i Regeringskansliet så att de två processerna – lagändringen av det materiella innehållet å den ena sidan och själva genomf</w:t>
      </w:r>
      <w:r w:rsidRPr="001B4EC1">
        <w:t>ö</w:t>
      </w:r>
      <w:r w:rsidRPr="001B4EC1">
        <w:t>randet å den andra sidan – skulle mötas den 1 januari 2005. Det var den öve</w:t>
      </w:r>
      <w:r w:rsidRPr="001B4EC1">
        <w:t>r</w:t>
      </w:r>
      <w:r w:rsidRPr="001B4EC1">
        <w:t>enskommelse som gjordes med de politiska partierna. Barbro Holmberg bet</w:t>
      </w:r>
      <w:r w:rsidRPr="001B4EC1">
        <w:t>o</w:t>
      </w:r>
      <w:r w:rsidRPr="001B4EC1">
        <w:t>nade detta därför att det, enligt hennes mening, betyder att den deadline som man kom överens om för genomförandet av reformen ännu inte har överskr</w:t>
      </w:r>
      <w:r w:rsidRPr="001B4EC1">
        <w:t>i</w:t>
      </w:r>
      <w:r w:rsidRPr="001B4EC1">
        <w:t>dits. Hon uppgav dock även att tidsplanen sannolikt inte skulle kunna hållas.</w:t>
      </w:r>
    </w:p>
    <w:p w:rsidR="00252869" w:rsidRPr="001B4EC1" w:rsidRDefault="00252869">
      <w:pPr>
        <w:pStyle w:val="Normaltindrag"/>
      </w:pPr>
      <w:r w:rsidRPr="001B4EC1">
        <w:t>Fö</w:t>
      </w:r>
      <w:r w:rsidRPr="001B4EC1">
        <w:t>r att lösa de problem som uppdagats med en reform – framför allt kos</w:t>
      </w:r>
      <w:r w:rsidRPr="001B4EC1">
        <w:t>t</w:t>
      </w:r>
      <w:r w:rsidRPr="001B4EC1">
        <w:t>naderna men också en rad organisatoriska problem – har man fram till nu vidtagit en rad olika åtgärder, t.ex. för att minska antalet överklaganden. Barbro Holmberg betonade också att den kommitté som begärt förlängd tid inte inkommit med någon formell begäran om ökade personella resurser till kommittén, men departementet har varit väldigt tydligt med att kommittén kan tilldelas ökade personella resurser om det skulle b</w:t>
      </w:r>
      <w:r w:rsidRPr="001B4EC1">
        <w:t>e</w:t>
      </w:r>
      <w:r w:rsidRPr="001B4EC1">
        <w:t>hövas.</w:t>
      </w:r>
    </w:p>
    <w:p w:rsidR="00252869" w:rsidRPr="001B4EC1" w:rsidRDefault="00252869">
      <w:pPr>
        <w:pStyle w:val="Normaltindrag"/>
      </w:pPr>
      <w:r w:rsidRPr="001B4EC1">
        <w:t>På en fråga o</w:t>
      </w:r>
      <w:r w:rsidRPr="001B4EC1">
        <w:t>m Barbro Holmbergs uttalande i en tidningsintervju vid ti</w:t>
      </w:r>
      <w:r w:rsidRPr="001B4EC1">
        <w:t>d</w:t>
      </w:r>
      <w:r w:rsidRPr="001B4EC1">
        <w:t>punkten för hennes tillträdande på statsrådsposten, i vilket hon inte ville ta ställning till om Utlänningsnämnden skulle avskaffas, svarade Barbro Hol</w:t>
      </w:r>
      <w:r w:rsidRPr="001B4EC1">
        <w:t>m</w:t>
      </w:r>
      <w:r w:rsidRPr="001B4EC1">
        <w:t>berg att hon inte kommer ihåg om hon uttryckt sig så, men att det svar som publicerades inte var särskilt väl valt. Hon hade inte hunnit sätta sig in i fr</w:t>
      </w:r>
      <w:r w:rsidRPr="001B4EC1">
        <w:t>å</w:t>
      </w:r>
      <w:r w:rsidRPr="001B4EC1">
        <w:t>gan. Vidare konstaterade Barbro Holmberg att det politiska ställningstagandet redan var gjort – riksdagen hade tagit ställning – och att frågan, nä</w:t>
      </w:r>
      <w:r w:rsidRPr="001B4EC1">
        <w:t>r hon til</w:t>
      </w:r>
      <w:r w:rsidRPr="001B4EC1">
        <w:t>l</w:t>
      </w:r>
      <w:r w:rsidRPr="001B4EC1">
        <w:t>trä</w:t>
      </w:r>
      <w:r w:rsidRPr="001B4EC1">
        <w:t>d</w:t>
      </w:r>
      <w:r w:rsidRPr="001B4EC1">
        <w:t>de, mer handlade om hur det skall gå till.</w:t>
      </w:r>
    </w:p>
    <w:p w:rsidR="00252869" w:rsidRPr="001B4EC1" w:rsidRDefault="00252869">
      <w:pPr>
        <w:pStyle w:val="Normaltindrag"/>
      </w:pPr>
      <w:r w:rsidRPr="001B4EC1">
        <w:t>Vidare menade Barbro Holmberg att de extremt höga kostnaderna för r</w:t>
      </w:r>
      <w:r w:rsidRPr="001B4EC1">
        <w:t>e</w:t>
      </w:r>
      <w:r w:rsidRPr="001B4EC1">
        <w:t>formen är ett problem, men det är ett ännu större problem om utlänningsäre</w:t>
      </w:r>
      <w:r w:rsidRPr="001B4EC1">
        <w:t>n</w:t>
      </w:r>
      <w:r w:rsidRPr="001B4EC1">
        <w:t>dena bidrar till att rättsväsendet i stort får problem. Regeringen måste därför se över varje detalj för att vara säker på att reformen också kommer att fung</w:t>
      </w:r>
      <w:r w:rsidRPr="001B4EC1">
        <w:t>e</w:t>
      </w:r>
      <w:r w:rsidRPr="001B4EC1">
        <w:t>ra i verkli</w:t>
      </w:r>
      <w:r w:rsidRPr="001B4EC1">
        <w:t>g</w:t>
      </w:r>
      <w:r w:rsidRPr="001B4EC1">
        <w:t>heten.</w:t>
      </w:r>
    </w:p>
    <w:p w:rsidR="00252869" w:rsidRPr="001B4EC1" w:rsidRDefault="00252869">
      <w:pPr>
        <w:pStyle w:val="Normaltindrag"/>
      </w:pPr>
      <w:r w:rsidRPr="001B4EC1">
        <w:t>Vad gäller promemorian med kostnadsberäkningar framhöll Barbro Hol</w:t>
      </w:r>
      <w:r w:rsidRPr="001B4EC1">
        <w:t>m</w:t>
      </w:r>
      <w:r w:rsidRPr="001B4EC1">
        <w:t>berg att den upprättats innan hon tillträdde som statsråd. Enligt de uppgifter hon fått var anledningen till att den upprättades en beställning från Finansd</w:t>
      </w:r>
      <w:r w:rsidRPr="001B4EC1">
        <w:t>e</w:t>
      </w:r>
      <w:r w:rsidRPr="001B4EC1">
        <w:t>partementets tjänstemän till UD. Vidare uppgav hon att det pågått ett arbete inom Regeringskansliet för att precisera uppgifterna och siffrorna för att få fram ett fullgott underlag, och detta kommer inom kort att presenteras för socialförsä</w:t>
      </w:r>
      <w:r w:rsidRPr="001B4EC1">
        <w:t>k</w:t>
      </w:r>
      <w:r w:rsidRPr="001B4EC1">
        <w:t>ringsutskottet.</w:t>
      </w:r>
    </w:p>
    <w:p w:rsidR="00252869" w:rsidRPr="001B4EC1" w:rsidRDefault="00252869">
      <w:pPr>
        <w:pStyle w:val="Rubrik3"/>
        <w:rPr>
          <w:b w:val="0"/>
          <w:i/>
          <w:noProof w:val="0"/>
        </w:rPr>
      </w:pPr>
      <w:bookmarkStart w:id="30" w:name="_Toc72648461"/>
      <w:r w:rsidRPr="001B4EC1">
        <w:rPr>
          <w:noProof w:val="0"/>
        </w:rPr>
        <w:t>Utskottets ställningstagande</w:t>
      </w:r>
      <w:bookmarkEnd w:id="30"/>
    </w:p>
    <w:p w:rsidR="00252869" w:rsidRPr="001B4EC1" w:rsidRDefault="00252869">
      <w:r w:rsidRPr="001B4EC1">
        <w:t>Riksdagens tillkännagivande i november 2001 innebar att regeringen snarast borde återkomma till riksdagen med ett förslag till en ny instans- och pr</w:t>
      </w:r>
      <w:r w:rsidRPr="001B4EC1">
        <w:t>o</w:t>
      </w:r>
      <w:r w:rsidRPr="001B4EC1">
        <w:t>cessordning i utlänningsärenden. Något förslag har ännu inte förelagts riksd</w:t>
      </w:r>
      <w:r w:rsidRPr="001B4EC1">
        <w:t>a</w:t>
      </w:r>
      <w:r w:rsidRPr="001B4EC1">
        <w:t>gen. I granskningen har framkommit att ett förslag sannolikt inte heller ko</w:t>
      </w:r>
      <w:r w:rsidRPr="001B4EC1">
        <w:t>m</w:t>
      </w:r>
      <w:r w:rsidRPr="001B4EC1">
        <w:t>mer att föreläggas riksdagen så att en ny ordning kan inrättas den 1 januari 2005, utan en reform kommer att dröja ytterligare. Enligt utskottets mening har bere</w:t>
      </w:r>
      <w:r w:rsidRPr="001B4EC1">
        <w:t>d</w:t>
      </w:r>
      <w:r w:rsidRPr="001B4EC1">
        <w:t>ningen av ärendet tagit orimligt lång tid.</w:t>
      </w:r>
    </w:p>
    <w:p w:rsidR="00252869" w:rsidRPr="001B4EC1" w:rsidRDefault="00252869">
      <w:pPr>
        <w:pStyle w:val="Normaltindrag"/>
      </w:pPr>
      <w:r w:rsidRPr="001B4EC1">
        <w:t>Granskningen föranleder inte något uttalande i övrigt.</w:t>
      </w:r>
    </w:p>
    <w:p w:rsidR="00252869" w:rsidRPr="001B4EC1" w:rsidRDefault="00252869">
      <w:pPr>
        <w:pStyle w:val="Rubrik2"/>
      </w:pPr>
      <w:bookmarkStart w:id="31" w:name="_Toc72648462"/>
      <w:r w:rsidRPr="001B4EC1">
        <w:t>1.4 Handläggningen av frågan om lokalt folkinitiativ</w:t>
      </w:r>
      <w:bookmarkEnd w:id="31"/>
    </w:p>
    <w:p w:rsidR="00252869" w:rsidRPr="001B4EC1" w:rsidRDefault="00252869">
      <w:pPr>
        <w:pStyle w:val="Rubrik3"/>
        <w:spacing w:before="235"/>
        <w:rPr>
          <w:noProof w:val="0"/>
        </w:rPr>
      </w:pPr>
      <w:bookmarkStart w:id="32" w:name="_Toc72648463"/>
      <w:r w:rsidRPr="001B4EC1">
        <w:rPr>
          <w:noProof w:val="0"/>
        </w:rPr>
        <w:t>Anmälan</w:t>
      </w:r>
      <w:bookmarkEnd w:id="32"/>
    </w:p>
    <w:p w:rsidR="00252869" w:rsidRPr="001B4EC1" w:rsidRDefault="00252869">
      <w:r w:rsidRPr="001B4EC1">
        <w:t xml:space="preserve">I en anmälan till konstitutionsutskottet, </w:t>
      </w:r>
      <w:r w:rsidRPr="001B4EC1">
        <w:rPr>
          <w:i/>
        </w:rPr>
        <w:t>bilaga A1.4.1</w:t>
      </w:r>
      <w:r w:rsidRPr="001B4EC1">
        <w:t>,  begärs att utskottet granskar statsrådet Mona Sahlins handläggning av frågan om förstärkt fol</w:t>
      </w:r>
      <w:r w:rsidRPr="001B4EC1">
        <w:t>k</w:t>
      </w:r>
      <w:r w:rsidRPr="001B4EC1">
        <w:t>initiativ för att få till stånd kommunala folkomröstningar.</w:t>
      </w:r>
    </w:p>
    <w:p w:rsidR="00252869" w:rsidRPr="001B4EC1" w:rsidRDefault="00252869">
      <w:pPr>
        <w:pStyle w:val="Normaltindrag"/>
      </w:pPr>
      <w:r w:rsidRPr="001B4EC1">
        <w:t>I anmälan anförs att riksdagen genom ett tillkännagivande uppmanat r</w:t>
      </w:r>
      <w:r w:rsidRPr="001B4EC1">
        <w:t>e</w:t>
      </w:r>
      <w:r w:rsidRPr="001B4EC1">
        <w:t>geringen att återkomma med ett lagförslag om förstärkt folkinitiativ och att riksdagen genom upprepade beslut har visat vilken vikt man lägger vid fr</w:t>
      </w:r>
      <w:r w:rsidRPr="001B4EC1">
        <w:t>å</w:t>
      </w:r>
      <w:r w:rsidRPr="001B4EC1">
        <w:t>gan. Enligt anmälan ämnar Mona Sahlin frångå riksdagens beslut och pr</w:t>
      </w:r>
      <w:r w:rsidRPr="001B4EC1">
        <w:t>e</w:t>
      </w:r>
      <w:r w:rsidRPr="001B4EC1">
        <w:t>sentera ett annat förslag. Anmälaren anför att även om tillkännagivanden inte har någon juridisk tyngd måste grundregeln vara att regeringen efterkommer riksdagens beslut. Konstitutionsutskottet bör granska riktigheten i att Mona Sahlin inte efterföljer riksdagens beslut och i vilken mån Mo</w:t>
      </w:r>
      <w:r w:rsidRPr="001B4EC1">
        <w:t>na Sahlin menar att regeringens förslag överensstämmer med riksd</w:t>
      </w:r>
      <w:r w:rsidRPr="001B4EC1">
        <w:t>a</w:t>
      </w:r>
      <w:r w:rsidRPr="001B4EC1">
        <w:t>gens beslut.</w:t>
      </w:r>
    </w:p>
    <w:p w:rsidR="00252869" w:rsidRPr="001B4EC1" w:rsidRDefault="00252869">
      <w:pPr>
        <w:pStyle w:val="Rubrik3"/>
        <w:rPr>
          <w:noProof w:val="0"/>
        </w:rPr>
      </w:pPr>
      <w:bookmarkStart w:id="33" w:name="_Toc72648464"/>
      <w:r w:rsidRPr="001B4EC1">
        <w:rPr>
          <w:noProof w:val="0"/>
        </w:rPr>
        <w:t>Bakgrund</w:t>
      </w:r>
      <w:bookmarkEnd w:id="33"/>
    </w:p>
    <w:p w:rsidR="00252869" w:rsidRPr="001B4EC1" w:rsidRDefault="00252869">
      <w:pPr>
        <w:pStyle w:val="R4"/>
      </w:pPr>
      <w:r w:rsidRPr="001B4EC1">
        <w:t>Gällande bestämmelser avseende folkinitiativ</w:t>
      </w:r>
    </w:p>
    <w:p w:rsidR="00252869" w:rsidRPr="001B4EC1" w:rsidRDefault="00252869">
      <w:r w:rsidRPr="001B4EC1">
        <w:t>Enligt 5 kap. 23 § andra stycket kommunallagen (1991:900) får ärende om att hålla folkomröstning i en viss fråga väckas i fullmäktige av minst 5 % av de röstberättigade kommun- eller landstingsmedlemmarna.</w:t>
      </w:r>
    </w:p>
    <w:p w:rsidR="00252869" w:rsidRPr="001B4EC1" w:rsidRDefault="00252869">
      <w:pPr>
        <w:pStyle w:val="R4"/>
      </w:pPr>
      <w:r w:rsidRPr="001B4EC1">
        <w:t>Behandling och beslut i frågan om folkinitiativ</w:t>
      </w:r>
    </w:p>
    <w:p w:rsidR="00252869" w:rsidRPr="001B4EC1" w:rsidRDefault="00252869">
      <w:pPr>
        <w:spacing w:before="187"/>
      </w:pPr>
      <w:r w:rsidRPr="001B4EC1">
        <w:t>Demokratipropositionen</w:t>
      </w:r>
    </w:p>
    <w:p w:rsidR="00252869" w:rsidRPr="001B4EC1" w:rsidRDefault="00252869">
      <w:r w:rsidRPr="001B4EC1">
        <w:t>Demokratipropositionen (prop. 2001/02:80), som överlämnades till riksdagen i januari 2002, innehöll inte något förslag i fråga om s.k. folkinitiativ. Rege</w:t>
      </w:r>
      <w:r w:rsidRPr="001B4EC1">
        <w:t>r</w:t>
      </w:r>
      <w:r w:rsidRPr="001B4EC1">
        <w:t>ingen förklarade att den avsåg att i samband med beredningen av Kommu</w:t>
      </w:r>
      <w:r w:rsidRPr="001B4EC1">
        <w:t>n</w:t>
      </w:r>
      <w:r w:rsidRPr="001B4EC1">
        <w:t>demokratikommitténs betänkande Att tänka efter före – samråd i kommuner och landsting (SOU 2001:89) återkomma till frågan om hur folkinitiativet som ett led i samrådet med medborgarna kan stärkas.</w:t>
      </w:r>
    </w:p>
    <w:p w:rsidR="00252869" w:rsidRPr="001B4EC1" w:rsidRDefault="00252869">
      <w:pPr>
        <w:pStyle w:val="Normaltindrag"/>
      </w:pPr>
      <w:r w:rsidRPr="001B4EC1">
        <w:t>Kommundemokratikommittén hade i sitt betänkande Att vara med på ri</w:t>
      </w:r>
      <w:r w:rsidRPr="001B4EC1">
        <w:t>k</w:t>
      </w:r>
      <w:r w:rsidRPr="001B4EC1">
        <w:t>tigt – demokratiutveckling i kommuner och landsting (SOU 2001:48) föresl</w:t>
      </w:r>
      <w:r w:rsidRPr="001B4EC1">
        <w:t>a</w:t>
      </w:r>
      <w:r w:rsidRPr="001B4EC1">
        <w:t>git en skyldighet för kommuner och landsting att hålla folkomröstning i en viss fråga om minst 10 % av de röstberättigade kommun- eller landsting</w:t>
      </w:r>
      <w:r w:rsidRPr="001B4EC1">
        <w:t>s</w:t>
      </w:r>
      <w:r w:rsidRPr="001B4EC1">
        <w:t>medlemmarna begär det.</w:t>
      </w:r>
    </w:p>
    <w:p w:rsidR="00252869" w:rsidRPr="001B4EC1" w:rsidRDefault="00252869">
      <w:pPr>
        <w:pStyle w:val="Normaltindrag"/>
      </w:pPr>
      <w:r w:rsidRPr="001B4EC1">
        <w:t>I demokratipropositionen anförde regeringen (s. 50 f.) att erfarenheterna av tillämpningen av bestämmelsen om folkinitiativ var nedslående. Regeringen ansåg det vara tydligt att folkinitiativet inte kunde behållas i sin nuvarande utformning och att medborgarnas möjligh</w:t>
      </w:r>
      <w:r w:rsidRPr="001B4EC1">
        <w:t>eter att få till stånd en folkomrös</w:t>
      </w:r>
      <w:r w:rsidRPr="001B4EC1">
        <w:t>t</w:t>
      </w:r>
      <w:r w:rsidRPr="001B4EC1">
        <w:t>ning måste stärkas.</w:t>
      </w:r>
    </w:p>
    <w:p w:rsidR="00252869" w:rsidRPr="001B4EC1" w:rsidRDefault="00252869">
      <w:pPr>
        <w:pStyle w:val="Normaltindrag"/>
      </w:pPr>
      <w:r w:rsidRPr="001B4EC1">
        <w:t>När det sedan gällde frågan om på vilket sätt folkinitiativet borde stärkas ansåg regeringen (s. 51) att utredningsförslaget i Kommundemokratikommi</w:t>
      </w:r>
      <w:r w:rsidRPr="001B4EC1">
        <w:t>t</w:t>
      </w:r>
      <w:r w:rsidRPr="001B4EC1">
        <w:t>téns tidigare betänkande, Att vara med på riktigt, inte var tillräckligt avpassat för förhållandena i alla kommuner. Regeringen ansåg att – med ett krav på att 10 % av de röstberättigade kommun- eller landstingsmedlemmarna skall stå bakom en begäran om folkomröstning – de reella möjligheterna att få till stånd en sådan omröstning kan bli mycket skiftande i större och mindre kommuner och därför borde en annan lösning väljas. Det förhållandet att remissinstanserna föreslagit ett antal alternativa lösningar v</w:t>
      </w:r>
      <w:r w:rsidRPr="001B4EC1">
        <w:t>isade enligt r</w:t>
      </w:r>
      <w:r w:rsidRPr="001B4EC1">
        <w:t>e</w:t>
      </w:r>
      <w:r w:rsidRPr="001B4EC1">
        <w:t>geringens mening att frågan är komplex. Regeringen hänvisade till att Ko</w:t>
      </w:r>
      <w:r w:rsidRPr="001B4EC1">
        <w:t>m</w:t>
      </w:r>
      <w:r w:rsidRPr="001B4EC1">
        <w:t>mundemokratikommittén i ett senare betänkande, Att tänka efter före, bl.a. föreslagit att – om ett beslut i ett ärende medför långsiktiga effekter och de förhållanden som rått före beslutet inte kan återställas utan stora ekonomiska konsekvenser – som ett led i beredningen av ärendet samråd skall äga rum med dem som är folkbokförda i kommunen eller inom landstinget och att ett sådant samråd skall kunna ske genom folkomrö</w:t>
      </w:r>
      <w:r w:rsidRPr="001B4EC1">
        <w:t>stning. Regeringen ansåg att frågan om hur ett stärkt folkinitiativ skall utformas borde bli föremål för ytterligare överväganden. Det var enligt regeringen lämpligt att denna pr</w:t>
      </w:r>
      <w:r w:rsidRPr="001B4EC1">
        <w:t>o</w:t>
      </w:r>
      <w:r w:rsidRPr="001B4EC1">
        <w:t>blematik och förslaget om samrådsförfarande hanteras i ett sammanhang. Regeringen avsåg därför att återkomma till frågan i samband med berednin</w:t>
      </w:r>
      <w:r w:rsidRPr="001B4EC1">
        <w:t>g</w:t>
      </w:r>
      <w:r w:rsidRPr="001B4EC1">
        <w:t>en av Kommundemokratikommitténs senare betänkande Att tänka efter före.</w:t>
      </w:r>
    </w:p>
    <w:p w:rsidR="00252869" w:rsidRPr="001B4EC1" w:rsidRDefault="00252869">
      <w:pPr>
        <w:spacing w:before="187"/>
      </w:pPr>
      <w:r w:rsidRPr="001B4EC1">
        <w:t>Konstitutionsutskottets och riksdagens behandling</w:t>
      </w:r>
    </w:p>
    <w:p w:rsidR="00252869" w:rsidRPr="001B4EC1" w:rsidRDefault="00252869">
      <w:r w:rsidRPr="001B4EC1">
        <w:t>Konstitutionsutskottet hänvisade i sin bedömning av frågan om s.k. folkinit</w:t>
      </w:r>
      <w:r w:rsidRPr="001B4EC1">
        <w:t>i</w:t>
      </w:r>
      <w:r w:rsidRPr="001B4EC1">
        <w:t>ativ i betänkandet (bet. 2001/02:KU14) över demokratipropositionen och motioner till att erfarenheterna av tillämpningen av bestämmelsen om initiat</w:t>
      </w:r>
      <w:r w:rsidRPr="001B4EC1">
        <w:t>i</w:t>
      </w:r>
      <w:r w:rsidRPr="001B4EC1">
        <w:t>vet, som regeringen hade framhållit, är nedslående (s. 84 f.). Initiativet kunde enligt utskottets uppfattning inte behållas i sin nuvarande utformning utan medborgarnas möjligheter att få till stånd en folkomröstning måste stärkas. Utskottet hänvisade till att regeringen förklarat att den avsåg att återkomma i frågan vid beredningen av Kommundemokratikommittén</w:t>
      </w:r>
      <w:r w:rsidRPr="001B4EC1">
        <w:t xml:space="preserve">s betänkande Att tänka efter före. Enligt utskottets mening borde beredningen syfta till att lägga fram förslag för riksdagen med innebörd att folkomröstning </w:t>
      </w:r>
      <w:r w:rsidRPr="001B4EC1">
        <w:rPr>
          <w:i/>
        </w:rPr>
        <w:t>skall</w:t>
      </w:r>
      <w:r w:rsidRPr="001B4EC1">
        <w:t xml:space="preserve"> hållas om 10 % av de röstberättigade i kommunen respektive landstinget begär det, och den 4 april 2002 gav riksdagen på utskottets förslag detta regeringen till kä</w:t>
      </w:r>
      <w:r w:rsidRPr="001B4EC1">
        <w:t>n</w:t>
      </w:r>
      <w:r w:rsidRPr="001B4EC1">
        <w:t>na (rskr. 2001/02:190). Reservation a</w:t>
      </w:r>
      <w:r w:rsidRPr="001B4EC1">
        <w:t>v</w:t>
      </w:r>
      <w:r w:rsidRPr="001B4EC1">
        <w:t>gavs av s och v.</w:t>
      </w:r>
    </w:p>
    <w:p w:rsidR="00252869" w:rsidRPr="001B4EC1" w:rsidRDefault="00252869">
      <w:pPr>
        <w:pStyle w:val="Normaltindrag"/>
      </w:pPr>
      <w:r w:rsidRPr="001B4EC1">
        <w:t>Frågan berördes igen av riksdagen vid behandlingen av utskottets betä</w:t>
      </w:r>
      <w:r w:rsidRPr="001B4EC1">
        <w:t>n</w:t>
      </w:r>
      <w:r w:rsidRPr="001B4EC1">
        <w:t>kande 2002/03:KU29 om regeringens redogörelse för behandlingen av rik</w:t>
      </w:r>
      <w:r w:rsidRPr="001B4EC1">
        <w:t>s</w:t>
      </w:r>
      <w:r w:rsidRPr="001B4EC1">
        <w:t>dagens skrivelser till regeringen (skr. 2002/03:75). Riksdagen biföll i juni 2003 en m-, fp-, kd-, c- och mp-reservation vari beklagades att regeringen ännu inte efterkommit riksdagens tillkännagivande om lokala folkomrös</w:t>
      </w:r>
      <w:r w:rsidRPr="001B4EC1">
        <w:t>t</w:t>
      </w:r>
      <w:r w:rsidRPr="001B4EC1">
        <w:t>ningar samt uttalades att det var angeläget att snarast belysa denna viktiga författningsfråga och att regeringen presenterar förslag i enlighet med riksd</w:t>
      </w:r>
      <w:r w:rsidRPr="001B4EC1">
        <w:t>a</w:t>
      </w:r>
      <w:r w:rsidRPr="001B4EC1">
        <w:t xml:space="preserve">gens beslut (rskr. 2002/03:208). </w:t>
      </w:r>
    </w:p>
    <w:p w:rsidR="00252869" w:rsidRPr="001B4EC1" w:rsidRDefault="00252869">
      <w:pPr>
        <w:pStyle w:val="Normaltindrag"/>
      </w:pPr>
      <w:r w:rsidRPr="001B4EC1">
        <w:t>Under det pågående riksmötet h</w:t>
      </w:r>
      <w:r w:rsidRPr="001B4EC1">
        <w:t>ar konstitutionsutskottet under hösten b</w:t>
      </w:r>
      <w:r w:rsidRPr="001B4EC1">
        <w:t>e</w:t>
      </w:r>
      <w:r w:rsidRPr="001B4EC1">
        <w:t>handlat frågan om folkinitiativ i betänkande 2003/04:KU3. Riksdagen biföll den 13 november 2003 utskottets förslag till beslut om att avslå motionsy</w:t>
      </w:r>
      <w:r w:rsidRPr="001B4EC1">
        <w:t>r</w:t>
      </w:r>
      <w:r w:rsidRPr="001B4EC1">
        <w:t>kanden avseende folkomröstningsinitiativ med godkännande av motiveringen i en m-, fp, kd-, c- och mp-reservation (rskr. 2003/04:33–34). I reservationen anmärktes att regeringen fortfarande inte efterkommit riksdagens tillkännag</w:t>
      </w:r>
      <w:r w:rsidRPr="001B4EC1">
        <w:t>i</w:t>
      </w:r>
      <w:r w:rsidRPr="001B4EC1">
        <w:t>vande och inte heller på ett samlat sätt för riksdagen redovisat skälen till att den begärda å</w:t>
      </w:r>
      <w:r w:rsidRPr="001B4EC1">
        <w:t>tgärden inte vidtagits. Det var enligt reservationen ytterst ang</w:t>
      </w:r>
      <w:r w:rsidRPr="001B4EC1">
        <w:t>e</w:t>
      </w:r>
      <w:r w:rsidRPr="001B4EC1">
        <w:t>läget att regeringen snarast presenterar förslag i enlighet med riksdagens beslut, och man utgick från att så kommer att ske.</w:t>
      </w:r>
    </w:p>
    <w:p w:rsidR="00252869" w:rsidRPr="001B4EC1" w:rsidRDefault="00252869">
      <w:pPr>
        <w:pStyle w:val="Normaltindrag"/>
      </w:pPr>
      <w:r w:rsidRPr="001B4EC1">
        <w:t>Under våren 2004 behandlar konstitutionsutskottet i betänkande 2003/04: KU19 ett motionsyrkande om att riksdagen ånyo tydliggör för regeringen som sin mening att om 10 % av medborgarna så kräver skall fullmäktige besluta om att anordna en rådgivande folkomrös</w:t>
      </w:r>
      <w:r w:rsidRPr="001B4EC1">
        <w:t>t</w:t>
      </w:r>
      <w:r w:rsidRPr="001B4EC1">
        <w:t>ning.</w:t>
      </w:r>
    </w:p>
    <w:p w:rsidR="00252869" w:rsidRPr="001B4EC1" w:rsidRDefault="00252869">
      <w:pPr>
        <w:pStyle w:val="R4"/>
      </w:pPr>
      <w:r w:rsidRPr="001B4EC1">
        <w:t>Regeringens information till riksdagen</w:t>
      </w:r>
    </w:p>
    <w:p w:rsidR="00252869" w:rsidRPr="001B4EC1" w:rsidRDefault="00252869">
      <w:r w:rsidRPr="001B4EC1">
        <w:t>Sedan 1961 har regeringen lämnat redogörelser till riksdagen för vilka åtgä</w:t>
      </w:r>
      <w:r w:rsidRPr="001B4EC1">
        <w:t>r</w:t>
      </w:r>
      <w:r w:rsidRPr="001B4EC1">
        <w:t>der regeringen har vidtagit med anledning av riksdagens olika beslut.</w:t>
      </w:r>
    </w:p>
    <w:p w:rsidR="00252869" w:rsidRPr="001B4EC1" w:rsidRDefault="00252869">
      <w:pPr>
        <w:pStyle w:val="Normaltindrag"/>
      </w:pPr>
      <w:r w:rsidRPr="001B4EC1">
        <w:t>I mars 2003 informerade regeringen riksdagen om behandlingen av riksd</w:t>
      </w:r>
      <w:r w:rsidRPr="001B4EC1">
        <w:t>a</w:t>
      </w:r>
      <w:r w:rsidRPr="001B4EC1">
        <w:t>gens skrivelser till regeringen i skrivelse 2002/03:75. Vad gäller riksdagens tillkännagivande avseende folkinitiativet anförde regeringen att ärendet var under beredning.</w:t>
      </w:r>
    </w:p>
    <w:p w:rsidR="00252869" w:rsidRPr="001B4EC1" w:rsidRDefault="00252869">
      <w:pPr>
        <w:pStyle w:val="Normaltindrag"/>
        <w:rPr>
          <w:snapToGrid w:val="0"/>
          <w:lang w:eastAsia="sv-SE"/>
        </w:rPr>
      </w:pPr>
      <w:r w:rsidRPr="001B4EC1">
        <w:t>I mars 2004 informerade regeringen riksdagen om behandlingen av riksd</w:t>
      </w:r>
      <w:r w:rsidRPr="001B4EC1">
        <w:t>a</w:t>
      </w:r>
      <w:r w:rsidRPr="001B4EC1">
        <w:t>gens skrivelser till regeringen i skrivelse 2003/04:75. Vad gäller riksdagens tillkännagivande avseende folkinitiativet anförde regeringen att f</w:t>
      </w:r>
      <w:r w:rsidRPr="001B4EC1">
        <w:rPr>
          <w:snapToGrid w:val="0"/>
          <w:lang w:eastAsia="sv-SE"/>
        </w:rPr>
        <w:t>rågan b</w:t>
      </w:r>
      <w:r w:rsidRPr="001B4EC1">
        <w:rPr>
          <w:snapToGrid w:val="0"/>
          <w:lang w:eastAsia="sv-SE"/>
        </w:rPr>
        <w:t>e</w:t>
      </w:r>
      <w:r w:rsidRPr="001B4EC1">
        <w:rPr>
          <w:snapToGrid w:val="0"/>
          <w:lang w:eastAsia="sv-SE"/>
        </w:rPr>
        <w:t>handlas i departementspromemorian Samråd efter folkinitiativ (Ds 2004:4), som för närvarande var föremål för remissbehandling. Regeringen avsåg att hösten 2004 återkomma till riksdagen med en proposition.</w:t>
      </w:r>
    </w:p>
    <w:p w:rsidR="00252869" w:rsidRPr="001B4EC1" w:rsidRDefault="00252869">
      <w:r w:rsidRPr="001B4EC1">
        <w:t>Under 2003 lämnade regeringen information till riksdagen i frågan om fol</w:t>
      </w:r>
      <w:r w:rsidRPr="001B4EC1">
        <w:t>k</w:t>
      </w:r>
      <w:r w:rsidRPr="001B4EC1">
        <w:t>initiativet i ett interpellationssvar och ett frågesvar.</w:t>
      </w:r>
    </w:p>
    <w:p w:rsidR="00252869" w:rsidRPr="001B4EC1" w:rsidRDefault="00252869">
      <w:pPr>
        <w:pStyle w:val="Normaltindrag"/>
      </w:pPr>
      <w:r w:rsidRPr="001B4EC1">
        <w:t>Interpellationen (ip. 2002/03:140) besvarades den 4 februari 2003 av stat</w:t>
      </w:r>
      <w:r w:rsidRPr="001B4EC1">
        <w:t>s</w:t>
      </w:r>
      <w:r w:rsidRPr="001B4EC1">
        <w:t>rådet Mona Sahlin. Hon anförde därvid att det enligt hennes uppfattning var tydligt att folkinitiativet inte kan behållas i sin nuvarande utformning. Me</w:t>
      </w:r>
      <w:r w:rsidRPr="001B4EC1">
        <w:t>d</w:t>
      </w:r>
      <w:r w:rsidRPr="001B4EC1">
        <w:t>borgarnas initiativ måste tillvaratas på ett bättre sätt. Kommundemokrat</w:t>
      </w:r>
      <w:r w:rsidRPr="001B4EC1">
        <w:t>i</w:t>
      </w:r>
      <w:r w:rsidRPr="001B4EC1">
        <w:t>kommitténs förslag avvisades emellertid av en majoritet av remissinstanserna, som bl.a. menade att ett ovillkorligt krav på folkomröstning i alla frågor som väcks genom folkinitiativ innebär en avsevärd försvagning av det represent</w:t>
      </w:r>
      <w:r w:rsidRPr="001B4EC1">
        <w:t>a</w:t>
      </w:r>
      <w:r w:rsidRPr="001B4EC1">
        <w:t>tiva systemet och att ett krav på 10 % dessutom komme</w:t>
      </w:r>
      <w:r w:rsidRPr="001B4EC1">
        <w:t>r att slå mycket olika i stora och små kommuner. Mona Sahlin anförde vidare att remissinstansernas kritik mot kommitténs förslag föranlett regeringen att avvakta med att åte</w:t>
      </w:r>
      <w:r w:rsidRPr="001B4EC1">
        <w:t>r</w:t>
      </w:r>
      <w:r w:rsidRPr="001B4EC1">
        <w:t>komma till riksdagen, vilket också redovisats i demokratipropositionen. R</w:t>
      </w:r>
      <w:r w:rsidRPr="001B4EC1">
        <w:t>e</w:t>
      </w:r>
      <w:r w:rsidRPr="001B4EC1">
        <w:t>geringen beredde frågan vidare och avsåg, bl.a. mot bakgrund av riksdagens tillkännagivande, att återkomma till riksdagen i frågan. Slutligen underströk Mona Sahlin att den självklara utgångspunkten för det fortsatta beredningsa</w:t>
      </w:r>
      <w:r w:rsidRPr="001B4EC1">
        <w:t>r</w:t>
      </w:r>
      <w:r w:rsidRPr="001B4EC1">
        <w:t>betet var att folkinitiativ i framt</w:t>
      </w:r>
      <w:r w:rsidRPr="001B4EC1">
        <w:t>iden skall tillvaratas bättre och att ett dem</w:t>
      </w:r>
      <w:r w:rsidRPr="001B4EC1">
        <w:t>o</w:t>
      </w:r>
      <w:r w:rsidRPr="001B4EC1">
        <w:t>kratiskt förhållningssätt skall prägla hanteringen av desamma.</w:t>
      </w:r>
    </w:p>
    <w:p w:rsidR="00252869" w:rsidRPr="001B4EC1" w:rsidRDefault="00252869">
      <w:pPr>
        <w:pStyle w:val="Normaltindrag"/>
      </w:pPr>
      <w:r w:rsidRPr="001B4EC1">
        <w:t>I den efterföljande debatten anförde Mona Sahlin bl.a. följande.</w:t>
      </w:r>
    </w:p>
    <w:p w:rsidR="00252869" w:rsidRPr="001B4EC1" w:rsidRDefault="00252869">
      <w:pPr>
        <w:pStyle w:val="Citat"/>
        <w:spacing w:before="125"/>
      </w:pPr>
      <w:r w:rsidRPr="001B4EC1">
        <w:t>Regeringen har gett uttryck för sin mycket tydliga vilja – det gjorde den i demokratipropositionen. Folkinitiativet måste förbättras och förstärkas så att det blir mer möjligt att använda. Där är vi överens. Formerna för hur det ska ske har vi också blivit påminda om av riksdagen genom det init</w:t>
      </w:r>
      <w:r w:rsidRPr="001B4EC1">
        <w:t>i</w:t>
      </w:r>
      <w:r w:rsidRPr="001B4EC1">
        <w:t>ativ som har kommit. Men vi bereder frågan nu, och jag varken vill eller bör svara på mer konkreta frågeställningar i dag, innan vi har kommit längre i beredningsprocessen.</w:t>
      </w:r>
    </w:p>
    <w:p w:rsidR="00252869" w:rsidRPr="001B4EC1" w:rsidRDefault="00252869">
      <w:pPr>
        <w:pStyle w:val="CitatIndrag"/>
      </w:pPr>
      <w:r w:rsidRPr="001B4EC1">
        <w:t xml:space="preserve">Jag vill ändå betona att frågeställningen gäller </w:t>
      </w:r>
      <w:r w:rsidRPr="001B4EC1">
        <w:rPr>
          <w:i/>
        </w:rPr>
        <w:t>hur</w:t>
      </w:r>
      <w:r w:rsidRPr="001B4EC1">
        <w:t xml:space="preserve"> folkinitiativet ska stärkas, och inte </w:t>
      </w:r>
      <w:r w:rsidRPr="001B4EC1">
        <w:rPr>
          <w:i/>
        </w:rPr>
        <w:t>om</w:t>
      </w:r>
      <w:r w:rsidRPr="001B4EC1">
        <w:t>.</w:t>
      </w:r>
    </w:p>
    <w:p w:rsidR="00252869" w:rsidRPr="001B4EC1" w:rsidRDefault="00252869">
      <w:pPr>
        <w:pStyle w:val="CitatIndrag"/>
      </w:pPr>
      <w:r w:rsidRPr="001B4EC1">
        <w:t>– – –</w:t>
      </w:r>
    </w:p>
    <w:p w:rsidR="00252869" w:rsidRPr="001B4EC1" w:rsidRDefault="00252869">
      <w:pPr>
        <w:pStyle w:val="CitatIndrag"/>
      </w:pPr>
      <w:r w:rsidRPr="001B4EC1">
        <w:t>Det handlar om hur man orienterar sig rätt i detta och visar att folko</w:t>
      </w:r>
      <w:r w:rsidRPr="001B4EC1">
        <w:t>m</w:t>
      </w:r>
      <w:r w:rsidRPr="001B4EC1">
        <w:t>röstningar, som är en viktig del av demokratin, inte är det enda sättet som medborgarna ska kunna vara med och påverka de förtroendevalda mellan valen. Det är också viktigt att vi vidgar diskussionen när vi så smånin</w:t>
      </w:r>
      <w:r w:rsidRPr="001B4EC1">
        <w:t>g</w:t>
      </w:r>
      <w:r w:rsidRPr="001B4EC1">
        <w:t>om ska ta ställning till hur det här folkinitiativet ska kunna förstärkas och utvecklas. Jag tror att det krävs ett mycket grannlaga arbete av alla part</w:t>
      </w:r>
      <w:r w:rsidRPr="001B4EC1">
        <w:t>i</w:t>
      </w:r>
      <w:r w:rsidRPr="001B4EC1">
        <w:t>ers företrädare runtom i kommunerna för att vi ska hitta moderna, nya och spännande former för att kunna vara med och påverka mellan valen.</w:t>
      </w:r>
    </w:p>
    <w:p w:rsidR="00252869" w:rsidRPr="001B4EC1" w:rsidRDefault="00252869">
      <w:r w:rsidRPr="001B4EC1">
        <w:t>F</w:t>
      </w:r>
      <w:r w:rsidRPr="001B4EC1">
        <w:t>rågan (fr. 2002/03:887) besvarades den 15 maj 2003 av Mona Sahlin. Hon anförde därvid att Kommundemokratikommitténs förslag mötts av kritik från en majoritet av remissinstanserna. Flera remissinstanser redovisade också egna förslag till lösningar. I svaret angav Mona Sahlin att regeringen mot bakgrund av remissutfallet och frågans komplexa karaktär gjort bedömningen att frågan fordrar ytterligare överväganden och att beredningen av frågan pågår inom Regeringskansliet.</w:t>
      </w:r>
    </w:p>
    <w:p w:rsidR="00252869" w:rsidRPr="001B4EC1" w:rsidRDefault="00252869">
      <w:pPr>
        <w:pStyle w:val="R4"/>
      </w:pPr>
      <w:r w:rsidRPr="001B4EC1">
        <w:t>Debattartikel i Dagens Nyheter den 27 d</w:t>
      </w:r>
      <w:r w:rsidRPr="001B4EC1">
        <w:t>ecember 2003</w:t>
      </w:r>
    </w:p>
    <w:p w:rsidR="00252869" w:rsidRPr="001B4EC1" w:rsidRDefault="00252869">
      <w:r w:rsidRPr="001B4EC1">
        <w:t>Statsråden Mona Sahlin och Lars-Erik Lövdén redovisade i en debattartikel i Dagens Nyheter den 27 december 2003 ett förslag med innebörden att samråd skall ske om minst 10 % av kommuninvånarna begär det och om initiativet stöds av minst en tredjedel i fullmäktige. Som exempel på hur samråd kan ske nämns i artikeln bl.a. hearing, elektroniskt rådslag och folkomröstning.</w:t>
      </w:r>
    </w:p>
    <w:p w:rsidR="00252869" w:rsidRPr="001B4EC1" w:rsidRDefault="00252869">
      <w:pPr>
        <w:pStyle w:val="R4"/>
      </w:pPr>
      <w:r w:rsidRPr="001B4EC1">
        <w:t>Departementsförslag om samråd efter folkinitiativ</w:t>
      </w:r>
    </w:p>
    <w:p w:rsidR="00252869" w:rsidRPr="001B4EC1" w:rsidRDefault="00252869">
      <w:r w:rsidRPr="001B4EC1">
        <w:t>Mot bakgrund av riksdagens tillkännagivande har Justitiedepartementet uta</w:t>
      </w:r>
      <w:r w:rsidRPr="001B4EC1">
        <w:t>r</w:t>
      </w:r>
      <w:r w:rsidRPr="001B4EC1">
        <w:t xml:space="preserve">betat ett förslag till nya bestämmelser om folkinitiativ. Förslaget redovisas i departementspromemorian Samråd efter folkinitiativ (Ds 2004:4). </w:t>
      </w:r>
      <w:r w:rsidRPr="001B4EC1">
        <w:rPr>
          <w:snapToGrid w:val="0"/>
        </w:rPr>
        <w:t>Promem</w:t>
      </w:r>
      <w:r w:rsidRPr="001B4EC1">
        <w:rPr>
          <w:snapToGrid w:val="0"/>
        </w:rPr>
        <w:t>o</w:t>
      </w:r>
      <w:r w:rsidRPr="001B4EC1">
        <w:rPr>
          <w:snapToGrid w:val="0"/>
        </w:rPr>
        <w:t>rian remissbehandlas under våren 2004.</w:t>
      </w:r>
    </w:p>
    <w:p w:rsidR="00252869" w:rsidRPr="001B4EC1" w:rsidRDefault="00252869">
      <w:pPr>
        <w:pStyle w:val="Normaltindrag"/>
        <w:rPr>
          <w:snapToGrid w:val="0"/>
        </w:rPr>
      </w:pPr>
      <w:r w:rsidRPr="001B4EC1">
        <w:rPr>
          <w:snapToGrid w:val="0"/>
        </w:rPr>
        <w:t>I promemorian föreslås att nuvarande bestämmelser i kommunallagen om att ett ärende om att hålla folkomröstning i en viss fråga får väckas i fullmä</w:t>
      </w:r>
      <w:r w:rsidRPr="001B4EC1">
        <w:rPr>
          <w:snapToGrid w:val="0"/>
        </w:rPr>
        <w:t>k</w:t>
      </w:r>
      <w:r w:rsidRPr="001B4EC1">
        <w:rPr>
          <w:snapToGrid w:val="0"/>
        </w:rPr>
        <w:t>tige av minst 5 % av de röstberättigade kommun- eller landstingsmedlemma</w:t>
      </w:r>
      <w:r w:rsidRPr="001B4EC1">
        <w:rPr>
          <w:snapToGrid w:val="0"/>
        </w:rPr>
        <w:t>r</w:t>
      </w:r>
      <w:r w:rsidRPr="001B4EC1">
        <w:rPr>
          <w:snapToGrid w:val="0"/>
        </w:rPr>
        <w:t>na avskaffas. I stället bör bestämmelser i kommunallagen införas om att ful</w:t>
      </w:r>
      <w:r w:rsidRPr="001B4EC1">
        <w:rPr>
          <w:snapToGrid w:val="0"/>
        </w:rPr>
        <w:t>l</w:t>
      </w:r>
      <w:r w:rsidRPr="001B4EC1">
        <w:rPr>
          <w:snapToGrid w:val="0"/>
        </w:rPr>
        <w:t>mäktige skall besluta att samråd skall ske om minst 10 % av de röstberättig</w:t>
      </w:r>
      <w:r w:rsidRPr="001B4EC1">
        <w:rPr>
          <w:snapToGrid w:val="0"/>
        </w:rPr>
        <w:t>a</w:t>
      </w:r>
      <w:r w:rsidRPr="001B4EC1">
        <w:rPr>
          <w:snapToGrid w:val="0"/>
        </w:rPr>
        <w:t>de kommun- eller landstingsmedlemmarna väckt ett ärende om att det skall hållas samråd i en viss fråga och förslaget biträds av minst en tredjedel av de närvarande ledamöterna och ärendet skall handläggas av fullmäktige.</w:t>
      </w:r>
    </w:p>
    <w:p w:rsidR="00252869" w:rsidRPr="001B4EC1" w:rsidRDefault="00252869">
      <w:pPr>
        <w:pStyle w:val="Normaltindrag"/>
        <w:rPr>
          <w:snapToGrid w:val="0"/>
        </w:rPr>
      </w:pPr>
      <w:r w:rsidRPr="001B4EC1">
        <w:rPr>
          <w:snapToGrid w:val="0"/>
        </w:rPr>
        <w:t>Med samråd avses enligt förslaget exempelvis folkomröstning, hear</w:t>
      </w:r>
      <w:r w:rsidRPr="001B4EC1">
        <w:rPr>
          <w:snapToGrid w:val="0"/>
        </w:rPr>
        <w:t>ing e</w:t>
      </w:r>
      <w:r w:rsidRPr="001B4EC1">
        <w:rPr>
          <w:snapToGrid w:val="0"/>
        </w:rPr>
        <w:t>l</w:t>
      </w:r>
      <w:r w:rsidRPr="001B4EC1">
        <w:rPr>
          <w:snapToGrid w:val="0"/>
        </w:rPr>
        <w:t>ler annat offentligt möte, elektroniskt rådslag eller utställning med möjlighet att lämna synpunkter. Fullmäktige avgör i vilken form och under vilken tid samråd skall ske. Vissa minimikrav föreslås för samrådets genomförande, däribland att samrådet skall kungöras, att det skall pågå under minst fyra veckor, om det innebär annat samråd än folkomröstning, samt att det skall sammanställas i en samrådsredogörelse. Därutöver föreslås att det införs ett krav på att ett ärende som innefattar samråd bereds s</w:t>
      </w:r>
      <w:r w:rsidRPr="001B4EC1">
        <w:rPr>
          <w:snapToGrid w:val="0"/>
        </w:rPr>
        <w:t>å att fullmäktige kan fatta beslut i ärendet inom ett år från det att ärendet väckts.</w:t>
      </w:r>
    </w:p>
    <w:p w:rsidR="00252869" w:rsidRPr="001B4EC1" w:rsidRDefault="00252869">
      <w:pPr>
        <w:pStyle w:val="Normaltindrag"/>
      </w:pPr>
      <w:r w:rsidRPr="001B4EC1">
        <w:rPr>
          <w:snapToGrid w:val="0"/>
        </w:rPr>
        <w:t xml:space="preserve">I promemorian (s. 26 f.) berörs de principiella skillnaderna mellan det folkomröstningstvång som riksdagen förordar i dessa tillkännagivanden och förslaget i promemorian. Enligt promemorian skulle det givetvis innebära en förstärkning av folkinitiativet att komplettera nuvarande bestämmelser med ett tvång för fullmäktige att alltid genomföra folkomröstning i frågor som väcks genom folkinitiativ, men det skulle innebära en </w:t>
      </w:r>
      <w:r w:rsidRPr="001B4EC1">
        <w:rPr>
          <w:snapToGrid w:val="0"/>
        </w:rPr>
        <w:t>avsevärd inskränkning i den kommunala självstyrelsen att tvinga fullmäktige att varje gång ett fol</w:t>
      </w:r>
      <w:r w:rsidRPr="001B4EC1">
        <w:rPr>
          <w:snapToGrid w:val="0"/>
        </w:rPr>
        <w:t>k</w:t>
      </w:r>
      <w:r w:rsidRPr="001B4EC1">
        <w:rPr>
          <w:snapToGrid w:val="0"/>
        </w:rPr>
        <w:t>initiativ väcks arrangera en folkomröstning. Det var också med hänvisning till bl.a. detta som Kommundemokratikommitténs förslag avstyrktes av en maj</w:t>
      </w:r>
      <w:r w:rsidRPr="001B4EC1">
        <w:rPr>
          <w:snapToGrid w:val="0"/>
        </w:rPr>
        <w:t>o</w:t>
      </w:r>
      <w:r w:rsidRPr="001B4EC1">
        <w:rPr>
          <w:snapToGrid w:val="0"/>
        </w:rPr>
        <w:t>ritet av de remissinstanser som berörde frågan i sina remissvar. Enligt pr</w:t>
      </w:r>
      <w:r w:rsidRPr="001B4EC1">
        <w:rPr>
          <w:snapToGrid w:val="0"/>
        </w:rPr>
        <w:t>o</w:t>
      </w:r>
      <w:r w:rsidRPr="001B4EC1">
        <w:rPr>
          <w:snapToGrid w:val="0"/>
        </w:rPr>
        <w:t>memorian innebär dessutom ett system, där alla folkinitiativ som väcks tvin</w:t>
      </w:r>
      <w:r w:rsidRPr="001B4EC1">
        <w:rPr>
          <w:snapToGrid w:val="0"/>
        </w:rPr>
        <w:t>g</w:t>
      </w:r>
      <w:r w:rsidRPr="001B4EC1">
        <w:rPr>
          <w:snapToGrid w:val="0"/>
        </w:rPr>
        <w:t>ar fullmäktige att anordna folkomröstning, ett inte oväsentligt avsteg från den representativa demokratins princ</w:t>
      </w:r>
      <w:r w:rsidRPr="001B4EC1">
        <w:rPr>
          <w:snapToGrid w:val="0"/>
        </w:rPr>
        <w:t>ip. Folkomröstningar med två enkla och i förväg bestämda svarsalternativ ger mycket litet utrymme för de folkvalda att i enlighet med sina uppdrag representera väljarna. Om det däremot – genom olika former av samråd – ges möjligheter för de folkvalda att diskutera olika handlingsalternativ med kommunens medlemmar inför en kommande o</w:t>
      </w:r>
      <w:r w:rsidRPr="001B4EC1">
        <w:rPr>
          <w:snapToGrid w:val="0"/>
        </w:rPr>
        <w:t>m</w:t>
      </w:r>
      <w:r w:rsidRPr="001B4EC1">
        <w:rPr>
          <w:snapToGrid w:val="0"/>
        </w:rPr>
        <w:t xml:space="preserve">röstning i fullmäktige, skulle de förtroendevalda enligt promemorian behålla sin roll som ansvariga för besluten och representanter för medlemmarnas åsikter. Möjligheterna till </w:t>
      </w:r>
      <w:r w:rsidRPr="001B4EC1">
        <w:rPr>
          <w:snapToGrid w:val="0"/>
        </w:rPr>
        <w:t>politiskt ansvarsutkrävande skulle bli tydligare om samrådsförfarandet sker genom diskussion, debatt och levande möten. I pr</w:t>
      </w:r>
      <w:r w:rsidRPr="001B4EC1">
        <w:rPr>
          <w:snapToGrid w:val="0"/>
        </w:rPr>
        <w:t>o</w:t>
      </w:r>
      <w:r w:rsidRPr="001B4EC1">
        <w:rPr>
          <w:snapToGrid w:val="0"/>
        </w:rPr>
        <w:t>memorian framhålls att det i vissa frågor och situationer förvisso kan vara motiverat att anordna just folkomröstning, men det bör inte vara normalförf</w:t>
      </w:r>
      <w:r w:rsidRPr="001B4EC1">
        <w:rPr>
          <w:snapToGrid w:val="0"/>
        </w:rPr>
        <w:t>a</w:t>
      </w:r>
      <w:r w:rsidRPr="001B4EC1">
        <w:rPr>
          <w:snapToGrid w:val="0"/>
        </w:rPr>
        <w:t>ra</w:t>
      </w:r>
      <w:r w:rsidRPr="001B4EC1">
        <w:rPr>
          <w:snapToGrid w:val="0"/>
        </w:rPr>
        <w:t>n</w:t>
      </w:r>
      <w:r w:rsidRPr="001B4EC1">
        <w:rPr>
          <w:snapToGrid w:val="0"/>
        </w:rPr>
        <w:t>det.</w:t>
      </w:r>
    </w:p>
    <w:p w:rsidR="00252869" w:rsidRPr="001B4EC1" w:rsidRDefault="00252869">
      <w:pPr>
        <w:pStyle w:val="Rubrik3"/>
        <w:rPr>
          <w:noProof w:val="0"/>
        </w:rPr>
      </w:pPr>
      <w:bookmarkStart w:id="34" w:name="_Toc72648465"/>
      <w:r w:rsidRPr="001B4EC1">
        <w:rPr>
          <w:noProof w:val="0"/>
        </w:rPr>
        <w:t>Promemoria från Justitiedepartementet</w:t>
      </w:r>
      <w:bookmarkEnd w:id="34"/>
    </w:p>
    <w:p w:rsidR="00252869" w:rsidRPr="001B4EC1" w:rsidRDefault="00252869">
      <w:r w:rsidRPr="001B4EC1">
        <w:t>Genom en skrivelse till Regeringskansliet har konstitutionsutskottet begärt en redogörelse för om dels regeringen genom det presenterade förslaget anses ha tillgodosett riksdagens tillkännagivande, dels regeringen på ett korrekt sätt har informerat riksdagen om orsakerna till tidsutdräkten i ärendet. Som svar har till utskottet översänts en promemoria som upprättats inom Justitiedepart</w:t>
      </w:r>
      <w:r w:rsidRPr="001B4EC1">
        <w:t>e</w:t>
      </w:r>
      <w:r w:rsidRPr="001B4EC1">
        <w:t xml:space="preserve">mentet den 2 mars 2004, </w:t>
      </w:r>
      <w:r w:rsidRPr="001B4EC1">
        <w:rPr>
          <w:i/>
        </w:rPr>
        <w:t>bilaga A1.4.2</w:t>
      </w:r>
      <w:r w:rsidRPr="001B4EC1">
        <w:t>. I promemorian anförs att depart</w:t>
      </w:r>
      <w:r w:rsidRPr="001B4EC1">
        <w:t>e</w:t>
      </w:r>
      <w:r w:rsidRPr="001B4EC1">
        <w:t>mentspromemorian för närvarande är föremål för remissbehandling och att regeringen ännu inte redovisat sitt slutliga ställningstagande för riksdagen. Vidare hänvisas till regeringens skrivelse med redogörelse för behandlingen av riksdagens skrivelser till regeringen och Mona Sahlins interpellationssvar och frågesvar. I promemorian påpekas också det faktum att riksdagens til</w:t>
      </w:r>
      <w:r w:rsidRPr="001B4EC1">
        <w:t>l</w:t>
      </w:r>
      <w:r w:rsidRPr="001B4EC1">
        <w:t>känn</w:t>
      </w:r>
      <w:r w:rsidRPr="001B4EC1">
        <w:t>a</w:t>
      </w:r>
      <w:r w:rsidRPr="001B4EC1">
        <w:t>givande inte innehåller någon tidsram.</w:t>
      </w:r>
    </w:p>
    <w:p w:rsidR="00252869" w:rsidRPr="001B4EC1" w:rsidRDefault="00252869">
      <w:pPr>
        <w:pStyle w:val="Rubrik3"/>
        <w:rPr>
          <w:noProof w:val="0"/>
        </w:rPr>
      </w:pPr>
      <w:bookmarkStart w:id="35" w:name="_Toc72648466"/>
      <w:r w:rsidRPr="001B4EC1">
        <w:rPr>
          <w:noProof w:val="0"/>
        </w:rPr>
        <w:t>Utskottets ställnin</w:t>
      </w:r>
      <w:r w:rsidRPr="001B4EC1">
        <w:rPr>
          <w:noProof w:val="0"/>
        </w:rPr>
        <w:t>gstagande</w:t>
      </w:r>
      <w:bookmarkEnd w:id="35"/>
    </w:p>
    <w:p w:rsidR="00252869" w:rsidRPr="001B4EC1" w:rsidRDefault="00252869">
      <w:r w:rsidRPr="001B4EC1">
        <w:t>Frågan om lokalt folkinitiativ är fortfarande under beredning. Med hänsyn till att regeringen ännu inte redovisat sitt slutliga ställningstagande för riksdagen kan utskottet inte bedöma om Mona Sahlin efterföljer riksdagens beslut samt i vad mån hon anser att regeringens förslag överensstämmer med riksdagens beslut. Utskottet utgår från att regeringen i den fortsatta processen följer vad utskottet tidigare uttalat om betydelsen av riksdagens tillkännagivanden till rege</w:t>
      </w:r>
      <w:r w:rsidRPr="001B4EC1">
        <w:t>r</w:t>
      </w:r>
      <w:r w:rsidRPr="001B4EC1">
        <w:t>ingen (se avsnitt 1.1).</w:t>
      </w:r>
    </w:p>
    <w:p w:rsidR="00252869" w:rsidRPr="001B4EC1" w:rsidRDefault="00252869">
      <w:pPr>
        <w:pStyle w:val="Normaltindrag"/>
      </w:pPr>
      <w:r w:rsidRPr="001B4EC1">
        <w:t>Granskningen föranleder i övrigt inte något uttalande från utskottets sida.</w:t>
      </w:r>
    </w:p>
    <w:p w:rsidR="00252869" w:rsidRPr="001B4EC1" w:rsidRDefault="00252869">
      <w:pPr>
        <w:pStyle w:val="Rubrik2"/>
      </w:pPr>
      <w:bookmarkStart w:id="36" w:name="_Toc72648467"/>
      <w:r w:rsidRPr="001B4EC1">
        <w:t>1.5 Regeringens hantering av frågan om en vald ordförande i Europeiska rådet</w:t>
      </w:r>
      <w:bookmarkEnd w:id="36"/>
    </w:p>
    <w:p w:rsidR="00252869" w:rsidRPr="001B4EC1" w:rsidRDefault="00252869">
      <w:pPr>
        <w:pStyle w:val="Rubrik3"/>
        <w:spacing w:before="235"/>
        <w:rPr>
          <w:noProof w:val="0"/>
        </w:rPr>
      </w:pPr>
      <w:bookmarkStart w:id="37" w:name="_Toc72648468"/>
      <w:r w:rsidRPr="001B4EC1">
        <w:rPr>
          <w:noProof w:val="0"/>
        </w:rPr>
        <w:t>Anmälan</w:t>
      </w:r>
      <w:bookmarkEnd w:id="37"/>
      <w:r w:rsidRPr="001B4EC1">
        <w:rPr>
          <w:noProof w:val="0"/>
        </w:rPr>
        <w:t xml:space="preserve"> </w:t>
      </w:r>
    </w:p>
    <w:p w:rsidR="00252869" w:rsidRPr="001B4EC1" w:rsidRDefault="00252869">
      <w:r w:rsidRPr="001B4EC1">
        <w:t>I en anmälan till konstitutionsutskottet den 18 juni 2003 begärs att utskottet skall granska frågan om hur regeringens företrädare, främst stats</w:t>
      </w:r>
      <w:r w:rsidRPr="001B4EC1">
        <w:softHyphen/>
        <w:t>minister Göran Persson och utrikesminister Anna Lindh, har agerat och age</w:t>
      </w:r>
      <w:r w:rsidRPr="001B4EC1">
        <w:softHyphen/>
        <w:t>rar inför regeringskonferensen för att i denna fråga hävda den linje som Sve</w:t>
      </w:r>
      <w:r w:rsidRPr="001B4EC1">
        <w:softHyphen/>
        <w:t>riges rik</w:t>
      </w:r>
      <w:r w:rsidRPr="001B4EC1">
        <w:t>s</w:t>
      </w:r>
      <w:r w:rsidRPr="001B4EC1">
        <w:t>dag har beslutat. Granskningen bör avse hur regeringen har dri</w:t>
      </w:r>
      <w:r w:rsidRPr="001B4EC1">
        <w:softHyphen/>
        <w:t xml:space="preserve">vit den nämnda uppfattningen samt i vilken mån regeringens företrädare i olika sammanhang har drivit en uppfattning som står i strid med riksdagens beslut. </w:t>
      </w:r>
    </w:p>
    <w:p w:rsidR="00252869" w:rsidRPr="001B4EC1" w:rsidRDefault="00252869">
      <w:pPr>
        <w:pStyle w:val="Normaltindrag"/>
      </w:pPr>
      <w:r w:rsidRPr="001B4EC1">
        <w:t xml:space="preserve">Anmälan bifogas, </w:t>
      </w:r>
      <w:r w:rsidRPr="001B4EC1">
        <w:rPr>
          <w:i/>
        </w:rPr>
        <w:t>bilaga A 1.5.1</w:t>
      </w:r>
      <w:r w:rsidRPr="001B4EC1">
        <w:t xml:space="preserve">. </w:t>
      </w:r>
    </w:p>
    <w:p w:rsidR="00252869" w:rsidRPr="001B4EC1" w:rsidRDefault="00252869">
      <w:pPr>
        <w:pStyle w:val="Rubrik3"/>
        <w:rPr>
          <w:noProof w:val="0"/>
        </w:rPr>
      </w:pPr>
      <w:bookmarkStart w:id="38" w:name="_Toc72648469"/>
      <w:r w:rsidRPr="001B4EC1">
        <w:rPr>
          <w:noProof w:val="0"/>
        </w:rPr>
        <w:t>Bakgrund</w:t>
      </w:r>
      <w:bookmarkEnd w:id="38"/>
      <w:r w:rsidRPr="001B4EC1">
        <w:rPr>
          <w:noProof w:val="0"/>
        </w:rPr>
        <w:t xml:space="preserve"> </w:t>
      </w:r>
    </w:p>
    <w:p w:rsidR="00252869" w:rsidRPr="001B4EC1" w:rsidRDefault="00252869">
      <w:pPr>
        <w:pStyle w:val="R4"/>
      </w:pPr>
      <w:r w:rsidRPr="001B4EC1">
        <w:t>Rättslig reglering av samrådet mellan riksdagen och regeringen i EU-frågor</w:t>
      </w:r>
    </w:p>
    <w:p w:rsidR="00252869" w:rsidRPr="001B4EC1" w:rsidRDefault="00252869">
      <w:r w:rsidRPr="001B4EC1">
        <w:t xml:space="preserve">Den grundläggande bestämmelsen om regeringens samråd med riksdagen i EU-frågor finns fr.o.m. den 1 januari 2003 i 10 kap. 6 § regeringsformen. Enligt denna bestämmelse, som tidigare var intagen i riksdagsordningen, skall regeringen fortlöpande informera riksdagen och samråda med organ som utses av riksdagen om vad som sker inom ramen för samarbetet i Europeiska unionen. </w:t>
      </w:r>
    </w:p>
    <w:p w:rsidR="00252869" w:rsidRPr="001B4EC1" w:rsidRDefault="00252869">
      <w:pPr>
        <w:pStyle w:val="Normaltindrag"/>
      </w:pPr>
      <w:r w:rsidRPr="001B4EC1">
        <w:t>Samrådsorganet är enligt närmare bestämmelser i 10 kap. riksdagsordnin</w:t>
      </w:r>
      <w:r w:rsidRPr="001B4EC1">
        <w:t>g</w:t>
      </w:r>
      <w:r w:rsidRPr="001B4EC1">
        <w:t>en (tidigare i 8 kap.) EU-nämnden. I kapitlet föreskrivs bl.a. att regeringen skall redovisa sitt agerande i EU för riksdagen, att regeringen skall informera riks</w:t>
      </w:r>
      <w:r w:rsidRPr="001B4EC1">
        <w:softHyphen/>
        <w:t>dagen om sin syn på de förslag från kommissionen som regeringen be</w:t>
      </w:r>
      <w:r w:rsidRPr="001B4EC1">
        <w:softHyphen/>
        <w:t>dömer som betydelsefulla, att riksdagen för samråd med regeringen i frågor som gäller EU inom sig för varje valperiod skall tillsätta en nämnd för EU samt att regeringen skall underrätta EU-nämnden om frågor som avses bli behandlade i unionens råd (ministerrådet) och rådgöra med n</w:t>
      </w:r>
      <w:r w:rsidRPr="001B4EC1">
        <w:t>ämnden om hur förhand</w:t>
      </w:r>
      <w:r w:rsidRPr="001B4EC1">
        <w:softHyphen/>
        <w:t>lingarna i rådet skall föras inför beslut som regeringen bedömer som betydel</w:t>
      </w:r>
      <w:r w:rsidRPr="001B4EC1">
        <w:softHyphen/>
        <w:t xml:space="preserve">sefulla och i andra frågor som nämnden bestämmer. </w:t>
      </w:r>
    </w:p>
    <w:p w:rsidR="00252869" w:rsidRPr="001B4EC1" w:rsidRDefault="00252869">
      <w:pPr>
        <w:pStyle w:val="Normaltindrag"/>
      </w:pPr>
      <w:r w:rsidRPr="001B4EC1">
        <w:t>Motivet för att inrätta EU-nämnden var att riksdagen genom avtalet om Sveriges anslutning till de europeiska gemenskaperna överlät beslutanderätt till dessa gemenskapers institutioner. Som kompensation för den förlorade beslutanderätten borde riksdagen ges möjlighet inte bara till kontroll i efter</w:t>
      </w:r>
      <w:r w:rsidRPr="001B4EC1">
        <w:softHyphen/>
        <w:t>hand utan även till att på förhand påverka regeringens ställningstaganden in</w:t>
      </w:r>
      <w:r w:rsidRPr="001B4EC1">
        <w:softHyphen/>
        <w:t>för förhandlingar och beslutsfattande inom EU.</w:t>
      </w:r>
      <w:r w:rsidRPr="001B4EC1">
        <w:rPr>
          <w:rStyle w:val="Fotnotsreferens"/>
        </w:rPr>
        <w:footnoteReference w:id="1"/>
      </w:r>
      <w:r w:rsidRPr="001B4EC1">
        <w:t xml:space="preserve"> </w:t>
      </w:r>
    </w:p>
    <w:p w:rsidR="00252869" w:rsidRPr="001B4EC1" w:rsidRDefault="00252869">
      <w:pPr>
        <w:pStyle w:val="R4"/>
      </w:pPr>
      <w:r w:rsidRPr="001B4EC1">
        <w:t xml:space="preserve">EU:s framtidskonvent </w:t>
      </w:r>
    </w:p>
    <w:p w:rsidR="00252869" w:rsidRPr="001B4EC1" w:rsidRDefault="00252869">
      <w:r w:rsidRPr="001B4EC1">
        <w:t>I EU:s framtidskonvent, som inleddes i februari 2002 och avslutades under sommaren 2003, diskuterades bl.a. institutionernas ställning och funktions</w:t>
      </w:r>
      <w:r w:rsidRPr="001B4EC1">
        <w:softHyphen/>
        <w:t>sätt. En ram för konventets uppgifter angavs i  den förklaring om unionens fram</w:t>
      </w:r>
      <w:r w:rsidRPr="001B4EC1">
        <w:softHyphen/>
        <w:t>tid som avgavs i samband med undertecknandet av Nice</w:t>
      </w:r>
      <w:r w:rsidRPr="001B4EC1">
        <w:softHyphen/>
        <w:t xml:space="preserve">fördraget och i den s.k. Laekendeklarationen som avgavs av Europeiska rådet vid dess möte i Laeken i december 2001. </w:t>
      </w:r>
    </w:p>
    <w:p w:rsidR="00252869" w:rsidRPr="001B4EC1" w:rsidRDefault="00252869">
      <w:pPr>
        <w:pStyle w:val="Normaltindrag"/>
      </w:pPr>
      <w:r w:rsidRPr="001B4EC1">
        <w:t xml:space="preserve">I konventets arbete diskuterades bl.a. institutionernas sammansättning och ställning. Ordförandeskapet i rådet och i Europeiska rådet var en av dessa frågor.  </w:t>
      </w:r>
    </w:p>
    <w:p w:rsidR="00252869" w:rsidRPr="001B4EC1" w:rsidRDefault="00252869">
      <w:pPr>
        <w:pStyle w:val="Normaltindrag"/>
      </w:pPr>
      <w:r w:rsidRPr="001B4EC1">
        <w:t>Det förslag som konventet lade fram innebar att Europeiska rådets ordf</w:t>
      </w:r>
      <w:r w:rsidRPr="001B4EC1">
        <w:t>ö</w:t>
      </w:r>
      <w:r w:rsidRPr="001B4EC1">
        <w:t xml:space="preserve">rande, som skall leda och stimulera arbetet, skall väljas på två och ett halvt år, med möjlighet att väljas om en gång. Valet skall göras av Europeiska rådet och skall kunna ske med kvalificerad majoritet. Europeiska rådet föreslås också få formell status som en av EU:s institutioner. </w:t>
      </w:r>
    </w:p>
    <w:p w:rsidR="00252869" w:rsidRPr="001B4EC1" w:rsidRDefault="00252869">
      <w:pPr>
        <w:pStyle w:val="R4"/>
      </w:pPr>
      <w:r w:rsidRPr="001B4EC1">
        <w:t xml:space="preserve">Riksdagsbehandling av frågor i konventet </w:t>
      </w:r>
    </w:p>
    <w:p w:rsidR="00252869" w:rsidRPr="001B4EC1" w:rsidRDefault="00252869">
      <w:pPr>
        <w:pStyle w:val="Rubrik5"/>
        <w:spacing w:before="110"/>
        <w:rPr>
          <w:noProof w:val="0"/>
        </w:rPr>
      </w:pPr>
      <w:r w:rsidRPr="001B4EC1">
        <w:rPr>
          <w:noProof w:val="0"/>
        </w:rPr>
        <w:t xml:space="preserve">Tidigare granskning av konstitutionsutskottet </w:t>
      </w:r>
    </w:p>
    <w:p w:rsidR="00252869" w:rsidRPr="001B4EC1" w:rsidRDefault="00252869">
      <w:r w:rsidRPr="001B4EC1">
        <w:t>Den fråga som tas upp i anmälan har tidigare varit föremål för konstitutions</w:t>
      </w:r>
      <w:r w:rsidRPr="001B4EC1">
        <w:softHyphen/>
        <w:t>utskottets granskning.</w:t>
      </w:r>
      <w:r w:rsidRPr="001B4EC1">
        <w:rPr>
          <w:rStyle w:val="Fotnotsreferens"/>
        </w:rPr>
        <w:footnoteReference w:id="2"/>
      </w:r>
      <w:r w:rsidRPr="001B4EC1">
        <w:t xml:space="preserve"> Frågan omfattades inte av den ursprungliga anmälan, som avsåg det förhållandet att ett s.k. non-paper (tankepapper) om bl.a. en vald ordförande i Europeiska rådet presenterats i EU-kretsen utan att ha di</w:t>
      </w:r>
      <w:r w:rsidRPr="001B4EC1">
        <w:t>s</w:t>
      </w:r>
      <w:r w:rsidRPr="001B4EC1">
        <w:t>kuterats i EU-nämnden. Frågan omfattades följaktligen inte heller av de pr</w:t>
      </w:r>
      <w:r w:rsidRPr="001B4EC1">
        <w:t>o</w:t>
      </w:r>
      <w:r w:rsidRPr="001B4EC1">
        <w:t>memorior som upp</w:t>
      </w:r>
      <w:r w:rsidRPr="001B4EC1">
        <w:softHyphen/>
        <w:t>rättades inom utskottskansliet och av Regerings</w:t>
      </w:r>
      <w:r w:rsidRPr="001B4EC1">
        <w:softHyphen/>
        <w:t>kansliet. Frågan togs dock upp av ledamöter vid utskottets avslutande utfrågning med utrikesminister Anna Lindh och statsminister Göran Persson den 8 april 2003 och bl</w:t>
      </w:r>
      <w:r w:rsidRPr="001B4EC1">
        <w:t>.a. deras ut</w:t>
      </w:r>
      <w:r w:rsidRPr="001B4EC1">
        <w:softHyphen/>
        <w:t>talanden om sitt ager</w:t>
      </w:r>
      <w:r w:rsidRPr="001B4EC1">
        <w:softHyphen/>
        <w:t>ande efter det att tankepapperet prese</w:t>
      </w:r>
      <w:r w:rsidRPr="001B4EC1">
        <w:t>n</w:t>
      </w:r>
      <w:r w:rsidRPr="001B4EC1">
        <w:t>terades lades också till grund för kritik. Utskottet</w:t>
      </w:r>
      <w:r w:rsidRPr="001B4EC1">
        <w:rPr>
          <w:rStyle w:val="Fotnotsreferens"/>
        </w:rPr>
        <w:footnoteReference w:id="3"/>
      </w:r>
      <w:r w:rsidRPr="001B4EC1">
        <w:t xml:space="preserve"> uttalade bl.a. </w:t>
      </w:r>
    </w:p>
    <w:p w:rsidR="00252869" w:rsidRPr="001B4EC1" w:rsidRDefault="00252869">
      <w:pPr>
        <w:pStyle w:val="Citat"/>
        <w:spacing w:before="125"/>
      </w:pPr>
      <w:r w:rsidRPr="001B4EC1">
        <w:t>– – – Det är vidare uppenbart att detta förslag utan förankring har kommit att framstå som den svenska regeringens linje. Utskottet vill i detta sa</w:t>
      </w:r>
      <w:r w:rsidRPr="001B4EC1">
        <w:t>m</w:t>
      </w:r>
      <w:r w:rsidRPr="001B4EC1">
        <w:t>manhang understryka att det knappast kan hävdas att regeringens företr</w:t>
      </w:r>
      <w:r w:rsidRPr="001B4EC1">
        <w:t>ä</w:t>
      </w:r>
      <w:r w:rsidRPr="001B4EC1">
        <w:t>dare i diskussioner som gäller utformningen av det konstitutionella fö</w:t>
      </w:r>
      <w:r w:rsidRPr="001B4EC1">
        <w:t>r</w:t>
      </w:r>
      <w:r w:rsidRPr="001B4EC1">
        <w:t>draget kan försvara bristande förankring och stöd i Sveriges riksdag med att det är personliga uppfattningar som man därmed för fram. Man måste kunna förutsätta, både från riksdagens och från mottagarkretsens sida, att de uppfattningar som den svenska regeringens företrädare för fram i di</w:t>
      </w:r>
      <w:r w:rsidRPr="001B4EC1">
        <w:t>s</w:t>
      </w:r>
      <w:r w:rsidRPr="001B4EC1">
        <w:t>kussioner med de övriga medlemsstaternas företrädare inte bara är pe</w:t>
      </w:r>
      <w:r w:rsidRPr="001B4EC1">
        <w:t>r</w:t>
      </w:r>
      <w:r w:rsidRPr="001B4EC1">
        <w:t>sonliga up</w:t>
      </w:r>
      <w:r w:rsidRPr="001B4EC1">
        <w:t>p</w:t>
      </w:r>
      <w:r w:rsidRPr="001B4EC1">
        <w:softHyphen/>
        <w:t xml:space="preserve">fattningar utan faktiskt uttrycker de ståndpunkter som Sverige som medlemsstat intar. – – – </w:t>
      </w:r>
    </w:p>
    <w:p w:rsidR="00252869" w:rsidRPr="001B4EC1" w:rsidRDefault="00252869">
      <w:pPr>
        <w:spacing w:before="187"/>
      </w:pPr>
      <w:r w:rsidRPr="001B4EC1">
        <w:t xml:space="preserve">Sammansatta konstitutions- och utrikesutskottet, KUU, och riksdagsdebatt </w:t>
      </w:r>
    </w:p>
    <w:p w:rsidR="00252869" w:rsidRPr="001B4EC1" w:rsidRDefault="00252869">
      <w:pPr>
        <w:spacing w:before="187"/>
      </w:pPr>
      <w:r w:rsidRPr="001B4EC1">
        <w:t>Under våren 2003, dvs. medan konventets arbete pågick, diskuterade ett sammansatt konstitutions- och utrikesutskott olika konventsfrågor. I frågan om en vald ordförande för Europeiska rådet uttalade utskottet följande:</w:t>
      </w:r>
      <w:r w:rsidRPr="001B4EC1">
        <w:rPr>
          <w:rStyle w:val="Fotnotsreferens"/>
        </w:rPr>
        <w:t xml:space="preserve"> </w:t>
      </w:r>
      <w:r w:rsidRPr="001B4EC1">
        <w:rPr>
          <w:rStyle w:val="Fotnotsreferens"/>
        </w:rPr>
        <w:footnoteReference w:id="4"/>
      </w:r>
      <w:r w:rsidRPr="001B4EC1">
        <w:t xml:space="preserve"> </w:t>
      </w:r>
    </w:p>
    <w:p w:rsidR="00252869" w:rsidRPr="001B4EC1" w:rsidRDefault="00252869">
      <w:pPr>
        <w:pStyle w:val="Citat"/>
        <w:spacing w:before="125"/>
      </w:pPr>
      <w:r w:rsidRPr="001B4EC1">
        <w:t xml:space="preserve">Om en </w:t>
      </w:r>
      <w:r w:rsidRPr="001B4EC1">
        <w:rPr>
          <w:i/>
        </w:rPr>
        <w:t>vald ordförande för Europeiska rådet</w:t>
      </w:r>
      <w:r w:rsidRPr="001B4EC1">
        <w:t xml:space="preserve"> och ministerrådet är rätt väg att gå är en fråga som det råder delade meningar om. </w:t>
      </w:r>
      <w:r w:rsidRPr="001B4EC1">
        <w:rPr>
          <w:snapToGrid w:val="0"/>
        </w:rPr>
        <w:t>Utskottet har vägt för- och nackdelarna med en sådan vald ordförande och funnit att nac</w:t>
      </w:r>
      <w:r w:rsidRPr="001B4EC1">
        <w:rPr>
          <w:snapToGrid w:val="0"/>
        </w:rPr>
        <w:t>k</w:t>
      </w:r>
      <w:r w:rsidRPr="001B4EC1">
        <w:rPr>
          <w:snapToGrid w:val="0"/>
        </w:rPr>
        <w:t>delarna överväger. EU behöver reformer som tydliggör beslutsformer och institutioner. Förenklingen och konsolideringen av fördragen – som u</w:t>
      </w:r>
      <w:r w:rsidRPr="001B4EC1">
        <w:rPr>
          <w:snapToGrid w:val="0"/>
        </w:rPr>
        <w:t>t</w:t>
      </w:r>
      <w:r w:rsidRPr="001B4EC1">
        <w:rPr>
          <w:snapToGrid w:val="0"/>
        </w:rPr>
        <w:t>skottet välkomnar – är en del av den processen. Även i övrigt syftar många av förslagen i Europeiska konventet till förenkling och ökad sa</w:t>
      </w:r>
      <w:r w:rsidRPr="001B4EC1">
        <w:rPr>
          <w:snapToGrid w:val="0"/>
        </w:rPr>
        <w:t>m</w:t>
      </w:r>
      <w:r w:rsidRPr="001B4EC1">
        <w:rPr>
          <w:snapToGrid w:val="0"/>
        </w:rPr>
        <w:t>verkan. Tanken på att til</w:t>
      </w:r>
      <w:r w:rsidRPr="001B4EC1">
        <w:rPr>
          <w:snapToGrid w:val="0"/>
        </w:rPr>
        <w:t>lskapa en vald ordförande i Europeiska rådet går emot dessa strävanden efter förenkling. Det har varit avgörande för EU:s framgångar hittills att små medlemsstater tillåtits få väl så mycket infl</w:t>
      </w:r>
      <w:r w:rsidRPr="001B4EC1">
        <w:rPr>
          <w:snapToGrid w:val="0"/>
        </w:rPr>
        <w:t>y</w:t>
      </w:r>
      <w:r w:rsidRPr="001B4EC1">
        <w:rPr>
          <w:snapToGrid w:val="0"/>
        </w:rPr>
        <w:t>tande i många frågor som stora medlemsstater. Ett system med en vald ordförande i Europeiska rådet skulle med största sannolikhet i praktiken komma att gynna stora stater. Enligt utskottets mening skall samarbetet i rådet präglas av att alla medlemsstater har likaberättigande till inflytande och rätt att utöva ordf</w:t>
      </w:r>
      <w:r w:rsidRPr="001B4EC1">
        <w:rPr>
          <w:snapToGrid w:val="0"/>
        </w:rPr>
        <w:t>örandeskapet. Ett rotationssystem för ordföra</w:t>
      </w:r>
      <w:r w:rsidRPr="001B4EC1">
        <w:rPr>
          <w:snapToGrid w:val="0"/>
        </w:rPr>
        <w:t>n</w:t>
      </w:r>
      <w:r w:rsidRPr="001B4EC1">
        <w:rPr>
          <w:snapToGrid w:val="0"/>
        </w:rPr>
        <w:t>deskapet i Europeiska rådet och i minister</w:t>
      </w:r>
      <w:r w:rsidRPr="001B4EC1">
        <w:rPr>
          <w:snapToGrid w:val="0"/>
        </w:rPr>
        <w:softHyphen/>
        <w:t>rådet har den mycket stora fö</w:t>
      </w:r>
      <w:r w:rsidRPr="001B4EC1">
        <w:rPr>
          <w:snapToGrid w:val="0"/>
        </w:rPr>
        <w:t>r</w:t>
      </w:r>
      <w:r w:rsidRPr="001B4EC1">
        <w:rPr>
          <w:snapToGrid w:val="0"/>
        </w:rPr>
        <w:t xml:space="preserve">delen att det är helt rättvist och ger alla stater den unika inblick i EU:s inre verksamhet som ordförandeskapet ger. </w:t>
      </w:r>
    </w:p>
    <w:p w:rsidR="00252869" w:rsidRPr="001B4EC1" w:rsidRDefault="00252869">
      <w:pPr>
        <w:spacing w:before="187"/>
      </w:pPr>
      <w:r w:rsidRPr="001B4EC1">
        <w:t>Utskottet ansåg de motioner som behandlades i betänkandet, och som avsåg bl.a. ordförandeskapet i Europeiska rådet, besvarade med vad utskottet an</w:t>
      </w:r>
      <w:r w:rsidRPr="001B4EC1">
        <w:softHyphen/>
        <w:t>fört. En reservation avgavs av de socialdemokratiska ledamöterna i fråga om mot</w:t>
      </w:r>
      <w:r w:rsidRPr="001B4EC1">
        <w:t>i</w:t>
      </w:r>
      <w:r w:rsidRPr="001B4EC1">
        <w:t>veringen. Riksdagen följde i beslut den 10 april 2003 utskottets fö</w:t>
      </w:r>
      <w:r w:rsidRPr="001B4EC1">
        <w:t>r</w:t>
      </w:r>
      <w:r w:rsidRPr="001B4EC1">
        <w:t>slag.</w:t>
      </w:r>
      <w:r w:rsidRPr="001B4EC1">
        <w:rPr>
          <w:rStyle w:val="Fotnotsreferens"/>
        </w:rPr>
        <w:footnoteReference w:id="5"/>
      </w:r>
      <w:r w:rsidRPr="001B4EC1">
        <w:t xml:space="preserve"> </w:t>
      </w:r>
    </w:p>
    <w:p w:rsidR="00252869" w:rsidRPr="001B4EC1" w:rsidRDefault="00252869">
      <w:r w:rsidRPr="001B4EC1">
        <w:t>Under hösten 2003 har konventets förslag till konstitutionellt för</w:t>
      </w:r>
      <w:r w:rsidRPr="001B4EC1">
        <w:softHyphen/>
        <w:t>drag för Europeiska unionen tillsammans med regeringens skrivelse Euro</w:t>
      </w:r>
      <w:r w:rsidRPr="001B4EC1">
        <w:softHyphen/>
        <w:t>peiska ko</w:t>
      </w:r>
      <w:r w:rsidRPr="001B4EC1">
        <w:t>n</w:t>
      </w:r>
      <w:r w:rsidRPr="001B4EC1">
        <w:t>ventet om EU:s framtid diskuterats i riksdagen. I skrivelsen, som anmäldes i riksdagens kammare den 2 oktober, uttalade regeringen som en utgångspunkt följande.</w:t>
      </w:r>
      <w:r w:rsidRPr="001B4EC1">
        <w:rPr>
          <w:rStyle w:val="Fotnotsreferens"/>
        </w:rPr>
        <w:footnoteReference w:id="6"/>
      </w:r>
      <w:r w:rsidRPr="001B4EC1">
        <w:t xml:space="preserve"> </w:t>
      </w:r>
    </w:p>
    <w:p w:rsidR="00252869" w:rsidRPr="001B4EC1" w:rsidRDefault="00252869">
      <w:pPr>
        <w:pStyle w:val="Citat"/>
        <w:spacing w:before="125"/>
      </w:pPr>
      <w:r w:rsidRPr="001B4EC1">
        <w:t>Konventets förslag till institutionell helhetslösning förefaller vara en god grund till en kompromiss som kan underlätta beslutsfattandet i en utvi</w:t>
      </w:r>
      <w:r w:rsidRPr="001B4EC1">
        <w:t>d</w:t>
      </w:r>
      <w:r w:rsidRPr="001B4EC1">
        <w:t xml:space="preserve">gad union. Förslaget syftar till att stärka och förbättra alla institutioner samtidigt som balansen mellan institutionerna behålls, vilket är positivt. Det bör också noteras att kompromissen i konventet var mycket svår att nå. Det kan därför antas att det blir svårt att i regeringskonferensen nå enighet om en väsenligt annorlunda lösning.  </w:t>
      </w:r>
    </w:p>
    <w:p w:rsidR="00252869" w:rsidRPr="001B4EC1" w:rsidRDefault="00252869">
      <w:pPr>
        <w:pStyle w:val="CitatIndrag"/>
      </w:pPr>
      <w:r w:rsidRPr="001B4EC1">
        <w:t xml:space="preserve">Åtgärderna för att stärka kommissionen balanseras med förslaget om en vald ordförande i Europeiska rådet. Ett antal regeringsrepresentanter, som i konventet företrädde </w:t>
      </w:r>
      <w:r w:rsidRPr="001B4EC1">
        <w:t>mindre medlemsstater, gav uttryck för oro om att en vald ordförande skulle få en alltför dominerande ställning. Detta hanteras i konventsförslaget genom en befattningsbeskrivning som anger de begränsningar som finns för funktionen. Trots att tveksamhet fra</w:t>
      </w:r>
      <w:r w:rsidRPr="001B4EC1">
        <w:t>m</w:t>
      </w:r>
      <w:r w:rsidRPr="001B4EC1">
        <w:t>förts beträffande en vald ordförande i Europeiska rådet synes en sådan funktion kunna bli den lösning som kommer att godtas av medlemsst</w:t>
      </w:r>
      <w:r w:rsidRPr="001B4EC1">
        <w:t>a</w:t>
      </w:r>
      <w:r w:rsidRPr="001B4EC1">
        <w:t>terna inom ramen för en bredare kompromiss. Det ligger inte minst i de mindre medlemsstaternas intresse att Europeiska</w:t>
      </w:r>
      <w:r w:rsidRPr="001B4EC1">
        <w:t xml:space="preserve"> rådet skall fungera bät</w:t>
      </w:r>
      <w:r w:rsidRPr="001B4EC1">
        <w:t>t</w:t>
      </w:r>
      <w:r w:rsidRPr="001B4EC1">
        <w:t>re än nu. Erfarenheterna visar att det blir svårare och svårare att kombin</w:t>
      </w:r>
      <w:r w:rsidRPr="001B4EC1">
        <w:t>e</w:t>
      </w:r>
      <w:r w:rsidRPr="001B4EC1">
        <w:t>ra ett aktivt ordförandeskap i Europeiska rådet med att inneha posten som stats- eller r</w:t>
      </w:r>
      <w:r w:rsidRPr="001B4EC1">
        <w:t>e</w:t>
      </w:r>
      <w:r w:rsidRPr="001B4EC1">
        <w:t xml:space="preserve">geringschef i ett medlemsland. </w:t>
      </w:r>
    </w:p>
    <w:p w:rsidR="00252869" w:rsidRPr="001B4EC1" w:rsidRDefault="00252869">
      <w:r w:rsidRPr="001B4EC1">
        <w:t>Sammansatta kon</w:t>
      </w:r>
      <w:r w:rsidRPr="001B4EC1">
        <w:softHyphen/>
        <w:t>stitutions- och utrikesutskottet</w:t>
      </w:r>
      <w:r w:rsidRPr="001B4EC1">
        <w:rPr>
          <w:rStyle w:val="Fotnotsreferens"/>
        </w:rPr>
        <w:footnoteReference w:id="7"/>
      </w:r>
      <w:r w:rsidRPr="001B4EC1">
        <w:t xml:space="preserve"> noterade att in</w:t>
      </w:r>
      <w:r w:rsidRPr="001B4EC1">
        <w:softHyphen/>
        <w:t>vändningar mot tanken på en vald ordförande för Europeiska rådet väckts i sex parti- eller kommitté</w:t>
      </w:r>
      <w:r w:rsidRPr="001B4EC1">
        <w:softHyphen/>
        <w:t>motioner samt hänvisade till att utskottet våren 2003 vägt för- och nackdelarna med en vald ord</w:t>
      </w:r>
      <w:r w:rsidRPr="001B4EC1">
        <w:softHyphen/>
        <w:t>förande och funnit att nackdelarna övervägde. Utskottet vidhöll den uppfatt</w:t>
      </w:r>
      <w:r w:rsidRPr="001B4EC1">
        <w:softHyphen/>
        <w:t xml:space="preserve">ningen och föreslog riksdagen att ge regeringen till känna vad utskottet anfört. Reservation avgavs av de socialdemokratiska ledamöterna. </w:t>
      </w:r>
    </w:p>
    <w:p w:rsidR="00252869" w:rsidRPr="001B4EC1" w:rsidRDefault="00252869">
      <w:r w:rsidRPr="001B4EC1">
        <w:t>Under riksdagens debatt den 20 november 2003 över betänkandet uttalade utrikesminist</w:t>
      </w:r>
      <w:r w:rsidRPr="001B4EC1">
        <w:t>er Laila Freivalds bl.a.</w:t>
      </w:r>
      <w:r w:rsidRPr="001B4EC1">
        <w:rPr>
          <w:rStyle w:val="Fotnotsreferens"/>
        </w:rPr>
        <w:footnoteReference w:id="8"/>
      </w:r>
      <w:r w:rsidRPr="001B4EC1">
        <w:t xml:space="preserve">  </w:t>
      </w:r>
    </w:p>
    <w:p w:rsidR="00252869" w:rsidRPr="001B4EC1" w:rsidRDefault="00252869">
      <w:pPr>
        <w:pStyle w:val="Citat"/>
        <w:spacing w:before="125"/>
      </w:pPr>
      <w:r w:rsidRPr="001B4EC1">
        <w:t>I de institutionella frågorna, liksom beträffande konventsförslaget i dess helhet, är det regering</w:t>
      </w:r>
      <w:r w:rsidRPr="001B4EC1">
        <w:softHyphen/>
        <w:t>ens uppfattning att det avgörande är om paket är accept</w:t>
      </w:r>
      <w:r w:rsidRPr="001B4EC1">
        <w:t>a</w:t>
      </w:r>
      <w:r w:rsidRPr="001B4EC1">
        <w:t xml:space="preserve">belt i ett helhetsperspektiv. </w:t>
      </w:r>
    </w:p>
    <w:p w:rsidR="00252869" w:rsidRPr="001B4EC1" w:rsidRDefault="00252869">
      <w:pPr>
        <w:pStyle w:val="CitatIndrag"/>
      </w:pPr>
      <w:r w:rsidRPr="001B4EC1">
        <w:t>Som utskottet påpekar i sitt betänkande är det av stor vikt att ordf</w:t>
      </w:r>
      <w:r w:rsidRPr="001B4EC1">
        <w:t>ö</w:t>
      </w:r>
      <w:r w:rsidRPr="001B4EC1">
        <w:t>randeskapet i ministerrådet fort</w:t>
      </w:r>
      <w:r w:rsidRPr="001B4EC1">
        <w:softHyphen/>
        <w:t>sätter att rotera mellan medlemsstaterna. Gruppordförandeskap är ett sätt att effektivt organisera ledningen av r</w:t>
      </w:r>
      <w:r w:rsidRPr="001B4EC1">
        <w:t>å</w:t>
      </w:r>
      <w:r w:rsidRPr="001B4EC1">
        <w:t xml:space="preserve">det och samtidigt med rimlig regelbundenhet ge medlemsstaterna en möjlighet till inblick i EU:s inre verksamhet. </w:t>
      </w:r>
    </w:p>
    <w:p w:rsidR="00252869" w:rsidRPr="001B4EC1" w:rsidRDefault="00252869">
      <w:pPr>
        <w:pStyle w:val="CitatIndrag"/>
      </w:pPr>
      <w:r w:rsidRPr="001B4EC1">
        <w:t>Förslaget om en vald ordförande för Europeiska rådet har visat sig vara en kontroversiell fråga i den här kammaren. Självfallet respekterar regeringen riksdagsmajoritetens hållning, och den linjen framförs i r</w:t>
      </w:r>
      <w:r w:rsidRPr="001B4EC1">
        <w:t>e</w:t>
      </w:r>
      <w:r w:rsidRPr="001B4EC1">
        <w:t>geringskonferensen. Men vi bör ändå vara medvetna om att en vald or</w:t>
      </w:r>
      <w:r w:rsidRPr="001B4EC1">
        <w:t>d</w:t>
      </w:r>
      <w:r w:rsidRPr="001B4EC1">
        <w:t>förande i Europeiska rådet nu tycks  accepteras av samtliga övriga del</w:t>
      </w:r>
      <w:r w:rsidRPr="001B4EC1">
        <w:t>e</w:t>
      </w:r>
      <w:r w:rsidRPr="001B4EC1">
        <w:t>gationer. Om förslaget tas med i den slutliga paketlösningen bör det kombineras med ett gruppordförandeskap som tydligt ger medlemsstate</w:t>
      </w:r>
      <w:r w:rsidRPr="001B4EC1">
        <w:t>r</w:t>
      </w:r>
      <w:r w:rsidRPr="001B4EC1">
        <w:t xml:space="preserve">na i uppgift att leda de olika rådsformationerna. </w:t>
      </w:r>
    </w:p>
    <w:p w:rsidR="00252869" w:rsidRPr="001B4EC1" w:rsidRDefault="00252869">
      <w:pPr>
        <w:spacing w:before="187"/>
      </w:pPr>
      <w:r w:rsidRPr="001B4EC1">
        <w:t>I sitt beslut samma dag följde riksdagen utskottets förslag.</w:t>
      </w:r>
      <w:r w:rsidRPr="001B4EC1">
        <w:rPr>
          <w:rStyle w:val="Fotnotsreferens"/>
        </w:rPr>
        <w:footnoteReference w:id="9"/>
      </w:r>
    </w:p>
    <w:p w:rsidR="00252869" w:rsidRPr="001B4EC1" w:rsidRDefault="00252869">
      <w:pPr>
        <w:spacing w:before="187"/>
      </w:pPr>
      <w:r w:rsidRPr="001B4EC1">
        <w:t xml:space="preserve">EU-nämnden </w:t>
      </w:r>
    </w:p>
    <w:p w:rsidR="00252869" w:rsidRPr="001B4EC1" w:rsidRDefault="00252869">
      <w:r w:rsidRPr="001B4EC1">
        <w:t xml:space="preserve">Nedan refereras uttalanden vid vissa informations- och samrådsmöten i EU-nämnden under år 2003, där frågan om vald ordförande för Europeiska rådet aktualiserats. De möten som redovisas är de som hölls den 11 april inför GAERC-möte, den 18 juni inför möte med Europeiska rådet, den 3 oktober inför regeringskonferensens öppnande och den 13 oktober inför möte med Europeiska rådet. </w:t>
      </w:r>
    </w:p>
    <w:p w:rsidR="00252869" w:rsidRPr="001B4EC1" w:rsidRDefault="00252869">
      <w:r w:rsidRPr="001B4EC1">
        <w:rPr>
          <w:i/>
          <w:u w:val="single"/>
        </w:rPr>
        <w:t>Fredagen den 11 april 2003</w:t>
      </w:r>
      <w:r w:rsidRPr="001B4EC1">
        <w:t xml:space="preserve"> hölls samråd med kabinettssekreterare Hans Dahlgren inför ministerrådsmöte (GAERC) den 14 april.</w:t>
      </w:r>
      <w:r w:rsidRPr="001B4EC1">
        <w:rPr>
          <w:rStyle w:val="Fotnotsreferens"/>
        </w:rPr>
        <w:footnoteReference w:id="10"/>
      </w:r>
      <w:r w:rsidRPr="001B4EC1">
        <w:t xml:space="preserve"> I anslutning till en dagordningspunkt för rådsmötet, där en diskussion om arbetet i konventet antogs komma upp, erinrade nämndens vice ordförande om att det vid föreg</w:t>
      </w:r>
      <w:r w:rsidRPr="001B4EC1">
        <w:t>å</w:t>
      </w:r>
      <w:r w:rsidRPr="001B4EC1">
        <w:t>ende dags omröstning varit en majoritet i kammaren som var emot tanken på en rådspresident. Kabinettssekreteraren meddelade att han talat med utrike</w:t>
      </w:r>
      <w:r w:rsidRPr="001B4EC1">
        <w:t>s</w:t>
      </w:r>
      <w:r w:rsidRPr="001B4EC1">
        <w:t>ministern om den saken och att, i den mån den saken kommer upp och hon yttrar sig i den frågan, ”kommer hon naturligtvis också att redovisa den up</w:t>
      </w:r>
      <w:r w:rsidRPr="001B4EC1">
        <w:t>p</w:t>
      </w:r>
      <w:r w:rsidRPr="001B4EC1">
        <w:t>fattning som riksdagen har gett till kä</w:t>
      </w:r>
      <w:r w:rsidRPr="001B4EC1">
        <w:t>n</w:t>
      </w:r>
      <w:r w:rsidRPr="001B4EC1">
        <w:t>na”.</w:t>
      </w:r>
    </w:p>
    <w:p w:rsidR="00252869" w:rsidRPr="001B4EC1" w:rsidRDefault="00252869">
      <w:r w:rsidRPr="001B4EC1">
        <w:rPr>
          <w:i/>
          <w:u w:val="single"/>
        </w:rPr>
        <w:t>Ons</w:t>
      </w:r>
      <w:r w:rsidRPr="001B4EC1">
        <w:rPr>
          <w:i/>
          <w:u w:val="single"/>
        </w:rPr>
        <w:t>dagen den 18 juni 2003</w:t>
      </w:r>
      <w:r w:rsidRPr="001B4EC1">
        <w:t xml:space="preserve"> informerade statsminister Göran Persson EU-nämnden inför Europeiska rådets möte i Thessaloniki den 19–20 juni.</w:t>
      </w:r>
      <w:r w:rsidRPr="001B4EC1">
        <w:rPr>
          <w:rStyle w:val="Fotnotsreferens"/>
        </w:rPr>
        <w:footnoteReference w:id="11"/>
      </w:r>
      <w:r w:rsidRPr="001B4EC1">
        <w:t xml:space="preserve"> </w:t>
      </w:r>
    </w:p>
    <w:p w:rsidR="00252869" w:rsidRPr="001B4EC1" w:rsidRDefault="00252869">
      <w:pPr>
        <w:pStyle w:val="Normaltindrag"/>
      </w:pPr>
      <w:r w:rsidRPr="001B4EC1">
        <w:t xml:space="preserve">Ledamöter från andra partier än Socialdemokraterna hänvisade till att det inte fanns en majoritet i riksdagen för en vald ordförande i Europeiska rådet och förutsatte att statsministern skulle följa riksdagens linje att säga nej till en sådan vald ordförande. </w:t>
      </w:r>
    </w:p>
    <w:p w:rsidR="00252869" w:rsidRPr="001B4EC1" w:rsidRDefault="00252869">
      <w:pPr>
        <w:pStyle w:val="Normaltindrag"/>
      </w:pPr>
      <w:r w:rsidRPr="001B4EC1">
        <w:t>Statsministern ansåg att det var för tidigt att binda sig i diskussionerna kring ”rådsordförande och rådspresident”. Han framhöll att det skulle bli fråga om en paketlösning med parlamentet, rådet och kommissionen som skulle balansera varandra. Han framhöll också att han var anhängare av me</w:t>
      </w:r>
      <w:r w:rsidRPr="001B4EC1">
        <w:t>l</w:t>
      </w:r>
      <w:r w:rsidRPr="001B4EC1">
        <w:t>lanstatligt samarbete och att rådet därmed var väldigt centralt. Han påminde om att han varit ordförande i Europeiska rådet och vet vad den arbetsuppgi</w:t>
      </w:r>
      <w:r w:rsidRPr="001B4EC1">
        <w:t>f</w:t>
      </w:r>
      <w:r w:rsidRPr="001B4EC1">
        <w:t>ten går ut på. Det var ”oerhört komplicerat” med 15 medlemsstater, och han varnade för att Sverige skulle binda sig för en långsiktig ordning som innebar att man samtidigt som man utövar statsministerskapet också skall samordna 25 medlemsstater och kanske göra det i lägen då man har inrikespolitisk kris. Han ansåg att det var en felbedömning att tro att det</w:t>
      </w:r>
      <w:r w:rsidRPr="001B4EC1">
        <w:t xml:space="preserve"> skulle gå att förena detta med att bibehålla ställningen för rådet i relation till kommissionen och parl</w:t>
      </w:r>
      <w:r w:rsidRPr="001B4EC1">
        <w:t>a</w:t>
      </w:r>
      <w:r w:rsidRPr="001B4EC1">
        <w:t xml:space="preserve">mentet. </w:t>
      </w:r>
    </w:p>
    <w:p w:rsidR="00252869" w:rsidRPr="001B4EC1" w:rsidRDefault="00252869">
      <w:pPr>
        <w:pStyle w:val="Normaltindrag"/>
      </w:pPr>
      <w:r w:rsidRPr="001B4EC1">
        <w:t>Statsministern förklarade att han i alla sammanhang när han talat med kolleger i Europa och europeiska organ gjort tydligt att den svenska riksdagen hade en annan uppfattning än den svenska regeringen. Men som anhängare av mellanstatlighet ansåg han att vi behöver en förstärkning av rådet. Att nu, innan vi ens har gått in i substans, kräva att regeringen skall vetera, utnyttja sitt veto, var en</w:t>
      </w:r>
      <w:r w:rsidRPr="001B4EC1">
        <w:t>ligt statsministern att totalt missa hur det går till i de här sa</w:t>
      </w:r>
      <w:r w:rsidRPr="001B4EC1">
        <w:t>m</w:t>
      </w:r>
      <w:r w:rsidRPr="001B4EC1">
        <w:t>manhan</w:t>
      </w:r>
      <w:r w:rsidRPr="001B4EC1">
        <w:t>g</w:t>
      </w:r>
      <w:r w:rsidRPr="001B4EC1">
        <w:t>en.</w:t>
      </w:r>
    </w:p>
    <w:p w:rsidR="00252869" w:rsidRPr="001B4EC1" w:rsidRDefault="00252869">
      <w:pPr>
        <w:pStyle w:val="Normaltindrag"/>
      </w:pPr>
      <w:r w:rsidRPr="001B4EC1">
        <w:t>Sedan Carl B Hamilton (fp) understrukit vikten av att ”detta är ett paket som man har att ta ställning till” och förklarat att han för egen del – om han fick möjlighet att säga ja eller nej till det liggande förslaget – skulle säga ja, pekade statsministern på risken för de mindre staterna att börja riva upp ko</w:t>
      </w:r>
      <w:r w:rsidRPr="001B4EC1">
        <w:t>n</w:t>
      </w:r>
      <w:r w:rsidRPr="001B4EC1">
        <w:t xml:space="preserve">ventets kompromiss kring institutionsfrågorna. Även statsministern skulle – om han tvingades säga ja eller nej till helheten – säga ja. På särskild fråga om svaret var att uppfatta som att han skulle vara beredd att säga ja eller nej till paketet i Thessaloniki, svarade statsministern dock ”nej, nej”.   </w:t>
      </w:r>
    </w:p>
    <w:p w:rsidR="00252869" w:rsidRPr="001B4EC1" w:rsidRDefault="00252869">
      <w:r w:rsidRPr="001B4EC1">
        <w:rPr>
          <w:i/>
          <w:u w:val="single"/>
        </w:rPr>
        <w:t>Fredagen den 3 oktober 2003</w:t>
      </w:r>
      <w:r w:rsidRPr="001B4EC1">
        <w:t>, dagen innan regeringskonferensen formellt skulle inledas och dagen efter det att regeringens skrivelse lämnats över till riksdagen, lämnades information om regerings</w:t>
      </w:r>
      <w:r w:rsidRPr="001B4EC1">
        <w:softHyphen/>
        <w:t>konferen</w:t>
      </w:r>
      <w:r w:rsidRPr="001B4EC1">
        <w:softHyphen/>
        <w:t>sen av statssekrete</w:t>
      </w:r>
      <w:r w:rsidRPr="001B4EC1">
        <w:softHyphen/>
        <w:t>rare Lars Danielsson.</w:t>
      </w:r>
      <w:r w:rsidRPr="001B4EC1">
        <w:rPr>
          <w:rStyle w:val="Fotnotsreferens"/>
        </w:rPr>
        <w:footnoteReference w:id="12"/>
      </w:r>
      <w:r w:rsidRPr="001B4EC1">
        <w:t xml:space="preserve"> </w:t>
      </w:r>
    </w:p>
    <w:p w:rsidR="00252869" w:rsidRPr="001B4EC1" w:rsidRDefault="00252869">
      <w:pPr>
        <w:pStyle w:val="Normaltindrag"/>
      </w:pPr>
      <w:r w:rsidRPr="001B4EC1">
        <w:t>Danielsson framhöll i fråga om ordförandeskapsrotationen i ministerrådet att vårt preliminära svar är att alla råd bör ledas av en representant för me</w:t>
      </w:r>
      <w:r w:rsidRPr="001B4EC1">
        <w:t>d</w:t>
      </w:r>
      <w:r w:rsidRPr="001B4EC1">
        <w:t xml:space="preserve">lemsländerna och att vi också preliminärt redovisat en positiv inställning till idén om gruppordförandeskap. I frågan om en vald ordförande i Europeiska rådet angav han att, trots att tveksamhet framförts, regeringen konstaterade att en sådan funktion syntes kunna bli den lösning som skulle komma att godtas av medlemsstaterna inom ramen för en bredare kompromiss. </w:t>
      </w:r>
    </w:p>
    <w:p w:rsidR="00252869" w:rsidRPr="001B4EC1" w:rsidRDefault="00252869">
      <w:pPr>
        <w:pStyle w:val="Normaltindrag"/>
      </w:pPr>
      <w:r w:rsidRPr="001B4EC1">
        <w:t xml:space="preserve">Från övriga partier kritiserades att regeringen i skrivelsen till riksdagen vidhöll sin uppfattning om en vald ordförande för Europeiska rådet, </w:t>
      </w:r>
      <w:r w:rsidRPr="001B4EC1">
        <w:t>och D</w:t>
      </w:r>
      <w:r w:rsidRPr="001B4EC1">
        <w:t>a</w:t>
      </w:r>
      <w:r w:rsidRPr="001B4EC1">
        <w:t>nielsson fick frågan hur regeringen avsåg att agera. En fråga ställdes om han mera kunde precisera innehållet i detta presidentskap, och i inlägget hänvis</w:t>
      </w:r>
      <w:r w:rsidRPr="001B4EC1">
        <w:t>a</w:t>
      </w:r>
      <w:r w:rsidRPr="001B4EC1">
        <w:t xml:space="preserve">des också till en diskussion med Finland och Österrike i spetsen om att kringskära befogenheterna för den tänkta presidenten. </w:t>
      </w:r>
    </w:p>
    <w:p w:rsidR="00252869" w:rsidRPr="001B4EC1" w:rsidRDefault="00252869">
      <w:pPr>
        <w:pStyle w:val="Normaltindrag"/>
      </w:pPr>
      <w:r w:rsidRPr="001B4EC1">
        <w:t>Danielsson pekade på som ett faktum att det är ”en ganska delikat ko</w:t>
      </w:r>
      <w:r w:rsidRPr="001B4EC1">
        <w:t>m</w:t>
      </w:r>
      <w:r w:rsidRPr="001B4EC1">
        <w:t>promiss som har åstadkommits av konventet”. Han framhöll att i alla de kommunikationer som regeringsföreträdare haft i de här frågorna ända sedan konventet startade och fram till nu hade det tydligt markerats hur läget var nationellt vad gäller regeringens samråd eller icke samråd med riksdagen. Det gällde också den kommunikation som nyligen varit med det italienska ordf</w:t>
      </w:r>
      <w:r w:rsidRPr="001B4EC1">
        <w:t>ö</w:t>
      </w:r>
      <w:r w:rsidRPr="001B4EC1">
        <w:t>randeskapet. Det gjordes tydliga markeringar varenda gång om hur läget var i den nationella processen. Samtidigt gick det inte att bara s</w:t>
      </w:r>
      <w:r w:rsidRPr="001B4EC1">
        <w:t xml:space="preserve">itta stilla när vi får frågor som ofta är av ganska teknisk art. </w:t>
      </w:r>
    </w:p>
    <w:p w:rsidR="00252869" w:rsidRPr="001B4EC1" w:rsidRDefault="00252869">
      <w:pPr>
        <w:pStyle w:val="Normaltindrag"/>
      </w:pPr>
      <w:r w:rsidRPr="001B4EC1">
        <w:t>Danielsson ansåg att vi inte hade några förutsättningar att precisera vår p</w:t>
      </w:r>
      <w:r w:rsidRPr="001B4EC1">
        <w:t>o</w:t>
      </w:r>
      <w:r w:rsidRPr="001B4EC1">
        <w:t xml:space="preserve">sition vad gäller det valda ordförandeskapet, givet den diskussion som vi var mitt uppe i. Han konstaterade att det säkerligen skulle komma att vara en diskussion om den s.k. befattningsbeskrivningen för ordföranden i Europeiska rådet. Beskrivningen i konventets förslag av vad ordföranden skall göra hade förändrats och tonats ned sedan försommaren, och Danielsson kunde tänka sig att vi skulle få ytterligare led i den processen. </w:t>
      </w:r>
    </w:p>
    <w:p w:rsidR="00252869" w:rsidRPr="001B4EC1" w:rsidRDefault="00252869">
      <w:r w:rsidRPr="001B4EC1">
        <w:rPr>
          <w:i/>
          <w:u w:val="single"/>
        </w:rPr>
        <w:t>Måndagen den 13 oktober 2003</w:t>
      </w:r>
      <w:r w:rsidRPr="001B4EC1">
        <w:t xml:space="preserve"> hålls samråd med statsminister Göran Per</w:t>
      </w:r>
      <w:r w:rsidRPr="001B4EC1">
        <w:t>s</w:t>
      </w:r>
      <w:r w:rsidRPr="001B4EC1">
        <w:t>son inför Europeiska rådets möte och regeringskonferensen den 16–17 okt</w:t>
      </w:r>
      <w:r w:rsidRPr="001B4EC1">
        <w:t>o</w:t>
      </w:r>
      <w:r w:rsidRPr="001B4EC1">
        <w:t>ber 2003</w:t>
      </w:r>
      <w:r w:rsidRPr="001B4EC1">
        <w:rPr>
          <w:rStyle w:val="Fotnotsreferens"/>
        </w:rPr>
        <w:footnoteReference w:id="13"/>
      </w:r>
      <w:r w:rsidRPr="001B4EC1">
        <w:t xml:space="preserve">. </w:t>
      </w:r>
    </w:p>
    <w:p w:rsidR="00252869" w:rsidRPr="001B4EC1" w:rsidRDefault="00252869">
      <w:pPr>
        <w:pStyle w:val="Normaltindrag"/>
      </w:pPr>
      <w:r w:rsidRPr="001B4EC1">
        <w:t>Statsministern anförde att frågan om vald ordförande i Europeiska rådet att döma av de inlägg som gjordes vid regeringskonferensens öppnande nu di</w:t>
      </w:r>
      <w:r w:rsidRPr="001B4EC1">
        <w:t>s</w:t>
      </w:r>
      <w:r w:rsidRPr="001B4EC1">
        <w:t xml:space="preserve">kuterades snarare i termer av hur posten skall införas än om den skall införas och att även länder som Österrike och Finland, som länge varit hårda uttalade motståndare till en vald ordförande, sagt sig acceptera dess införande. </w:t>
      </w:r>
    </w:p>
    <w:p w:rsidR="00252869" w:rsidRPr="001B4EC1" w:rsidRDefault="00252869">
      <w:pPr>
        <w:pStyle w:val="Normaltindrag"/>
      </w:pPr>
      <w:r w:rsidRPr="001B4EC1">
        <w:t>I kommentarer till inlägg från ledamöter i nämnden bedömde statsmini</w:t>
      </w:r>
      <w:r w:rsidRPr="001B4EC1">
        <w:t>s</w:t>
      </w:r>
      <w:r w:rsidRPr="001B4EC1">
        <w:t xml:space="preserve">tern att det nog var riktigt att ingen fäller en regeringskonferens med frågan om vald ordförande i Europeiska rådet. Han ansåg att, även om riksdagen tagit ställning, eller haft en auktoritativ synpunkt, var det först nu som vi hade hela resultatet på bordet och helheten skulle vägas av. Vid mötet med EU-nämnden den 18 juni hade han läst ut vad som sades tydligt från några vid bordet, nämligen att om det handlar om att anta eller förkasta det liggande förslaget, så antar vi hellre än förkastar. </w:t>
      </w:r>
    </w:p>
    <w:p w:rsidR="00252869" w:rsidRPr="001B4EC1" w:rsidRDefault="00252869">
      <w:pPr>
        <w:pStyle w:val="Normaltindrag"/>
      </w:pPr>
      <w:r w:rsidRPr="001B4EC1">
        <w:t>Statsmini</w:t>
      </w:r>
      <w:r w:rsidRPr="001B4EC1">
        <w:t>stern hänvisade vidare till att han slagits hårt för en vald ordf</w:t>
      </w:r>
      <w:r w:rsidRPr="001B4EC1">
        <w:t>ö</w:t>
      </w:r>
      <w:r w:rsidRPr="001B4EC1">
        <w:t>rande i Europeiska rådet och att han lyckats med bedriften att övertyga uni</w:t>
      </w:r>
      <w:r w:rsidRPr="001B4EC1">
        <w:t>o</w:t>
      </w:r>
      <w:r w:rsidRPr="001B4EC1">
        <w:t>nen men inte sina landsmän i Sveriges riksdag. Han hade gjort det därför att han tror på mellanstatligheten. Statsministern redogjorde åter för sin bedö</w:t>
      </w:r>
      <w:r w:rsidRPr="001B4EC1">
        <w:t>m</w:t>
      </w:r>
      <w:r w:rsidRPr="001B4EC1">
        <w:t>ning av omöjligheten för regerande premiärministrar i Europa att i framtiden på något meningsfullt sätt försöka samordna politiken mellan 30 nationer, samtidigt som de skulle ta ansvar för det nationella. Han erinrade</w:t>
      </w:r>
      <w:r w:rsidRPr="001B4EC1">
        <w:t xml:space="preserve"> sig första gången som de fem nordiska statsministrarna träffats i den nordiska kretsen. De satt i en liten gruppering, och han var vid det tillfället väldigt ensam i sin uppfattning. Sedan fick danskarna sitt ordförandeskap och efter det var de helt övertygade om att den enda möjligheten var att göra på det föreslagna sättet. Nu var också finländarna på väg åt det hållet. </w:t>
      </w:r>
    </w:p>
    <w:p w:rsidR="00252869" w:rsidRPr="001B4EC1" w:rsidRDefault="00252869">
      <w:pPr>
        <w:pStyle w:val="Rubrik3"/>
        <w:rPr>
          <w:noProof w:val="0"/>
        </w:rPr>
      </w:pPr>
      <w:bookmarkStart w:id="39" w:name="_Toc72648470"/>
      <w:r w:rsidRPr="001B4EC1">
        <w:rPr>
          <w:noProof w:val="0"/>
        </w:rPr>
        <w:t>Uppgifter från Regeringskansliet och vid utfrågning</w:t>
      </w:r>
      <w:bookmarkEnd w:id="39"/>
      <w:r w:rsidRPr="001B4EC1">
        <w:rPr>
          <w:noProof w:val="0"/>
        </w:rPr>
        <w:t xml:space="preserve"> </w:t>
      </w:r>
    </w:p>
    <w:p w:rsidR="00252869" w:rsidRPr="001B4EC1" w:rsidRDefault="00252869">
      <w:pPr>
        <w:pStyle w:val="Rubrik4"/>
        <w:spacing w:before="125"/>
        <w:rPr>
          <w:noProof w:val="0"/>
        </w:rPr>
      </w:pPr>
      <w:bookmarkStart w:id="40" w:name="_Toc72648471"/>
      <w:r w:rsidRPr="001B4EC1">
        <w:rPr>
          <w:noProof w:val="0"/>
        </w:rPr>
        <w:t>Promemoria från Statsrådsberedningen</w:t>
      </w:r>
      <w:bookmarkEnd w:id="40"/>
      <w:r w:rsidRPr="001B4EC1">
        <w:rPr>
          <w:noProof w:val="0"/>
        </w:rPr>
        <w:t xml:space="preserve"> </w:t>
      </w:r>
    </w:p>
    <w:p w:rsidR="00252869" w:rsidRPr="001B4EC1" w:rsidRDefault="00252869">
      <w:r w:rsidRPr="001B4EC1">
        <w:t>Utskottet har genom en skrivelse till Regeringskansliet begärt dels en redog</w:t>
      </w:r>
      <w:r w:rsidRPr="001B4EC1">
        <w:t>ö</w:t>
      </w:r>
      <w:r w:rsidRPr="001B4EC1">
        <w:t>relse för de tillfällen då statsministern eller utrikesministern eller företrädare för dem diskuterat frågan om ordförandeskapet för Europeiska rådet med företrädare för andra medlemsstater, och vilka synpunkter de då fört fram, dels de kommentarer i övrigt som anmälan gav anledning till. Redogörelsen borde avse tiden efter den 8 april 2003 och fram till dess att svaret på skrive</w:t>
      </w:r>
      <w:r w:rsidRPr="001B4EC1">
        <w:t>l</w:t>
      </w:r>
      <w:r w:rsidRPr="001B4EC1">
        <w:t xml:space="preserve">sen avgavs. Till redogörelsen borde fogas tillgängliga samtalsuppteckningar. </w:t>
      </w:r>
    </w:p>
    <w:p w:rsidR="00252869" w:rsidRPr="001B4EC1" w:rsidRDefault="00252869">
      <w:pPr>
        <w:pStyle w:val="Normaltindrag"/>
      </w:pPr>
      <w:r w:rsidRPr="001B4EC1">
        <w:t xml:space="preserve">Som svar på skrivelsen har från Regeringskansliet </w:t>
      </w:r>
      <w:r w:rsidRPr="001B4EC1">
        <w:t>översänts en inom Stat</w:t>
      </w:r>
      <w:r w:rsidRPr="001B4EC1">
        <w:t>s</w:t>
      </w:r>
      <w:r w:rsidRPr="001B4EC1">
        <w:t>rådsberedningen den 9 februari 2004 upprättad promemoria. I promemorian anges att en redovisning i alla delar av diskussioner med företrädare för andra medlemsstater inte är möjlig av bl.a. den orsaken att statsministerns möten ofta helt eller delvis sker enskilt. Dessutom framhålls i promemorian att up</w:t>
      </w:r>
      <w:r w:rsidRPr="001B4EC1">
        <w:t>p</w:t>
      </w:r>
      <w:r w:rsidRPr="001B4EC1">
        <w:t>teckningarna från Europeiska rådets möten sker utifrån s.k. Anticiantecknin</w:t>
      </w:r>
      <w:r w:rsidRPr="001B4EC1">
        <w:t>g</w:t>
      </w:r>
      <w:r w:rsidRPr="001B4EC1">
        <w:t>ar, som i sin tur baseras på summariska redovisningar av tjänstemän från rådssekretariatet och inte på ett f</w:t>
      </w:r>
      <w:r w:rsidRPr="001B4EC1">
        <w:t>ullständigt sätt återger vad som sagts vid Europeiska rådets möten. Enligt promemorian har riksdagens ståndpunkt tagits upp vid åtskilliga andra tillfällen än vad som framgår av den redovi</w:t>
      </w:r>
      <w:r w:rsidRPr="001B4EC1">
        <w:t>s</w:t>
      </w:r>
      <w:r w:rsidRPr="001B4EC1">
        <w:t xml:space="preserve">ning som lämnas. </w:t>
      </w:r>
    </w:p>
    <w:p w:rsidR="00252869" w:rsidRPr="001B4EC1" w:rsidRDefault="00252869">
      <w:pPr>
        <w:pStyle w:val="Normaltindrag"/>
      </w:pPr>
      <w:r w:rsidRPr="001B4EC1">
        <w:t>Redovisningen avser samtalsuppteckningar från följande möten 2003. Upptecknin</w:t>
      </w:r>
      <w:r w:rsidRPr="001B4EC1">
        <w:t>g</w:t>
      </w:r>
      <w:r w:rsidRPr="001B4EC1">
        <w:t xml:space="preserve">arna återges nedan i den form de har i promemorian. </w:t>
      </w:r>
    </w:p>
    <w:p w:rsidR="00252869" w:rsidRPr="001B4EC1" w:rsidRDefault="00252869">
      <w:r w:rsidRPr="001B4EC1">
        <w:rPr>
          <w:i/>
          <w:u w:val="single"/>
        </w:rPr>
        <w:t>Den 11 april</w:t>
      </w:r>
      <w:r w:rsidRPr="001B4EC1">
        <w:t xml:space="preserve"> hölls ett samtal i Lissabon mellan statsminister Göran Persson och Portugals premiärminister Durao Barroso. Från samtalet antecknades följande. </w:t>
      </w:r>
    </w:p>
    <w:p w:rsidR="00252869" w:rsidRPr="001B4EC1" w:rsidRDefault="00252869">
      <w:pPr>
        <w:pStyle w:val="Citat"/>
        <w:spacing w:before="125"/>
      </w:pPr>
      <w:r w:rsidRPr="001B4EC1">
        <w:t>Statsministern menade att, eftersom konventet väntades föreslå mer makt till både Europaparlamentet (naturligt) och kommissionen (nödvändigt), måste även rådet stärkas för att bibehålla balansen mellan institutionerna. Sverige önskade hitta en kompromiss genom sitt förslag om permanent ordförande i Europeiska rådet (t.ex. 3–4 år) i kombination med roterande ordför</w:t>
      </w:r>
      <w:r w:rsidRPr="001B4EC1">
        <w:t>andeskap i övriga råd (t.ex. 3 MS med gemensamt ansvar för 9 råd i 3 år), och var öppet för alternativa förslag. Risken fanns för dödläge i konventets slutskede, om inte en kompromiss kunde identifieras. Stat</w:t>
      </w:r>
      <w:r w:rsidRPr="001B4EC1">
        <w:t>s</w:t>
      </w:r>
      <w:r w:rsidRPr="001B4EC1">
        <w:t>ministern önskade undvika konflikt mellan stora och små länder i ko</w:t>
      </w:r>
      <w:r w:rsidRPr="001B4EC1">
        <w:t>n</w:t>
      </w:r>
      <w:r w:rsidRPr="001B4EC1">
        <w:t>ventet, eftersom en sådan kunde leda till misslyckande i regeringskonf</w:t>
      </w:r>
      <w:r w:rsidRPr="001B4EC1">
        <w:t>e</w:t>
      </w:r>
      <w:r w:rsidRPr="001B4EC1">
        <w:t xml:space="preserve">rensen. Rådet behövde reformeras inför EU:s utvidgning 2004. </w:t>
      </w:r>
    </w:p>
    <w:p w:rsidR="00252869" w:rsidRPr="001B4EC1" w:rsidRDefault="00252869">
      <w:r w:rsidRPr="001B4EC1">
        <w:rPr>
          <w:i/>
          <w:u w:val="single"/>
        </w:rPr>
        <w:t>Den 15 april</w:t>
      </w:r>
      <w:r w:rsidRPr="001B4EC1">
        <w:t xml:space="preserve"> hölls ett samtal i Paris mellan statsminister Göran Persson och Frankr</w:t>
      </w:r>
      <w:r w:rsidRPr="001B4EC1">
        <w:t>i</w:t>
      </w:r>
      <w:r w:rsidRPr="001B4EC1">
        <w:t xml:space="preserve">kes president Jacques Chirac. Från samtalet antecknades följande. </w:t>
      </w:r>
    </w:p>
    <w:p w:rsidR="00252869" w:rsidRPr="001B4EC1" w:rsidRDefault="00252869">
      <w:pPr>
        <w:pStyle w:val="Citat"/>
        <w:spacing w:before="125"/>
      </w:pPr>
      <w:r w:rsidRPr="001B4EC1">
        <w:t>EU:s framtidsdebatt kunde enligt statsministern delas in i tre huvudsakl</w:t>
      </w:r>
      <w:r w:rsidRPr="001B4EC1">
        <w:t>i</w:t>
      </w:r>
      <w:r w:rsidRPr="001B4EC1">
        <w:t>ga frågeblock. Det första inbegrep de centrala institutionella frågorna, s</w:t>
      </w:r>
      <w:r w:rsidRPr="001B4EC1">
        <w:t>å</w:t>
      </w:r>
      <w:r w:rsidRPr="001B4EC1">
        <w:t>som vald ordförande i ER och tillsättning av KOM:s ordförande. Detta block skulle antagligen lösas på klassiskt vis i en regeringskonferens, med utgång</w:t>
      </w:r>
      <w:r w:rsidRPr="001B4EC1">
        <w:t>s</w:t>
      </w:r>
      <w:r w:rsidRPr="001B4EC1">
        <w:t xml:space="preserve">punkt i Nicefördraget. </w:t>
      </w:r>
    </w:p>
    <w:p w:rsidR="00252869" w:rsidRPr="001B4EC1" w:rsidRDefault="00252869">
      <w:pPr>
        <w:pStyle w:val="CitatIndrag"/>
      </w:pPr>
      <w:r w:rsidRPr="001B4EC1">
        <w:t>Vad gällde en vald ER-ordförande bedömde statsministern att inrä</w:t>
      </w:r>
      <w:r w:rsidRPr="001B4EC1">
        <w:t>t</w:t>
      </w:r>
      <w:r w:rsidRPr="001B4EC1">
        <w:t xml:space="preserve">tandet av en sådan skulle ingå i slutkompromissen. </w:t>
      </w:r>
    </w:p>
    <w:p w:rsidR="00252869" w:rsidRPr="001B4EC1" w:rsidRDefault="00252869">
      <w:r w:rsidRPr="001B4EC1">
        <w:rPr>
          <w:i/>
          <w:u w:val="single"/>
        </w:rPr>
        <w:t>Den 16 april</w:t>
      </w:r>
      <w:r w:rsidRPr="001B4EC1">
        <w:t xml:space="preserve"> hölls ett informellt EU-toppmöte i Aten om arbetet i konventet. Från mötet antecknades följande. </w:t>
      </w:r>
    </w:p>
    <w:p w:rsidR="00252869" w:rsidRPr="001B4EC1" w:rsidRDefault="00252869">
      <w:pPr>
        <w:pStyle w:val="Citat"/>
        <w:spacing w:before="125"/>
      </w:pPr>
      <w:r w:rsidRPr="001B4EC1">
        <w:t>Statsministern menade att de nu diskuterade fördragsändringarna borde utformas på ett sådant sätt att de kunde hålla även över kommande u</w:t>
      </w:r>
      <w:r w:rsidRPr="001B4EC1">
        <w:t>t</w:t>
      </w:r>
      <w:r w:rsidRPr="001B4EC1">
        <w:t xml:space="preserve">vidgningar. Principerna om jämlikhet mellan medlemsstaterna och balans mellan institutionerna var centrala. </w:t>
      </w:r>
    </w:p>
    <w:p w:rsidR="00252869" w:rsidRPr="001B4EC1" w:rsidRDefault="00252869">
      <w:pPr>
        <w:pStyle w:val="CitatIndrag"/>
      </w:pPr>
      <w:r w:rsidRPr="001B4EC1">
        <w:t xml:space="preserve">För att balansen inte skulle rubbas krävdes troligen en vald ordförande i ER. En sådan ordning måste kombineras med ett reformerat roterande ordförandeskap, baserat på grupper av länder.  </w:t>
      </w:r>
    </w:p>
    <w:p w:rsidR="00252869" w:rsidRPr="001B4EC1" w:rsidRDefault="00252869">
      <w:r w:rsidRPr="001B4EC1">
        <w:rPr>
          <w:i/>
          <w:u w:val="single"/>
        </w:rPr>
        <w:t>Den 22 april</w:t>
      </w:r>
      <w:r w:rsidRPr="001B4EC1">
        <w:t xml:space="preserve"> hölls ett samtal i Stockholm mellan statsminister Göran Persson och ordföranden i Europeiska rådet, Greklands premiärminister Costas Sim</w:t>
      </w:r>
      <w:r w:rsidRPr="001B4EC1">
        <w:t>i</w:t>
      </w:r>
      <w:r w:rsidRPr="001B4EC1">
        <w:t xml:space="preserve">tis. Från samtalet antecknades följande. </w:t>
      </w:r>
    </w:p>
    <w:p w:rsidR="00252869" w:rsidRPr="001B4EC1" w:rsidRDefault="00252869">
      <w:pPr>
        <w:pStyle w:val="Citat"/>
        <w:spacing w:before="125"/>
      </w:pPr>
      <w:r w:rsidRPr="001B4EC1">
        <w:t>Som svar på dessa frågor repeterade statsministern vad han redan sagt i Aten, (…) (e) hoppas att riksdagen ska ge mandat att sluta upp bakom försl</w:t>
      </w:r>
      <w:r w:rsidRPr="001B4EC1">
        <w:t>a</w:t>
      </w:r>
      <w:r w:rsidRPr="001B4EC1">
        <w:t xml:space="preserve">get om en vald ordförande i ER. </w:t>
      </w:r>
    </w:p>
    <w:p w:rsidR="00252869" w:rsidRPr="001B4EC1" w:rsidRDefault="00252869">
      <w:r w:rsidRPr="001B4EC1">
        <w:rPr>
          <w:i/>
          <w:u w:val="single"/>
        </w:rPr>
        <w:t>Den 8 maj</w:t>
      </w:r>
      <w:r w:rsidRPr="001B4EC1">
        <w:t xml:space="preserve"> hölls ett samtal i Stockholm mellan statsminister Göran Persson och Irlands premiärminister Bertie Ahern. Från samtalet antecknades följa</w:t>
      </w:r>
      <w:r w:rsidRPr="001B4EC1">
        <w:t>n</w:t>
      </w:r>
      <w:r w:rsidRPr="001B4EC1">
        <w:t xml:space="preserve">de. </w:t>
      </w:r>
    </w:p>
    <w:p w:rsidR="00252869" w:rsidRPr="001B4EC1" w:rsidRDefault="00252869">
      <w:pPr>
        <w:pStyle w:val="Citat"/>
      </w:pPr>
      <w:r w:rsidRPr="001B4EC1">
        <w:t>Statsministern betonade att en vald ordförande i Europeiska rådet på he</w:t>
      </w:r>
      <w:r w:rsidRPr="001B4EC1">
        <w:t>l</w:t>
      </w:r>
      <w:r w:rsidRPr="001B4EC1">
        <w:t>tid skulle hantera externa frågor. Splittringen inom EU med anledning av Irakkriget skulle kanske inte ha uppstått, om ER hade haft en vald ordf</w:t>
      </w:r>
      <w:r w:rsidRPr="001B4EC1">
        <w:t>ö</w:t>
      </w:r>
      <w:r w:rsidRPr="001B4EC1">
        <w:t xml:space="preserve">rande. </w:t>
      </w:r>
    </w:p>
    <w:p w:rsidR="00252869" w:rsidRPr="001B4EC1" w:rsidRDefault="00252869">
      <w:pPr>
        <w:pStyle w:val="CitatIndrag"/>
      </w:pPr>
      <w:r w:rsidRPr="001B4EC1">
        <w:t>Statsministern delade uppfattningen att Nice inte bör rivas upp. Ko</w:t>
      </w:r>
      <w:r w:rsidRPr="001B4EC1">
        <w:t>n</w:t>
      </w:r>
      <w:r w:rsidRPr="001B4EC1">
        <w:t>ventet kunde hamna i ett dödläge när det gällde frågan om maktbalansen mellan institutionerna. Det fanns en risk att rådet skulle stärkas så myc</w:t>
      </w:r>
      <w:r w:rsidRPr="001B4EC1">
        <w:t>k</w:t>
      </w:r>
      <w:r w:rsidRPr="001B4EC1">
        <w:t>et, att kommissionen därmed kom ut alltför försvagad. Balansen mellan institutionerna var viktig, och både kommissionen och parlamentet b</w:t>
      </w:r>
      <w:r w:rsidRPr="001B4EC1">
        <w:t>e</w:t>
      </w:r>
      <w:r w:rsidRPr="001B4EC1">
        <w:t xml:space="preserve">hövde stärkas. </w:t>
      </w:r>
    </w:p>
    <w:p w:rsidR="00252869" w:rsidRPr="001B4EC1" w:rsidRDefault="00252869">
      <w:pPr>
        <w:pStyle w:val="CitatIndrag"/>
      </w:pPr>
      <w:r w:rsidRPr="001B4EC1">
        <w:t>Statsministern underströk att konflikten mellan små och stora stater som utvecklats i konventet kan leda till en omöjlig situation. Små stater ville inte ha en vald ordförande i Europeiska rådet. Behov fanns såle</w:t>
      </w:r>
      <w:r w:rsidRPr="001B4EC1">
        <w:t>des av förslag till kompromisser, gärna inom en snar framtid. En möjlig kompromiss vore att kombinera en vald ordförande i Europeiska rådet med gruppordförandeskap i övriga rådsformationer. Det var viktigt att betona jämlikheten mellan medlemsstaterna i ett nytt system. En ko</w:t>
      </w:r>
      <w:r w:rsidRPr="001B4EC1">
        <w:t>m</w:t>
      </w:r>
      <w:r w:rsidRPr="001B4EC1">
        <w:t>promiss som nämnts var en ordförande och en vice ordförande i Europ</w:t>
      </w:r>
      <w:r w:rsidRPr="001B4EC1">
        <w:t>e</w:t>
      </w:r>
      <w:r w:rsidRPr="001B4EC1">
        <w:t xml:space="preserve">iska rådet, varav en av dem alltid från ett litet land. </w:t>
      </w:r>
    </w:p>
    <w:p w:rsidR="00252869" w:rsidRPr="001B4EC1" w:rsidRDefault="00252869">
      <w:r w:rsidRPr="001B4EC1">
        <w:rPr>
          <w:i/>
          <w:u w:val="single"/>
        </w:rPr>
        <w:t>Den 26 maj</w:t>
      </w:r>
      <w:r w:rsidRPr="001B4EC1">
        <w:t xml:space="preserve"> hölls ett samtal i Riga mellan statsminister Göran Persson och Lettlands premiärminister Einars Repse. Från samtalet antecknades följande. </w:t>
      </w:r>
    </w:p>
    <w:p w:rsidR="00252869" w:rsidRPr="001B4EC1" w:rsidRDefault="00252869">
      <w:pPr>
        <w:pStyle w:val="Citat"/>
        <w:spacing w:before="125"/>
      </w:pPr>
      <w:r w:rsidRPr="001B4EC1">
        <w:t>Statsministern redovisade rätt ingående Sveriges syn på de frågor som diskuterades i konventet. Balansen mellan EU:s institutioner var inget nollsummespel utan man kunde stärka dem alla. Det var viktigt att förs</w:t>
      </w:r>
      <w:r w:rsidRPr="001B4EC1">
        <w:t>ö</w:t>
      </w:r>
      <w:r w:rsidRPr="001B4EC1">
        <w:t>ka få till stånd en kompromiss i konventet innebärande roterande ordf</w:t>
      </w:r>
      <w:r w:rsidRPr="001B4EC1">
        <w:t>ö</w:t>
      </w:r>
      <w:r w:rsidRPr="001B4EC1">
        <w:t>randeskap, vald ordförande för Europeiska rådet, ett oundvikligen stark</w:t>
      </w:r>
      <w:r w:rsidRPr="001B4EC1">
        <w:t>a</w:t>
      </w:r>
      <w:r w:rsidRPr="001B4EC1">
        <w:t>re Europaparlament samt fortsatt en kommissionär för varje land. Inga nya organ, som exempelvis en kongress, var önskvärda. Statsministern varnade för småstatsgrupperingar – detta skulle bara ge de stora me</w:t>
      </w:r>
      <w:r w:rsidRPr="001B4EC1">
        <w:t>d</w:t>
      </w:r>
      <w:r w:rsidRPr="001B4EC1">
        <w:t xml:space="preserve">lemsstaterna fritt fram att gruppera sig och i längden försvaga de små länderna. </w:t>
      </w:r>
    </w:p>
    <w:p w:rsidR="00252869" w:rsidRPr="001B4EC1" w:rsidRDefault="00252869">
      <w:pPr>
        <w:pStyle w:val="CitatIndrag"/>
      </w:pPr>
      <w:r w:rsidRPr="001B4EC1">
        <w:t>Statsministern framhöll att en majoritet i den svenska riksdagen hade en avvikan</w:t>
      </w:r>
      <w:r w:rsidRPr="001B4EC1">
        <w:t xml:space="preserve">de åsikt i denna fråga. </w:t>
      </w:r>
    </w:p>
    <w:p w:rsidR="00252869" w:rsidRPr="001B4EC1" w:rsidRDefault="00252869">
      <w:r w:rsidRPr="001B4EC1">
        <w:rPr>
          <w:i/>
          <w:u w:val="single"/>
        </w:rPr>
        <w:t>Den 29–30 juni</w:t>
      </w:r>
      <w:r w:rsidRPr="001B4EC1">
        <w:t xml:space="preserve"> hölls ett samtal på Harpsund mellan statsminister Göran Persson, Norges statsminister Kjell Magne Bondevik, Finlands statsminister Matti Vanhanen, Islands statsminister David Oddsson och Danmarks statsm</w:t>
      </w:r>
      <w:r w:rsidRPr="001B4EC1">
        <w:t>i</w:t>
      </w:r>
      <w:r w:rsidRPr="001B4EC1">
        <w:t xml:space="preserve">nister Anders Fogh Rasmussen. Från samtalet antecknades följande. </w:t>
      </w:r>
    </w:p>
    <w:p w:rsidR="00252869" w:rsidRPr="001B4EC1" w:rsidRDefault="00252869">
      <w:pPr>
        <w:pStyle w:val="Citat"/>
        <w:spacing w:before="125"/>
      </w:pPr>
      <w:r w:rsidRPr="001B4EC1">
        <w:t>Statsminister Göran Persson konstaterade att utvidgningen till 25 MS ändrade karaktären på EU:s arbete och ökade de svårigheter som både han själv och Fogh Rasmussen nyligen erfarit i ordförandeskapsrollen med att samordna unionen. Konventet</w:t>
      </w:r>
      <w:r w:rsidRPr="001B4EC1">
        <w:t>s förslag innebar vidare ett stärkande av både KOM och EP, och inrättandet av en vald ordförande i ER var viktigt för att upprätthålla den institutionella balansen, även om en majoritet i den svenska riksdagen hade en annan uppfattning i den s</w:t>
      </w:r>
      <w:r w:rsidRPr="001B4EC1">
        <w:t>e</w:t>
      </w:r>
      <w:r w:rsidRPr="001B4EC1">
        <w:t xml:space="preserve">nare frågan. </w:t>
      </w:r>
    </w:p>
    <w:p w:rsidR="00252869" w:rsidRPr="001B4EC1" w:rsidRDefault="00252869">
      <w:r w:rsidRPr="001B4EC1">
        <w:rPr>
          <w:i/>
          <w:u w:val="single"/>
        </w:rPr>
        <w:t>Den 30 juni</w:t>
      </w:r>
      <w:r w:rsidRPr="001B4EC1">
        <w:t xml:space="preserve"> hölls ett samtal på Harpsund mellan statsminister Göran Persson och Finlands statsminister Matti Vanhanen. Från samtalet antecknades följa</w:t>
      </w:r>
      <w:r w:rsidRPr="001B4EC1">
        <w:t>n</w:t>
      </w:r>
      <w:r w:rsidRPr="001B4EC1">
        <w:t xml:space="preserve">de. </w:t>
      </w:r>
    </w:p>
    <w:p w:rsidR="00252869" w:rsidRPr="001B4EC1" w:rsidRDefault="00252869">
      <w:pPr>
        <w:pStyle w:val="Citat"/>
      </w:pPr>
      <w:r w:rsidRPr="001B4EC1">
        <w:t>Statsministern [Göran Persson] gjorde därefter en summarisk utläggning kring konventsfrågorna och särskilt då institutionsfrågorna. Han unde</w:t>
      </w:r>
      <w:r w:rsidRPr="001B4EC1">
        <w:t>r</w:t>
      </w:r>
      <w:r w:rsidRPr="001B4EC1">
        <w:t>strök att Sverige var angeläget om balans mellan Kommissionen, Rådet och Parlamentet. Att ta ställning för permanent ordförandeskap för Eur</w:t>
      </w:r>
      <w:r w:rsidRPr="001B4EC1">
        <w:t>o</w:t>
      </w:r>
      <w:r w:rsidRPr="001B4EC1">
        <w:t>peiska Rådet på vissa villkor var fullt förenligt med vår syn på behovet av balans mellan institutionerna. Statsministern erinrade om att ett svenskt kompromissförslag lagts redan i oktober förra året, som sederm</w:t>
      </w:r>
      <w:r w:rsidRPr="001B4EC1">
        <w:t>e</w:t>
      </w:r>
      <w:r w:rsidRPr="001B4EC1">
        <w:t>ra cirkulerats av ordförandeskapet och sade sig vara helt övertygad om att överenskommelse skulle nås om ett permanent ordförandeskap för Eur</w:t>
      </w:r>
      <w:r w:rsidRPr="001B4EC1">
        <w:t>o</w:t>
      </w:r>
      <w:r w:rsidRPr="001B4EC1">
        <w:t xml:space="preserve">peiska Rådet av </w:t>
      </w:r>
      <w:r w:rsidRPr="001B4EC1">
        <w:t>ungefärligen det slag som Sverige verkat för. Statsm</w:t>
      </w:r>
      <w:r w:rsidRPr="001B4EC1">
        <w:t>i</w:t>
      </w:r>
      <w:r w:rsidRPr="001B4EC1">
        <w:t>nistern framhöll att en majoritet i den svenska riksdagen hade en avv</w:t>
      </w:r>
      <w:r w:rsidRPr="001B4EC1">
        <w:t>i</w:t>
      </w:r>
      <w:r w:rsidRPr="001B4EC1">
        <w:t xml:space="preserve">kande åsikt i denna fråga. </w:t>
      </w:r>
    </w:p>
    <w:p w:rsidR="00252869" w:rsidRPr="001B4EC1" w:rsidRDefault="00252869">
      <w:r w:rsidRPr="001B4EC1">
        <w:rPr>
          <w:i/>
          <w:u w:val="single"/>
        </w:rPr>
        <w:t>Den 26 augusti</w:t>
      </w:r>
      <w:r w:rsidRPr="001B4EC1">
        <w:t xml:space="preserve"> hölls ett samtal i Rom mellan statsministerns statssekreterare Lars Danielsson och Europachefen i italienska utrikesministeriet Rocco Cangelosi. Från samtalet antecknades följande. </w:t>
      </w:r>
    </w:p>
    <w:p w:rsidR="00252869" w:rsidRPr="001B4EC1" w:rsidRDefault="00252869">
      <w:pPr>
        <w:pStyle w:val="Citat"/>
        <w:spacing w:before="125"/>
      </w:pPr>
      <w:r w:rsidRPr="001B4EC1">
        <w:t>Ss Danielsson underströk inledningsvis att de synpunkter som framfördes från hans sida var preliminära och att regeringen ännu inte tagit ställning till konventets förslag till nytt EU-fördrag. Yttrande från riksdagen kunde fö</w:t>
      </w:r>
      <w:r w:rsidRPr="001B4EC1">
        <w:t>r</w:t>
      </w:r>
      <w:r w:rsidRPr="001B4EC1">
        <w:t xml:space="preserve">väntas senare i höst. </w:t>
      </w:r>
    </w:p>
    <w:p w:rsidR="00252869" w:rsidRPr="001B4EC1" w:rsidRDefault="00252869">
      <w:pPr>
        <w:pStyle w:val="Citat"/>
        <w:rPr>
          <w:u w:val="single"/>
        </w:rPr>
      </w:pPr>
      <w:r w:rsidRPr="001B4EC1">
        <w:rPr>
          <w:u w:val="single"/>
        </w:rPr>
        <w:t xml:space="preserve">Det institutionella paketet: </w:t>
      </w:r>
    </w:p>
    <w:p w:rsidR="00252869" w:rsidRPr="001B4EC1" w:rsidRDefault="00252869">
      <w:pPr>
        <w:pStyle w:val="Citat"/>
      </w:pPr>
      <w:r w:rsidRPr="001B4EC1">
        <w:rPr>
          <w:i/>
        </w:rPr>
        <w:t>LD:</w:t>
      </w:r>
      <w:r w:rsidRPr="001B4EC1">
        <w:t xml:space="preserve"> Acceptabel kompromiss. (…) Positiv till vald ordf i ER – men kla</w:t>
      </w:r>
      <w:r w:rsidRPr="001B4EC1">
        <w:t>r</w:t>
      </w:r>
      <w:r w:rsidRPr="001B4EC1">
        <w:t>gjorde att riksdagen i våras förklarade sig negativt inställd – i kombin</w:t>
      </w:r>
      <w:r w:rsidRPr="001B4EC1">
        <w:t>a</w:t>
      </w:r>
      <w:r w:rsidRPr="001B4EC1">
        <w:t xml:space="preserve">tion med gruppordf för övriga rådskonstellationer. </w:t>
      </w:r>
    </w:p>
    <w:p w:rsidR="00252869" w:rsidRPr="001B4EC1" w:rsidRDefault="00252869">
      <w:r w:rsidRPr="001B4EC1">
        <w:rPr>
          <w:i/>
          <w:u w:val="single"/>
        </w:rPr>
        <w:t>Den 1 september</w:t>
      </w:r>
      <w:r w:rsidRPr="001B4EC1">
        <w:t xml:space="preserve"> hölls i Prag ett möte på statssekreterarnivå mellan små och medelstora stater om behandling av det konstitutionella fördraget i regering</w:t>
      </w:r>
      <w:r w:rsidRPr="001B4EC1">
        <w:t>s</w:t>
      </w:r>
      <w:r w:rsidRPr="001B4EC1">
        <w:t>konferensen. Från Sverige deltog statssekreterare Lars Danielsson. Från sa</w:t>
      </w:r>
      <w:r w:rsidRPr="001B4EC1">
        <w:t>m</w:t>
      </w:r>
      <w:r w:rsidRPr="001B4EC1">
        <w:t xml:space="preserve">talet antecknades följande. </w:t>
      </w:r>
    </w:p>
    <w:p w:rsidR="00252869" w:rsidRPr="001B4EC1" w:rsidRDefault="00252869">
      <w:pPr>
        <w:pStyle w:val="Citat"/>
        <w:spacing w:before="125"/>
      </w:pPr>
      <w:r w:rsidRPr="001B4EC1">
        <w:t xml:space="preserve">…, att S hade behov av förankring i riksdagen av konventets resultat … </w:t>
      </w:r>
    </w:p>
    <w:p w:rsidR="00252869" w:rsidRPr="001B4EC1" w:rsidRDefault="00252869">
      <w:pPr>
        <w:pStyle w:val="CitatIndrag"/>
      </w:pPr>
      <w:r w:rsidRPr="001B4EC1">
        <w:t>Flertalet ansåg att IGC måste specificera arbetsuppgifterna för en or</w:t>
      </w:r>
      <w:r w:rsidRPr="001B4EC1">
        <w:t>d</w:t>
      </w:r>
      <w:r w:rsidRPr="001B4EC1">
        <w:t xml:space="preserve">förande i Europeiska rådet (… S, …). </w:t>
      </w:r>
    </w:p>
    <w:p w:rsidR="00252869" w:rsidRPr="001B4EC1" w:rsidRDefault="00252869">
      <w:r w:rsidRPr="001B4EC1">
        <w:rPr>
          <w:i/>
          <w:u w:val="single"/>
        </w:rPr>
        <w:t>Den 29–30 september</w:t>
      </w:r>
      <w:r w:rsidRPr="001B4EC1">
        <w:t xml:space="preserve"> hölls i Stockholm ett nordiskt statssekreterarmöte me</w:t>
      </w:r>
      <w:r w:rsidRPr="001B4EC1">
        <w:t>l</w:t>
      </w:r>
      <w:r w:rsidRPr="001B4EC1">
        <w:t>lan kabinettssekreteraren Hans Dahlgren, statssekreteraren Gunnar Snorri Gunnarsson (Island), statssekreteraren Arto Mansala (Finland), statssekreter</w:t>
      </w:r>
      <w:r w:rsidRPr="001B4EC1">
        <w:t>a</w:t>
      </w:r>
      <w:r w:rsidRPr="001B4EC1">
        <w:t>ren Thorild Widvey (Norge) och kommitteret för nordiska frågor Sören Christensen (Danmark).  Från samtalet antecknades följa</w:t>
      </w:r>
      <w:r w:rsidRPr="001B4EC1">
        <w:t>n</w:t>
      </w:r>
      <w:r w:rsidRPr="001B4EC1">
        <w:t xml:space="preserve">de. </w:t>
      </w:r>
    </w:p>
    <w:p w:rsidR="00252869" w:rsidRPr="001B4EC1" w:rsidRDefault="00252869">
      <w:pPr>
        <w:pStyle w:val="Citat"/>
        <w:spacing w:before="125"/>
      </w:pPr>
      <w:r w:rsidRPr="001B4EC1">
        <w:t>(…) Dahlgren förklarade också att den svenska regeringen var för en vald EU-president, medan riksdagen däremot uttalat sig emot detta; något svenskt ”veto” i denna fråga kunde d</w:t>
      </w:r>
      <w:r w:rsidRPr="001B4EC1">
        <w:t xml:space="preserve">et dock knappast bli fråga om. </w:t>
      </w:r>
    </w:p>
    <w:p w:rsidR="00252869" w:rsidRPr="001B4EC1" w:rsidRDefault="00252869">
      <w:r w:rsidRPr="001B4EC1">
        <w:t xml:space="preserve">Från öppnandet av regeringskonferensen om ett nytt konstitutionellt fördrag för Europeiska unionen </w:t>
      </w:r>
      <w:r w:rsidRPr="001B4EC1">
        <w:rPr>
          <w:i/>
          <w:u w:val="single"/>
        </w:rPr>
        <w:t>den 4 oktober</w:t>
      </w:r>
      <w:r w:rsidRPr="001B4EC1">
        <w:t xml:space="preserve"> i Rom antecknades följande. </w:t>
      </w:r>
    </w:p>
    <w:p w:rsidR="00252869" w:rsidRPr="001B4EC1" w:rsidRDefault="00252869">
      <w:pPr>
        <w:pStyle w:val="Citat"/>
        <w:spacing w:before="125"/>
      </w:pPr>
      <w:r w:rsidRPr="001B4EC1">
        <w:t>[Statsministern:] I den fas av arbetet på ett nytt fördrag som nu inleddes var resultatet viktigare än tidtabellen. Den bortre gräns som fanns var att en politisk överenskommelse borde vara klar i tid till valet till Europ</w:t>
      </w:r>
      <w:r w:rsidRPr="001B4EC1">
        <w:t>a</w:t>
      </w:r>
      <w:r w:rsidRPr="001B4EC1">
        <w:t>parlamentet. Konventet hade gjort ett bra arbete och i de institutionella frågorna hade man funnit en rimlig kompromiss. Alla institutioner hade stärkts. Samtidigt som man skulle vara medveten om kompromissens ömtåliga karaktär, måste det givetvis vara möjligt för varje medlemsland att ta upp vi</w:t>
      </w:r>
      <w:r w:rsidRPr="001B4EC1">
        <w:t>l</w:t>
      </w:r>
      <w:r w:rsidRPr="001B4EC1">
        <w:t xml:space="preserve">ken fråga som helst i IGC. </w:t>
      </w:r>
    </w:p>
    <w:p w:rsidR="00252869" w:rsidRPr="001B4EC1" w:rsidRDefault="00252869">
      <w:r w:rsidRPr="001B4EC1">
        <w:rPr>
          <w:i/>
          <w:u w:val="single"/>
        </w:rPr>
        <w:t>Den 8 oktober</w:t>
      </w:r>
      <w:r w:rsidRPr="001B4EC1">
        <w:t xml:space="preserve"> hölls i Stockholm ett samtal mellan statsminister Göran Per</w:t>
      </w:r>
      <w:r w:rsidRPr="001B4EC1">
        <w:t>s</w:t>
      </w:r>
      <w:r w:rsidRPr="001B4EC1">
        <w:t xml:space="preserve">son och Sloveniens premiärminister Anton Rop. Från samtalet antecknades följande. </w:t>
      </w:r>
    </w:p>
    <w:p w:rsidR="00252869" w:rsidRPr="001B4EC1" w:rsidRDefault="00252869">
      <w:pPr>
        <w:pStyle w:val="Citat"/>
        <w:spacing w:before="125"/>
      </w:pPr>
      <w:r w:rsidRPr="001B4EC1">
        <w:t>Svenska regeringen såg positivt på förslaget om ett gruppordförandeskap och en vald ordförande i Europeiska rådet. Att leda Europeiska rådet i ett EU med 25–30 medlemsstater och samtidigt styra det egna landet var så gott som ogörligt. Enligt statsministern var konventets institutionella fö</w:t>
      </w:r>
      <w:r w:rsidRPr="001B4EC1">
        <w:t>r</w:t>
      </w:r>
      <w:r w:rsidRPr="001B4EC1">
        <w:t>slag på det hela acceptabelt. Regeringen inväntade emellertid nu riksd</w:t>
      </w:r>
      <w:r w:rsidRPr="001B4EC1">
        <w:t>a</w:t>
      </w:r>
      <w:r w:rsidRPr="001B4EC1">
        <w:t xml:space="preserve">gens utlåtande. </w:t>
      </w:r>
    </w:p>
    <w:p w:rsidR="00252869" w:rsidRPr="001B4EC1" w:rsidRDefault="00252869">
      <w:r w:rsidRPr="001B4EC1">
        <w:rPr>
          <w:i/>
          <w:u w:val="single"/>
        </w:rPr>
        <w:t>Den 16–17 oktober</w:t>
      </w:r>
      <w:r w:rsidRPr="001B4EC1">
        <w:t xml:space="preserve"> hölls möte i Bryssel med Europeiska rådet. Från mötet antecknades följande. </w:t>
      </w:r>
    </w:p>
    <w:p w:rsidR="00252869" w:rsidRPr="001B4EC1" w:rsidRDefault="00252869">
      <w:pPr>
        <w:pStyle w:val="Citat"/>
        <w:spacing w:before="125"/>
      </w:pPr>
      <w:r w:rsidRPr="001B4EC1">
        <w:t>Statsministern sade att konventsresultatet var bra. En del mindre frågor måste ändras. I fråga om tidtabellen måste man också ta hänsyn till per</w:t>
      </w:r>
      <w:r w:rsidRPr="001B4EC1">
        <w:t>i</w:t>
      </w:r>
      <w:r w:rsidRPr="001B4EC1">
        <w:t>oden efter regeringskonferensen, dvs ratifikationsprocessen, och möjli</w:t>
      </w:r>
      <w:r w:rsidRPr="001B4EC1">
        <w:t>g</w:t>
      </w:r>
      <w:r w:rsidRPr="001B4EC1">
        <w:t>heten att få stöd för konferensens resultat. Det är inte bra om man rusar igenom konferensen. Vi måste vara säkra på att vi får en kvalitetspr</w:t>
      </w:r>
      <w:r w:rsidRPr="001B4EC1">
        <w:t>o</w:t>
      </w:r>
      <w:r w:rsidRPr="001B4EC1">
        <w:t>dukt. I tid till EP-valen måste vi vara klara. Kom:s sammansättning var den viktigaste frågan. Det fanns ett behov av att definiera hur jämlikhet mellan MS kan säkras. Om detta inte skedde, måste vi gå tillbaka till s</w:t>
      </w:r>
      <w:r w:rsidRPr="001B4EC1">
        <w:t>y</w:t>
      </w:r>
      <w:r w:rsidRPr="001B4EC1">
        <w:t>stemet med en kommissionär per MS. Unionens utrikespolitik måste vara mellansta</w:t>
      </w:r>
      <w:r w:rsidRPr="001B4EC1">
        <w:t xml:space="preserve">tlig. Rollen för unionens utrikesminister behövde klargöras mot denna bakgrund. </w:t>
      </w:r>
    </w:p>
    <w:p w:rsidR="00252869" w:rsidRPr="001B4EC1" w:rsidRDefault="00252869">
      <w:r w:rsidRPr="001B4EC1">
        <w:rPr>
          <w:i/>
          <w:u w:val="single"/>
        </w:rPr>
        <w:t>Den 29 oktober</w:t>
      </w:r>
      <w:r w:rsidRPr="001B4EC1">
        <w:t xml:space="preserve"> hölls ett samtal i Stockholm mellan statsminister Göran Per</w:t>
      </w:r>
      <w:r w:rsidRPr="001B4EC1">
        <w:t>s</w:t>
      </w:r>
      <w:r w:rsidRPr="001B4EC1">
        <w:t xml:space="preserve">son och Luxemburgs premiärminister Jean-Claude Juncker. Från samtalet antecknades följande. </w:t>
      </w:r>
    </w:p>
    <w:p w:rsidR="00252869" w:rsidRPr="001B4EC1" w:rsidRDefault="00252869">
      <w:pPr>
        <w:pStyle w:val="Citat"/>
        <w:spacing w:before="125"/>
      </w:pPr>
      <w:r w:rsidRPr="001B4EC1">
        <w:t xml:space="preserve">Statsministern bedömde att en vald ordförande i Europeiska rådet också skulle främja en effektivisering. På denna punkt hade Sveriges riksdag dock haft en annan uppfattning, och regeringen inväntade nu riksdagens utlåtande om konventets förslag. </w:t>
      </w:r>
    </w:p>
    <w:p w:rsidR="00252869" w:rsidRPr="001B4EC1" w:rsidRDefault="00252869">
      <w:r w:rsidRPr="001B4EC1">
        <w:rPr>
          <w:i/>
          <w:u w:val="single"/>
        </w:rPr>
        <w:t>Den 19 november</w:t>
      </w:r>
      <w:r w:rsidRPr="001B4EC1">
        <w:t xml:space="preserve"> hölls ett samtal i Rom mellan statsminister Göran Persson och ordföranden i Europeiska rådet, Italiens premiärminister Silvio Berlusc</w:t>
      </w:r>
      <w:r w:rsidRPr="001B4EC1">
        <w:t>o</w:t>
      </w:r>
      <w:r w:rsidRPr="001B4EC1">
        <w:t xml:space="preserve">ni. Från samtalet antecknades följande. </w:t>
      </w:r>
    </w:p>
    <w:p w:rsidR="00252869" w:rsidRPr="001B4EC1" w:rsidRDefault="00252869">
      <w:pPr>
        <w:pStyle w:val="Citat"/>
        <w:spacing w:before="125"/>
      </w:pPr>
      <w:r w:rsidRPr="001B4EC1">
        <w:t>Statsministern informerade om diskussionerna i Sveriges riksdag om en vald ordförande i Europeiska rådet. Det svenska motståndet bottnade i en oro över att en vald ordförande skulle ändra på maktbalansen.</w:t>
      </w:r>
    </w:p>
    <w:p w:rsidR="00252869" w:rsidRPr="001B4EC1" w:rsidRDefault="00252869">
      <w:r w:rsidRPr="001B4EC1">
        <w:rPr>
          <w:i/>
          <w:u w:val="single"/>
        </w:rPr>
        <w:t>Den 28–29 november</w:t>
      </w:r>
      <w:r w:rsidRPr="001B4EC1">
        <w:t xml:space="preserve"> hölls ett ministermöte i Neapel inom ramen för rege</w:t>
      </w:r>
      <w:r w:rsidRPr="001B4EC1">
        <w:t>r</w:t>
      </w:r>
      <w:r w:rsidRPr="001B4EC1">
        <w:t xml:space="preserve">ingskonferensen, där Sverige företräddes av utrikesminister Laila Freivalds. Från samtalet antecknades följande. </w:t>
      </w:r>
    </w:p>
    <w:p w:rsidR="00252869" w:rsidRPr="001B4EC1" w:rsidRDefault="00252869">
      <w:pPr>
        <w:pStyle w:val="Citat"/>
        <w:spacing w:before="125"/>
      </w:pPr>
      <w:r w:rsidRPr="001B4EC1">
        <w:t xml:space="preserve">S Stöd till D, som argumenterar emot UK:s resonemang om en roll för ER-ordf i allmänna rådet. </w:t>
      </w:r>
    </w:p>
    <w:p w:rsidR="00252869" w:rsidRPr="001B4EC1" w:rsidRDefault="00252869">
      <w:r w:rsidRPr="001B4EC1">
        <w:rPr>
          <w:i/>
          <w:u w:val="single"/>
        </w:rPr>
        <w:t>Den 12–13 december</w:t>
      </w:r>
      <w:r w:rsidRPr="001B4EC1">
        <w:t xml:space="preserve"> hölls möte i Bryssel med Europeiska rådet. Från mötet antecknades följande. </w:t>
      </w:r>
    </w:p>
    <w:p w:rsidR="00252869" w:rsidRPr="001B4EC1" w:rsidRDefault="00252869">
      <w:pPr>
        <w:pStyle w:val="Citat"/>
        <w:spacing w:before="125"/>
      </w:pPr>
      <w:r w:rsidRPr="001B4EC1">
        <w:t>Statsministern underströk vikten av att öka trycket i förhandlingen. På det institutionella området markerade statsministern det svenska stödet för principen ett land/en kommissionär med rösträtt, för en röstviktningsm</w:t>
      </w:r>
      <w:r w:rsidRPr="001B4EC1">
        <w:t>o</w:t>
      </w:r>
      <w:r w:rsidRPr="001B4EC1">
        <w:t>dell som så korrekt som möjligt återspeglade ländernas storlek samt vår syn på en eventuell vald ordförande i Europeiska rådet såsom den ko</w:t>
      </w:r>
      <w:r w:rsidRPr="001B4EC1">
        <w:t>m</w:t>
      </w:r>
      <w:r w:rsidRPr="001B4EC1">
        <w:t>mit till uttryck i riksd</w:t>
      </w:r>
      <w:r w:rsidRPr="001B4EC1">
        <w:t>a</w:t>
      </w:r>
      <w:r w:rsidRPr="001B4EC1">
        <w:t xml:space="preserve">gen. </w:t>
      </w:r>
    </w:p>
    <w:p w:rsidR="00252869" w:rsidRPr="001B4EC1" w:rsidRDefault="00252869">
      <w:r w:rsidRPr="001B4EC1">
        <w:t xml:space="preserve">Statsrådsberedningens promemoria finns intagen som </w:t>
      </w:r>
      <w:r w:rsidRPr="001B4EC1">
        <w:rPr>
          <w:i/>
        </w:rPr>
        <w:t>bilaga A 1.5.2</w:t>
      </w:r>
      <w:r w:rsidRPr="001B4EC1">
        <w:t>.</w:t>
      </w:r>
    </w:p>
    <w:p w:rsidR="00252869" w:rsidRPr="001B4EC1" w:rsidRDefault="00252869">
      <w:pPr>
        <w:pStyle w:val="Rubrik4"/>
        <w:rPr>
          <w:noProof w:val="0"/>
        </w:rPr>
      </w:pPr>
      <w:bookmarkStart w:id="41" w:name="_Toc72648472"/>
      <w:r w:rsidRPr="001B4EC1">
        <w:rPr>
          <w:noProof w:val="0"/>
        </w:rPr>
        <w:t>Utfrågning med statsministern den 20 april 2004</w:t>
      </w:r>
      <w:bookmarkEnd w:id="41"/>
    </w:p>
    <w:p w:rsidR="00252869" w:rsidRPr="001B4EC1" w:rsidRDefault="00252869">
      <w:r w:rsidRPr="001B4EC1">
        <w:t xml:space="preserve">Statsminister Göran Persson frågades ut av utskottet den 20 april 2004. </w:t>
      </w:r>
    </w:p>
    <w:p w:rsidR="00252869" w:rsidRPr="001B4EC1" w:rsidRDefault="00252869">
      <w:pPr>
        <w:pStyle w:val="Normaltindrag"/>
      </w:pPr>
      <w:r w:rsidRPr="001B4EC1">
        <w:t>Statsministern förklarade vid utfrågningen att frågan om en vald ordföra</w:t>
      </w:r>
      <w:r w:rsidRPr="001B4EC1">
        <w:t>n</w:t>
      </w:r>
      <w:r w:rsidRPr="001B4EC1">
        <w:t>de för Europeiska rådet enligt hans uppfattning var öppen in i det sista fram till den 20 november, då riksdagen debatterade om och fattade beslut, även om regeringens företrädare (”vi”) ganska tidigt förstod vartåt riksdagens majoritet lutade. Vid samtal i EU-kretsen har de redovisat vilken uppfattning som regeringen har haft och vilken uppfattning som riksdagen har haft. Hur omfattande resonemang det har varit fråga om framgår inte fullt ut av sa</w:t>
      </w:r>
      <w:r w:rsidRPr="001B4EC1">
        <w:t>m</w:t>
      </w:r>
      <w:r w:rsidRPr="001B4EC1">
        <w:t>talsuppteckningarna, eftersom de inte omfattar allt. Stats</w:t>
      </w:r>
      <w:r w:rsidRPr="001B4EC1">
        <w:t xml:space="preserve">ministern påpekade att överläggningar ofta börjar med en </w:t>
      </w:r>
      <w:r w:rsidRPr="001B4EC1">
        <w:rPr>
          <w:i/>
        </w:rPr>
        <w:t>tête-à-tête</w:t>
      </w:r>
      <w:r w:rsidRPr="001B4EC1">
        <w:t>, där han och hans kollega sitter ensamma och pratar avspänt om läget, pratar om positioner och redogör för den politiska situationen. Vid alla dessa tillfällen har han tagit upp och redogjort för den svenska situationen, att vi kommer att hamna, som det ser ut, i en position där vi inte är för en vald ordförande i Europeiska rådet. Det gillades av många till en början, men den kretsen blev successivt allt mindre. Många av de inte minst kon</w:t>
      </w:r>
      <w:r w:rsidRPr="001B4EC1">
        <w:t>servativa och liberala politiker som från början var motståndare har så småningom bytt uppfattning och hamnat i positionen i det svenska non-paperet. Statsministern har aldrig någonsin tvekat att klart och tydligt redovisa den svenska majoritetsuppfattningen, samtidigt som han också tyckte att han var skyldig att redovisa vilken uppfattning regeringen hade. Det har man förstått, därför att i många europeiska parlament har man en splittrad bild, så det är inget konstigt med detta, framhöll statsministern ock</w:t>
      </w:r>
      <w:r w:rsidRPr="001B4EC1">
        <w:t xml:space="preserve">så. </w:t>
      </w:r>
    </w:p>
    <w:p w:rsidR="00252869" w:rsidRPr="001B4EC1" w:rsidRDefault="00252869">
      <w:pPr>
        <w:pStyle w:val="Normaltindrag"/>
      </w:pPr>
      <w:r w:rsidRPr="001B4EC1">
        <w:t>Statsministern ansåg att regeringen (”vi”) inte drivit sin linje, utan släppte den tidigt, när de såg riksdagens position. De bedömde inte att riksdagen skulle byta uppfattning och redogjorde därför för den uppfattningen. Statsm</w:t>
      </w:r>
      <w:r w:rsidRPr="001B4EC1">
        <w:t>i</w:t>
      </w:r>
      <w:r w:rsidRPr="001B4EC1">
        <w:t>nistern har dock inte drivit riksdagsmajoritetens uppfattning i den meningen att han hotat med att votera. Där gavs klarhet vid ett möte med EU-nämnden före det italienska slutdokumentet om att, om det skulle handla om att anta eller förkasta det, så skulle vi anta det. Därmed var veteringsfrågan borta. Det handlade då enligt statsministern om att göra klart vilken den svenska pos</w:t>
      </w:r>
      <w:r w:rsidRPr="001B4EC1">
        <w:t>i</w:t>
      </w:r>
      <w:r w:rsidRPr="001B4EC1">
        <w:t>tionen var, argumentera för den på ett sakligt sätt och också inse att den inte skulle komma att få en majoritet bakom sig i EU</w:t>
      </w:r>
      <w:r w:rsidRPr="001B4EC1">
        <w:t>. Utöver vad som dokume</w:t>
      </w:r>
      <w:r w:rsidRPr="001B4EC1">
        <w:t>n</w:t>
      </w:r>
      <w:r w:rsidRPr="001B4EC1">
        <w:t>terats från varje överläggning har statsministern vid de enskilda överläg</w:t>
      </w:r>
      <w:r w:rsidRPr="001B4EC1">
        <w:t>g</w:t>
      </w:r>
      <w:r w:rsidRPr="001B4EC1">
        <w:t>ningar som sker regelmässigt vid möten med andra stats- och regeringschefer redogjort för den svenska situationen. Det är seriöst, det är noggrant förberett och det finns en linje genom hela resonemanget, ansåg stat</w:t>
      </w:r>
      <w:r w:rsidRPr="001B4EC1">
        <w:t>s</w:t>
      </w:r>
      <w:r w:rsidRPr="001B4EC1">
        <w:t xml:space="preserve">ministern. </w:t>
      </w:r>
    </w:p>
    <w:p w:rsidR="00252869" w:rsidRPr="001B4EC1" w:rsidRDefault="00252869">
      <w:pPr>
        <w:pStyle w:val="Normaltindrag"/>
      </w:pPr>
      <w:r w:rsidRPr="001B4EC1">
        <w:t>Statsministern påpekade att samtalsuppteckningar upprättas av en närv</w:t>
      </w:r>
      <w:r w:rsidRPr="001B4EC1">
        <w:t>a</w:t>
      </w:r>
      <w:r w:rsidRPr="001B4EC1">
        <w:t>rande tjänsteman och läggs som en egen handling till en akt eller till ärendet. De granskas inte efteråt. Även om de oftast är riktiga, kan nyanser missas, och de skrivs lite schablonmässigt. I anteckningarna redovisas inte att det också förts samtal enskilt med premiärminister den och den, att vid dagens överläggningar togs upp det här och det här och att vid den formella sittnin</w:t>
      </w:r>
      <w:r w:rsidRPr="001B4EC1">
        <w:t>g</w:t>
      </w:r>
      <w:r w:rsidRPr="001B4EC1">
        <w:t xml:space="preserve">en med delegationen vid bordet fördes samtal om detta. En viktig aspekt är att alltmer av samtalen med utländska företrädare i </w:t>
      </w:r>
      <w:r w:rsidRPr="001B4EC1">
        <w:t>dag sker informellt. Allt mindre dokumenteras på det gamla sättet med samtalsuppteckningar. Samtal förs oerhört ofta på telefon, på mobiltelefon. Hur man i en framtid med all</w:t>
      </w:r>
      <w:r w:rsidRPr="001B4EC1">
        <w:t>t</w:t>
      </w:r>
      <w:r w:rsidRPr="001B4EC1">
        <w:t>mer av informella kontakter, alltmer av snabba kommunikationssystem, skall dokumentera exakt vad som pågår i samtal mellan stats- och regeringschefer är enligt statsministern en fråga att r</w:t>
      </w:r>
      <w:r w:rsidRPr="001B4EC1">
        <w:t>e</w:t>
      </w:r>
      <w:r w:rsidRPr="001B4EC1">
        <w:t xml:space="preserve">flektera över. </w:t>
      </w:r>
    </w:p>
    <w:p w:rsidR="00252869" w:rsidRPr="001B4EC1" w:rsidRDefault="00252869">
      <w:pPr>
        <w:pStyle w:val="Normaltindrag"/>
      </w:pPr>
      <w:r w:rsidRPr="001B4EC1">
        <w:t xml:space="preserve">En utskrift från utfrågningen finns intagen som </w:t>
      </w:r>
      <w:r w:rsidRPr="001B4EC1">
        <w:rPr>
          <w:i/>
        </w:rPr>
        <w:t xml:space="preserve">bilaga B10 </w:t>
      </w:r>
      <w:r w:rsidRPr="001B4EC1">
        <w:t>.</w:t>
      </w:r>
    </w:p>
    <w:p w:rsidR="00252869" w:rsidRPr="001B4EC1" w:rsidRDefault="00252869">
      <w:pPr>
        <w:pStyle w:val="Rubrik3"/>
        <w:rPr>
          <w:noProof w:val="0"/>
        </w:rPr>
      </w:pPr>
      <w:bookmarkStart w:id="42" w:name="_Toc72648473"/>
      <w:r w:rsidRPr="001B4EC1">
        <w:rPr>
          <w:noProof w:val="0"/>
        </w:rPr>
        <w:t>Utskottets ställningstagande</w:t>
      </w:r>
      <w:bookmarkEnd w:id="42"/>
      <w:r w:rsidRPr="001B4EC1">
        <w:rPr>
          <w:noProof w:val="0"/>
        </w:rPr>
        <w:t xml:space="preserve"> </w:t>
      </w:r>
    </w:p>
    <w:p w:rsidR="00252869" w:rsidRPr="001B4EC1" w:rsidRDefault="00252869">
      <w:r w:rsidRPr="001B4EC1">
        <w:t>Som utskottet redan vid granskningen under föregående riksmöte konstater</w:t>
      </w:r>
      <w:r w:rsidRPr="001B4EC1">
        <w:t>a</w:t>
      </w:r>
      <w:r w:rsidRPr="001B4EC1">
        <w:t>de är det uppenbart att förslaget om en vald ordförande för Europeiska rådet kommit att framstå som den svenska regeringens linje, och det kan knappast hävdas att regeringens företrädare i diskussioner som gäller utformningen av det konstitutionella fördraget kan försvara bristande förankring och stöd i Sveriges riksdag med att det är personliga uppfattningar som man därmed för fram. Både från riksdagens och från mottagarkretsens sida måste man kunna förutsätta att de uppfattningar som den svenska regering</w:t>
      </w:r>
      <w:r w:rsidRPr="001B4EC1">
        <w:t>ens företrädare för fram i diskussioner med de övriga medlemsstaternas företrädare inte bara är personliga uppfattningar utan faktiskt uttrycker de ståndpunkter som Sverige som medlemsstat intar. Utskottet kritiserade redan vid denna granskning att förslaget fördes fram utan att ha diskuterats i EU-nämnden. Årets granskning avser frågan hur statsministern – sedan riksdagens inställning till förslaget klargjorts – fortsättningsvis agerat för att i stället för sin egen ståndpunkt driva den som kunde bedömas v</w:t>
      </w:r>
      <w:r w:rsidRPr="001B4EC1">
        <w:t>ara rik</w:t>
      </w:r>
      <w:r w:rsidRPr="001B4EC1">
        <w:t>s</w:t>
      </w:r>
      <w:r w:rsidRPr="001B4EC1">
        <w:t xml:space="preserve">dagens. </w:t>
      </w:r>
    </w:p>
    <w:p w:rsidR="00252869" w:rsidRPr="001B4EC1" w:rsidRDefault="00252869">
      <w:pPr>
        <w:pStyle w:val="Normaltindrag"/>
      </w:pPr>
      <w:r w:rsidRPr="001B4EC1">
        <w:t>Sedan förslaget om en vald ordförande för Europeiska rådet redan inle</w:t>
      </w:r>
      <w:r w:rsidRPr="001B4EC1">
        <w:t>d</w:t>
      </w:r>
      <w:r w:rsidRPr="001B4EC1">
        <w:t>ningsvis mött opposition i EU-nämnden klargjordes riksdagens inställning i alltmer bestämda former både vid samråd i EU-nämnden och genom beslut över betänkanden av sammansatta konstitutions- och utrikesutskottet. Den 10 april 2003 fattade riksdagen beslut över betänkande 2002/03:KUU1, vari motioner i frågan ansågs besvarade med vad utskottet anfört, och som sa</w:t>
      </w:r>
      <w:r w:rsidRPr="001B4EC1">
        <w:t>m</w:t>
      </w:r>
      <w:r w:rsidRPr="001B4EC1">
        <w:t>manfattningsvis innebar att utskottet ansåg att nackdelarna med en vald ordf</w:t>
      </w:r>
      <w:r w:rsidRPr="001B4EC1">
        <w:t>ö</w:t>
      </w:r>
      <w:r w:rsidRPr="001B4EC1">
        <w:t>rande i Europeiska rådet övervägde fördelarna. Den 20 oktober 2003 bes</w:t>
      </w:r>
      <w:r w:rsidRPr="001B4EC1">
        <w:t xml:space="preserve">löt riksdagen med anledning av betänkande 2003/04:KUU1 att ge regeringen till känna vad utskottet anfört i frågan och som innebar att uppfattningen från våren vidhölls. Därutöver hade konstitutionsutskottet i sin granskning under våren (bet. 2002/03:KU30) kritiserat regeringens agerande i frågan. </w:t>
      </w:r>
    </w:p>
    <w:p w:rsidR="00252869" w:rsidRPr="001B4EC1" w:rsidRDefault="00252869">
      <w:pPr>
        <w:pStyle w:val="Normaltindrag"/>
      </w:pPr>
      <w:r w:rsidRPr="001B4EC1">
        <w:t>Utskottet vill framhålla att regeringsmedlemmar och regeringens företräd</w:t>
      </w:r>
      <w:r w:rsidRPr="001B4EC1">
        <w:t>a</w:t>
      </w:r>
      <w:r w:rsidRPr="001B4EC1">
        <w:t>re inte i mellanstatliga sammanhang kan företräda ståndpunkter motsatta dem som riksdagen ger uttryck för. Statsministern har själv försatt sig i en sådan situation att han fått svårigheter att med trovärdighet driva riksdagsmajorit</w:t>
      </w:r>
      <w:r w:rsidRPr="001B4EC1">
        <w:t>e</w:t>
      </w:r>
      <w:r w:rsidRPr="001B4EC1">
        <w:t>tens ståndpunkt, vilket utskottet kritiserade redan vid granskningen under förra riksmötet. Av tillgänglig utredning kan utläsas att statsministern inte heller senare i EU-kretsen med kraft drivit den linje som varit riksdagsmaj</w:t>
      </w:r>
      <w:r w:rsidRPr="001B4EC1">
        <w:t>o</w:t>
      </w:r>
      <w:r w:rsidRPr="001B4EC1">
        <w:t>ritetens alltsedan lanseringen av tanken på en va</w:t>
      </w:r>
      <w:r w:rsidRPr="001B4EC1">
        <w:t>ld ordförande för Europeiska rådet blivit känd. Snarare har han drivit den motsatta. Det faktum att rege</w:t>
      </w:r>
      <w:r w:rsidRPr="001B4EC1">
        <w:t>r</w:t>
      </w:r>
      <w:r w:rsidRPr="001B4EC1">
        <w:t xml:space="preserve">ingen enligt statsministern har räknat med att riksdagsmajoriteten inte skulle gå emot ett förslag till nytt fördrag av detta skäl gör inte underlåtenheten att driva frågan mindre allvarlig. Agerandet är speciellt anmärkningsvärt mot bakgrund av att riksdagen i sin tidigare granskning uttalat kritik på grund av bristande förankring i EU-nämnden. Det förtjänar därför enligt utskottets uppfattning kritik. </w:t>
      </w:r>
    </w:p>
    <w:p w:rsidR="00252869" w:rsidRPr="001B4EC1" w:rsidRDefault="00252869">
      <w:pPr>
        <w:pStyle w:val="Rubrik2"/>
      </w:pPr>
      <w:bookmarkStart w:id="43" w:name="_Toc72648474"/>
      <w:r w:rsidRPr="001B4EC1">
        <w:t>1.6 Regeringens samråd med EU-nämnden, särskilt i fråga om ett brev om försvarsfrågor, en europeisk säkerhetsstrategi och ett inlägg till regeringskonferensen från ministrarna i Ekofin-rådet</w:t>
      </w:r>
      <w:bookmarkEnd w:id="43"/>
    </w:p>
    <w:p w:rsidR="00252869" w:rsidRPr="001B4EC1" w:rsidRDefault="00252869">
      <w:pPr>
        <w:pStyle w:val="Rubrik3"/>
        <w:spacing w:before="235"/>
        <w:rPr>
          <w:noProof w:val="0"/>
        </w:rPr>
      </w:pPr>
      <w:bookmarkStart w:id="44" w:name="_Toc72648475"/>
      <w:r w:rsidRPr="001B4EC1">
        <w:rPr>
          <w:noProof w:val="0"/>
        </w:rPr>
        <w:t>Anmälningar</w:t>
      </w:r>
      <w:bookmarkEnd w:id="44"/>
      <w:r w:rsidRPr="001B4EC1">
        <w:rPr>
          <w:noProof w:val="0"/>
        </w:rPr>
        <w:t xml:space="preserve"> </w:t>
      </w:r>
    </w:p>
    <w:p w:rsidR="00252869" w:rsidRPr="001B4EC1" w:rsidRDefault="00252869">
      <w:r w:rsidRPr="001B4EC1">
        <w:t>I en anmälan till konstitutionsutskottet den 10 december 2003 begärs att u</w:t>
      </w:r>
      <w:r w:rsidRPr="001B4EC1">
        <w:t>t</w:t>
      </w:r>
      <w:r w:rsidRPr="001B4EC1">
        <w:t>skottet granskar hur utrikes</w:t>
      </w:r>
      <w:r w:rsidRPr="001B4EC1">
        <w:softHyphen/>
        <w:t xml:space="preserve">minister Laila Freivalds har skött samrådet med EU-nämnden inför ett möte den 8 december 2003 om regeringskonferensen. Anmälan avser samråd som hölls den 5 december 2003 om innehållet i ett brev om försvarsfrågor. I anmälan anförs: </w:t>
      </w:r>
    </w:p>
    <w:p w:rsidR="00252869" w:rsidRPr="001B4EC1" w:rsidRDefault="00252869">
      <w:pPr>
        <w:pStyle w:val="Citat"/>
        <w:spacing w:before="125"/>
      </w:pPr>
      <w:r w:rsidRPr="001B4EC1">
        <w:t>Från Miljöpartiets sida framförde vi att EU-nämnden skulle få se brevet i sin helhet men fick då till svar att brevet skulle vara ett ”resultat av sa</w:t>
      </w:r>
      <w:r w:rsidRPr="001B4EC1">
        <w:t>m</w:t>
      </w:r>
      <w:r w:rsidRPr="001B4EC1">
        <w:t>rådet med EU-nämnden”. Samma kväll fick EU-nämndens ledamöter brevet distribuerat till oss av EU-nämndens kansli och kunde då se att det var daterat till den 4 december, alltså dagen innan EU-nämndens sam</w:t>
      </w:r>
      <w:r w:rsidRPr="001B4EC1">
        <w:softHyphen/>
        <w:t>man</w:t>
      </w:r>
      <w:r w:rsidRPr="001B4EC1">
        <w:softHyphen/>
        <w:t xml:space="preserve">träde. </w:t>
      </w:r>
    </w:p>
    <w:p w:rsidR="00252869" w:rsidRPr="001B4EC1" w:rsidRDefault="00252869">
      <w:pPr>
        <w:pStyle w:val="CitatIndrag"/>
      </w:pPr>
      <w:r w:rsidRPr="001B4EC1">
        <w:t>Brevets innehåll var inte heller till fullo redogjort av utrikesministern vid EU-nämndens möte. Det som inte hade tagits upp var en skrivning om gemensam solidaritet mellan EU-länderna, som inte föredrogs på fr</w:t>
      </w:r>
      <w:r w:rsidRPr="001B4EC1">
        <w:t>e</w:t>
      </w:r>
      <w:r w:rsidRPr="001B4EC1">
        <w:t>dagens EU-nämndssammanträde. I den mån diskussion i frågan uppstod framstod inte regeringens linje som densamma under nämnden som sen</w:t>
      </w:r>
      <w:r w:rsidRPr="001B4EC1">
        <w:t>a</w:t>
      </w:r>
      <w:r w:rsidRPr="001B4EC1">
        <w:t>re fram</w:t>
      </w:r>
      <w:r w:rsidRPr="001B4EC1">
        <w:softHyphen/>
        <w:t xml:space="preserve">kom i nämnt brev. </w:t>
      </w:r>
    </w:p>
    <w:p w:rsidR="00252869" w:rsidRPr="001B4EC1" w:rsidRDefault="00252869">
      <w:pPr>
        <w:spacing w:before="187"/>
      </w:pPr>
      <w:r w:rsidRPr="001B4EC1">
        <w:t xml:space="preserve">Anmälaren gör bedömningen att det inte går att dra någon annan slutsats än att utrikesministern medvetet undanhöll EU-nämnden brevet. </w:t>
      </w:r>
    </w:p>
    <w:p w:rsidR="00252869" w:rsidRPr="001B4EC1" w:rsidRDefault="00252869">
      <w:r w:rsidRPr="001B4EC1">
        <w:t>I en anmälan till konstitutionsutskottet den 21 januari 2004 begärs att utsko</w:t>
      </w:r>
      <w:r w:rsidRPr="001B4EC1">
        <w:t>t</w:t>
      </w:r>
      <w:r w:rsidRPr="001B4EC1">
        <w:t>tet granskar olika statsråds ansvar för vad anmälaren anser vara bristande samråd med EU-nämnden i olika frågor. Anmälan avser dels enskilda ärenden inom respektive finansminister Bosse Ringholms, utrikesminister Laila Fre</w:t>
      </w:r>
      <w:r w:rsidRPr="001B4EC1">
        <w:t>i</w:t>
      </w:r>
      <w:r w:rsidRPr="001B4EC1">
        <w:t>valds och försvarsminister Leni Björklunds områden, dels Regeringskansliets rutiner och disciplin beträf</w:t>
      </w:r>
      <w:r w:rsidRPr="001B4EC1">
        <w:softHyphen/>
        <w:t xml:space="preserve">fande samrådsplikten. Även statsminister Göran Persson omfattas av anmälan. </w:t>
      </w:r>
    </w:p>
    <w:p w:rsidR="00252869" w:rsidRPr="001B4EC1" w:rsidRDefault="00252869">
      <w:pPr>
        <w:pStyle w:val="Normaltindrag"/>
      </w:pPr>
      <w:r w:rsidRPr="001B4EC1">
        <w:t>Anmälningen beträffande Laila Freivalds avser samrådet kring samma brev som avses i den ovan nämnda tidiga</w:t>
      </w:r>
      <w:r w:rsidRPr="001B4EC1">
        <w:t>re anmälningen. Enligt anmälaren presenterade utrikesministern endast en del av brevtexten, som gällde försl</w:t>
      </w:r>
      <w:r w:rsidRPr="001B4EC1">
        <w:t>a</w:t>
      </w:r>
      <w:r w:rsidRPr="001B4EC1">
        <w:t>get till exakt formulering av ett undantag från militära säkerhetsgarantier för de alliansfria länderna, och nämnden gavs det entydiga intrycket att detta var det enda i sammanhanget som bort vara föremål för samråd. Brevet innehöll dock därutöver en text i vilken ministrarna gick längre, och som också bort vara föremål för samråd med nämnden. Den delen avsåg ömsesidig solidaritet mellan medlemsstate</w:t>
      </w:r>
      <w:r w:rsidRPr="001B4EC1">
        <w:t>rna. Diskussionen i EU-nämnden hade enligt anmälaren alldeles säkert fått en annan inriktning om brevet i sin helhet varit föremål för samråd. Dessutom visade det sig senare att brevet var dagtecknat dagen före mötet i EU-nämnden, vilket enligt anmälaren reser ytterligare frågor om handläg</w:t>
      </w:r>
      <w:r w:rsidRPr="001B4EC1">
        <w:t>g</w:t>
      </w:r>
      <w:r w:rsidRPr="001B4EC1">
        <w:t xml:space="preserve">ningen av samrådet. </w:t>
      </w:r>
    </w:p>
    <w:p w:rsidR="00252869" w:rsidRPr="001B4EC1" w:rsidRDefault="00252869">
      <w:pPr>
        <w:pStyle w:val="Normaltindrag"/>
      </w:pPr>
      <w:r w:rsidRPr="001B4EC1">
        <w:t>Anmälningen beträffande Leni Björklund avser hennes och dåvarande u</w:t>
      </w:r>
      <w:r w:rsidRPr="001B4EC1">
        <w:t>t</w:t>
      </w:r>
      <w:r w:rsidRPr="001B4EC1">
        <w:t>rikesministerns agerande under 2003 i frågan om en europeisk säker</w:t>
      </w:r>
      <w:r w:rsidRPr="001B4EC1">
        <w:softHyphen/>
        <w:t>hets</w:t>
      </w:r>
      <w:r w:rsidRPr="001B4EC1">
        <w:softHyphen/>
        <w:t xml:space="preserve">strategi. Enligt anmälan sändes ett eller flera non-papers in som svenska bidrag, och vidare anordnades en konferens i Stockholm sommaren 2003. Inte beträffande något av dessa konkreta bidrag skedde något samråd i EU-nämnden. </w:t>
      </w:r>
    </w:p>
    <w:p w:rsidR="00252869" w:rsidRPr="001B4EC1" w:rsidRDefault="00252869">
      <w:pPr>
        <w:pStyle w:val="Normaltindrag"/>
      </w:pPr>
      <w:r w:rsidRPr="001B4EC1">
        <w:t>Anmälningen beträffande Bosse Ringholm avser hans agerande i fråga om ett förslag som diskuterats vid möten mellan finansministrarna i EU under hösten 2003 och som sedan getts in till regeringskonferensen. Försla</w:t>
      </w:r>
      <w:r w:rsidRPr="001B4EC1">
        <w:t>get inn</w:t>
      </w:r>
      <w:r w:rsidRPr="001B4EC1">
        <w:t>e</w:t>
      </w:r>
      <w:r w:rsidRPr="001B4EC1">
        <w:t>bar en förändring av konventets förslag om större inflytande för Europapa</w:t>
      </w:r>
      <w:r w:rsidRPr="001B4EC1">
        <w:t>r</w:t>
      </w:r>
      <w:r w:rsidRPr="001B4EC1">
        <w:t xml:space="preserve">lamentet över frågor om budget och ekonomi. </w:t>
      </w:r>
    </w:p>
    <w:p w:rsidR="00252869" w:rsidRPr="001B4EC1" w:rsidRDefault="00252869">
      <w:r w:rsidRPr="001B4EC1">
        <w:t>Anmälningarna, liksom det i anmälningarna nämnda brevet från de fyra utr</w:t>
      </w:r>
      <w:r w:rsidRPr="001B4EC1">
        <w:t>i</w:t>
      </w:r>
      <w:r w:rsidRPr="001B4EC1">
        <w:t>kesministrarna, bif</w:t>
      </w:r>
      <w:r w:rsidRPr="001B4EC1">
        <w:t>o</w:t>
      </w:r>
      <w:r w:rsidRPr="001B4EC1">
        <w:t xml:space="preserve">gas, se </w:t>
      </w:r>
      <w:r w:rsidRPr="001B4EC1">
        <w:rPr>
          <w:i/>
        </w:rPr>
        <w:t>bilagorna A 1.6.1–3</w:t>
      </w:r>
      <w:r w:rsidRPr="001B4EC1">
        <w:t xml:space="preserve">. </w:t>
      </w:r>
    </w:p>
    <w:p w:rsidR="00252869" w:rsidRPr="001B4EC1" w:rsidRDefault="00252869">
      <w:pPr>
        <w:pStyle w:val="Rubrik3"/>
        <w:rPr>
          <w:noProof w:val="0"/>
        </w:rPr>
      </w:pPr>
      <w:bookmarkStart w:id="45" w:name="_Toc72648476"/>
      <w:r w:rsidRPr="001B4EC1">
        <w:rPr>
          <w:noProof w:val="0"/>
        </w:rPr>
        <w:t>Underlag i ärendet</w:t>
      </w:r>
      <w:bookmarkEnd w:id="45"/>
      <w:r w:rsidRPr="001B4EC1">
        <w:rPr>
          <w:noProof w:val="0"/>
        </w:rPr>
        <w:t xml:space="preserve"> </w:t>
      </w:r>
    </w:p>
    <w:p w:rsidR="00252869" w:rsidRPr="001B4EC1" w:rsidRDefault="00252869">
      <w:r w:rsidRPr="001B4EC1">
        <w:t xml:space="preserve">Utskottet har genom en skrivelse begärt kommentarer till de i anmälningarna lämnade uppgifterna och en redovisning av de händelser som anmälningarna avser. Svar har lämnats genom en inom Regeringskansliet den 9 mars 2004 upprättad promemoria. Promemorian finns intagen i betänkandet som </w:t>
      </w:r>
      <w:r w:rsidRPr="001B4EC1">
        <w:rPr>
          <w:i/>
        </w:rPr>
        <w:t>bilaga A 1.6.4</w:t>
      </w:r>
      <w:r w:rsidRPr="001B4EC1">
        <w:t>. Utskottet har därefter begärt ett kompletterande svar från Regering</w:t>
      </w:r>
      <w:r w:rsidRPr="001B4EC1">
        <w:t>s</w:t>
      </w:r>
      <w:r w:rsidRPr="001B4EC1">
        <w:t xml:space="preserve">kansliet. Svar har lämnats från Utrikesdepartementet den 25 mars 2004, se </w:t>
      </w:r>
      <w:r w:rsidRPr="001B4EC1">
        <w:rPr>
          <w:i/>
        </w:rPr>
        <w:t>bilaga A 1.6.5</w:t>
      </w:r>
      <w:r w:rsidRPr="001B4EC1">
        <w:t>.</w:t>
      </w:r>
    </w:p>
    <w:p w:rsidR="00252869" w:rsidRPr="001B4EC1" w:rsidRDefault="00252869">
      <w:pPr>
        <w:pStyle w:val="Normaltindrag"/>
      </w:pPr>
      <w:r w:rsidRPr="001B4EC1">
        <w:t xml:space="preserve">Utskottet har också hållit en utfrågning med statsminister Göran Persson. En utskrift från utfrågningen finns i </w:t>
      </w:r>
      <w:r w:rsidRPr="001B4EC1">
        <w:rPr>
          <w:i/>
        </w:rPr>
        <w:t>bilaga B10</w:t>
      </w:r>
      <w:r w:rsidRPr="001B4EC1">
        <w:t xml:space="preserve">. </w:t>
      </w:r>
    </w:p>
    <w:p w:rsidR="00252869" w:rsidRPr="001B4EC1" w:rsidRDefault="00252869">
      <w:pPr>
        <w:pStyle w:val="R3"/>
      </w:pPr>
      <w:r w:rsidRPr="001B4EC1">
        <w:t xml:space="preserve">Bakgrund om informations- och samrådsskyldigheten </w:t>
      </w:r>
    </w:p>
    <w:p w:rsidR="00252869" w:rsidRPr="001B4EC1" w:rsidRDefault="00252869">
      <w:pPr>
        <w:pStyle w:val="R4"/>
      </w:pPr>
      <w:r w:rsidRPr="001B4EC1">
        <w:t xml:space="preserve">Bestämmelser om regeringens informations- och samrådsskyldighet </w:t>
      </w:r>
    </w:p>
    <w:p w:rsidR="00252869" w:rsidRPr="001B4EC1" w:rsidRDefault="00252869">
      <w:pPr>
        <w:pStyle w:val="Rubrik5"/>
        <w:spacing w:before="110"/>
        <w:rPr>
          <w:noProof w:val="0"/>
        </w:rPr>
      </w:pPr>
      <w:r w:rsidRPr="001B4EC1">
        <w:rPr>
          <w:noProof w:val="0"/>
        </w:rPr>
        <w:t>Grundläggande bestämmelser</w:t>
      </w:r>
    </w:p>
    <w:p w:rsidR="00252869" w:rsidRPr="001B4EC1" w:rsidRDefault="00252869">
      <w:r w:rsidRPr="001B4EC1">
        <w:t>Den grundläggande bestämmelsen om regeringens samråd med riksdagen i EU-frågor finns fr.o.m. den 1 januari 2003 i 10 kap. 6 § regeringsformen. Enligt denna bestämmelse, som tidigare var intagen i riksdagsordningen, skall regeringen fortlöpande informera riksdagen och samråda med organ som utses av riksdagen om vad som sker inom ramen för samarbetet i Euro</w:t>
      </w:r>
      <w:r w:rsidRPr="001B4EC1">
        <w:softHyphen/>
        <w:t xml:space="preserve">peiska unionen. </w:t>
      </w:r>
    </w:p>
    <w:p w:rsidR="00252869" w:rsidRPr="001B4EC1" w:rsidRDefault="00252869">
      <w:pPr>
        <w:pStyle w:val="Normaltindrag"/>
      </w:pPr>
      <w:r w:rsidRPr="001B4EC1">
        <w:t>Samrådsorganet är enligt närmare bestämmelser i 10 kap. riksdags</w:t>
      </w:r>
      <w:r w:rsidRPr="001B4EC1">
        <w:softHyphen/>
        <w:t>ordningen (tidigare i 8 kap.) EU-nämnden. I kapitlet föreskrivs bl.a. att r</w:t>
      </w:r>
      <w:r w:rsidRPr="001B4EC1">
        <w:t>e</w:t>
      </w:r>
      <w:r w:rsidRPr="001B4EC1">
        <w:t>geringen skall redovisa sitt agerande i EU för riksdagen, att regeringen skall informera riksdagen om sin syn på de förslag från kommissionen som rege</w:t>
      </w:r>
      <w:r w:rsidRPr="001B4EC1">
        <w:t>r</w:t>
      </w:r>
      <w:r w:rsidRPr="001B4EC1">
        <w:t>ingen be</w:t>
      </w:r>
      <w:r w:rsidRPr="001B4EC1">
        <w:softHyphen/>
        <w:t>dömer som betydelsefulla, att riksdagen för samråd med regeringen i frågor som gäller EU inom sig för varje valperiod skall tillsätta en nämnd för EU samt att regeringen skall underrätta EU-nämnden om frågor som avses bli behandlade i unionens råd (ministerrådet) och rådgöra</w:t>
      </w:r>
      <w:r w:rsidRPr="001B4EC1">
        <w:t xml:space="preserve"> med nämnden om hur förhandlingarna i rådet skall föras inför beslut som regeringen bedömer som betydels</w:t>
      </w:r>
      <w:r w:rsidRPr="001B4EC1">
        <w:t>e</w:t>
      </w:r>
      <w:r w:rsidRPr="001B4EC1">
        <w:t xml:space="preserve">fulla och i andra frågor som nämnden bestämmer. </w:t>
      </w:r>
    </w:p>
    <w:p w:rsidR="00252869" w:rsidRPr="001B4EC1" w:rsidRDefault="00252869">
      <w:pPr>
        <w:pStyle w:val="Rubrik5"/>
        <w:rPr>
          <w:noProof w:val="0"/>
        </w:rPr>
      </w:pPr>
      <w:r w:rsidRPr="001B4EC1">
        <w:rPr>
          <w:noProof w:val="0"/>
        </w:rPr>
        <w:t xml:space="preserve">Förarbeten och riktlinjer antagna av riksdagen </w:t>
      </w:r>
    </w:p>
    <w:p w:rsidR="00252869" w:rsidRPr="001B4EC1" w:rsidRDefault="00252869">
      <w:r w:rsidRPr="001B4EC1">
        <w:t>Motivet för att inrätta EU-nämnden var att riksdagen genom avtalet om Sv</w:t>
      </w:r>
      <w:r w:rsidRPr="001B4EC1">
        <w:t>e</w:t>
      </w:r>
      <w:r w:rsidRPr="001B4EC1">
        <w:t>riges anslutning till de europeiska gemenskaperna överlät beslutanderätt till dessa gemenskapers institutioner. Som kompensation för den förlorade b</w:t>
      </w:r>
      <w:r w:rsidRPr="001B4EC1">
        <w:t>e</w:t>
      </w:r>
      <w:r w:rsidRPr="001B4EC1">
        <w:t>slutanderätten borde riksdagen ges möjlighet inte bara till kontroll i efter</w:t>
      </w:r>
      <w:r w:rsidRPr="001B4EC1">
        <w:softHyphen/>
        <w:t>hand utan även till att på förhand påverka regeringens ställningstaganden in</w:t>
      </w:r>
      <w:r w:rsidRPr="001B4EC1">
        <w:softHyphen/>
        <w:t>för förhandlingar och beslutsfattande inom EU</w:t>
      </w:r>
      <w:r w:rsidRPr="001B4EC1">
        <w:rPr>
          <w:rStyle w:val="Fotnotsreferens"/>
        </w:rPr>
        <w:footnoteReference w:id="14"/>
      </w:r>
      <w:r w:rsidRPr="001B4EC1">
        <w:t xml:space="preserve">. </w:t>
      </w:r>
    </w:p>
    <w:p w:rsidR="00252869" w:rsidRPr="001B4EC1" w:rsidRDefault="00252869">
      <w:pPr>
        <w:pStyle w:val="Normaltindrag"/>
      </w:pPr>
      <w:r w:rsidRPr="001B4EC1">
        <w:t>Formerna för regeringens information till och samråd med riksdagen b</w:t>
      </w:r>
      <w:r w:rsidRPr="001B4EC1">
        <w:t>e</w:t>
      </w:r>
      <w:r w:rsidRPr="001B4EC1">
        <w:t>handlades ingående senast vid beredningen av riksdagsstyrelsens förslag Riksdagen inför 2000-talet, som grundade sig på förslag av Riksdags</w:t>
      </w:r>
      <w:r w:rsidRPr="001B4EC1">
        <w:softHyphen/>
        <w:t>kommittén</w:t>
      </w:r>
      <w:r w:rsidRPr="001B4EC1">
        <w:rPr>
          <w:rStyle w:val="Fotnotsreferens"/>
        </w:rPr>
        <w:footnoteReference w:id="15"/>
      </w:r>
      <w:r w:rsidRPr="001B4EC1">
        <w:t xml:space="preserve">. </w:t>
      </w:r>
    </w:p>
    <w:p w:rsidR="00252869" w:rsidRPr="001B4EC1" w:rsidRDefault="00252869">
      <w:pPr>
        <w:pStyle w:val="Normaltindrag"/>
      </w:pPr>
      <w:r w:rsidRPr="001B4EC1">
        <w:t xml:space="preserve">Skyldigheten för regeringen enligt riksdagsordningen att informera EU-nämnden och samråda med den gäller, som framgår ovan, frågor som avses bli behandlade i ministerrådet. Någon skyldighet att samråda med nämnden inför möten med Europeiska rådet eller under regeringskonferenser är inte föreskriven i riksdagsordningen. En praxis med samrådsförfarande även i dessa fall har dock utvecklats. </w:t>
      </w:r>
    </w:p>
    <w:p w:rsidR="00252869" w:rsidRPr="001B4EC1" w:rsidRDefault="00252869">
      <w:pPr>
        <w:pStyle w:val="Normaltindrag"/>
      </w:pPr>
      <w:r w:rsidRPr="001B4EC1">
        <w:t>Bakgrunden till att någon skyldighet inte har föreskrivits om samråd in</w:t>
      </w:r>
      <w:r w:rsidRPr="001B4EC1">
        <w:softHyphen/>
        <w:t>för möten i Europeiska rådet anges i förarbetena</w:t>
      </w:r>
      <w:r w:rsidRPr="001B4EC1">
        <w:rPr>
          <w:rStyle w:val="Fotnotsreferens"/>
        </w:rPr>
        <w:footnoteReference w:id="16"/>
      </w:r>
      <w:r w:rsidRPr="001B4EC1">
        <w:t xml:space="preserve"> vara att vid dessa möten främst fattas beslut i övergripande politiska frågor och att dessa beslut senare, om det behövs, får omsättas genom beslut i ministerrådet. Sam</w:t>
      </w:r>
      <w:r w:rsidRPr="001B4EC1">
        <w:softHyphen/>
        <w:t>arbetet i detta råd kan enligt förarbetena närmast beskrivas som mellan</w:t>
      </w:r>
      <w:r w:rsidRPr="001B4EC1">
        <w:softHyphen/>
        <w:t>statligt. Det kan dock, fra</w:t>
      </w:r>
      <w:r w:rsidRPr="001B4EC1">
        <w:t>m</w:t>
      </w:r>
      <w:r w:rsidRPr="001B4EC1">
        <w:t>hölls vidare, främst med tanke på de politiska bindningar som uppstår i Eur</w:t>
      </w:r>
      <w:r w:rsidRPr="001B4EC1">
        <w:t>o</w:t>
      </w:r>
      <w:r w:rsidRPr="001B4EC1">
        <w:t>peiska rådet anses naturligt att riksdagen skall ges information om den stån</w:t>
      </w:r>
      <w:r w:rsidRPr="001B4EC1">
        <w:t>d</w:t>
      </w:r>
      <w:r w:rsidRPr="001B4EC1">
        <w:t xml:space="preserve">punkt Sverige skall inta i de frågor som skall avhandlas på kommande möten i detta råd. </w:t>
      </w:r>
    </w:p>
    <w:p w:rsidR="00252869" w:rsidRPr="001B4EC1" w:rsidRDefault="00252869">
      <w:pPr>
        <w:pStyle w:val="Normaltindrag"/>
      </w:pPr>
      <w:r w:rsidRPr="001B4EC1">
        <w:t>I rapporten från Riksdagskommitténs referensgrupp för riksdagens arbete med EU-frågor</w:t>
      </w:r>
      <w:r w:rsidRPr="001B4EC1">
        <w:rPr>
          <w:rStyle w:val="Fotnotsreferens"/>
        </w:rPr>
        <w:footnoteReference w:id="17"/>
      </w:r>
      <w:r w:rsidRPr="001B4EC1">
        <w:t xml:space="preserve"> hänvisas till uttalandena i förarbetena och påpekas att sam</w:t>
      </w:r>
      <w:r w:rsidRPr="001B4EC1">
        <w:softHyphen/>
        <w:t>råd med statsministern regelmässigt ägt rum i nämnden inför Europeiska rådets möten. I rapporten påpekas också att Schengenavtalet, som legat uta</w:t>
      </w:r>
      <w:r w:rsidRPr="001B4EC1">
        <w:t>n</w:t>
      </w:r>
      <w:r w:rsidRPr="001B4EC1">
        <w:t>för det egentliga EU-samarbetet, behandlats som en egen punkt flera gånger i nämnden och att de konvergensprogram och sysselsättnings</w:t>
      </w:r>
      <w:r w:rsidRPr="001B4EC1">
        <w:softHyphen/>
        <w:t>program som Sverige lämnar in till EU formellt blir rådsfrågor först när de anmäls på rådet men eftersom de kan vara politiskt viktiga dokument ändå diskuterats i EU-nämnd</w:t>
      </w:r>
      <w:r w:rsidRPr="001B4EC1">
        <w:t>en med regeringsföreträdare vid tidpunkten för regeringsbeslut om respektive pr</w:t>
      </w:r>
      <w:r w:rsidRPr="001B4EC1">
        <w:t>o</w:t>
      </w:r>
      <w:r w:rsidRPr="001B4EC1">
        <w:t xml:space="preserve">gram. </w:t>
      </w:r>
    </w:p>
    <w:p w:rsidR="00252869" w:rsidRPr="001B4EC1" w:rsidRDefault="00252869">
      <w:pPr>
        <w:pStyle w:val="Normaltindrag"/>
      </w:pPr>
      <w:r w:rsidRPr="001B4EC1">
        <w:t>I rapporten framhålls att EU-nämnden löpande samrådde med regeringen inför och under den regeringskonferens som ägde rum under 1996 och 1997 och som resulterade i Amsterdamfördraget och att den regeringskonferens om institutionella frågor som sammankallades i februari 2000, dvs. den rege</w:t>
      </w:r>
      <w:r w:rsidRPr="001B4EC1">
        <w:t>r</w:t>
      </w:r>
      <w:r w:rsidRPr="001B4EC1">
        <w:t xml:space="preserve">ingskonferens som ledde fram till Nicefördraget, behandlades på snarlikt sätt. </w:t>
      </w:r>
    </w:p>
    <w:p w:rsidR="00252869" w:rsidRPr="001B4EC1" w:rsidRDefault="00252869">
      <w:pPr>
        <w:pStyle w:val="Normaltindrag"/>
      </w:pPr>
      <w:r w:rsidRPr="001B4EC1">
        <w:t>I Riksdagskommitténs förslag, som blev riksdagsstyrelsens, behandlas också frågan om regeringens underlag till EU-nämnden. I förslaget fram</w:t>
      </w:r>
      <w:r w:rsidRPr="001B4EC1">
        <w:softHyphen/>
        <w:t>hålls att det åligger regeringen att presentera ett så fullgott underlag för nämnden att samrådet blir meningsfullt och förutsätts att regeringen över</w:t>
      </w:r>
      <w:r w:rsidRPr="001B4EC1">
        <w:softHyphen/>
        <w:t xml:space="preserve">lämnar det material som skall gå ut till nämnden så fort som det är praktiskt möjligt. Det påpekas att det är angeläget att det finns utrymme för partierna att internt diskutera och förankra frågorna. </w:t>
      </w:r>
    </w:p>
    <w:p w:rsidR="00252869" w:rsidRPr="001B4EC1" w:rsidRDefault="00252869">
      <w:pPr>
        <w:pStyle w:val="Normaltindrag"/>
      </w:pPr>
      <w:r w:rsidRPr="001B4EC1">
        <w:t xml:space="preserve">Här kan bakgrundsvis också nämnas att regeringen inte är statsrättsligt bunden av EU-nämndens ståndpunkter men att det anses föreligga en politisk skyldighet </w:t>
      </w:r>
      <w:r w:rsidRPr="001B4EC1">
        <w:t>för regeringen i fråga om dess agerande. I riksdags</w:t>
      </w:r>
      <w:r w:rsidRPr="001B4EC1">
        <w:softHyphen/>
        <w:t>styrelsens fö</w:t>
      </w:r>
      <w:r w:rsidRPr="001B4EC1">
        <w:t>r</w:t>
      </w:r>
      <w:r w:rsidRPr="001B4EC1">
        <w:t>slag Riksdagen inför 2000-talet konstaterades att praxis har utvecklats så att det inte anses tillräckligt att regeringen inte gör något som står i strid med EU-nämndens synpunkter utan i stället agerar i enlighet med nämndens råd och ståndpunkter, och att Riksdagskommittén – i likhet med riksdagsstyrelsen senare – ansåg att denna praxis borde bestå. Riksdags</w:t>
      </w:r>
      <w:r w:rsidRPr="001B4EC1">
        <w:softHyphen/>
        <w:t xml:space="preserve">kommittén nämnde att en fråga dock kan utvecklas på ett sätt som gör att regeringen </w:t>
      </w:r>
      <w:r w:rsidRPr="001B4EC1">
        <w:t>bedömer att en avvikelse från nämndens ståndpunkt är nöd</w:t>
      </w:r>
      <w:r w:rsidRPr="001B4EC1">
        <w:softHyphen/>
        <w:t>vändig. Kommittén ville i detta sammanhang erinra om möjligheten för regeringen att söka förnyad kontakt med nämnden. Om regeringen ändock inte agerar i enlighet med nämndens ställningstaganden skall regeringen enligt Riksdagskommittén tydligt redov</w:t>
      </w:r>
      <w:r w:rsidRPr="001B4EC1">
        <w:t>i</w:t>
      </w:r>
      <w:r w:rsidRPr="001B4EC1">
        <w:t>sa skälen för avvikelsen i den skriftliga återrapport som skall tillställas ka</w:t>
      </w:r>
      <w:r w:rsidRPr="001B4EC1">
        <w:t>m</w:t>
      </w:r>
      <w:r w:rsidRPr="001B4EC1">
        <w:t>markansliet och EU-nämnden efter rådsmötet, och som konstitutionsutskottet påpekat måste mycket goda skäl föreligga för att re</w:t>
      </w:r>
      <w:r w:rsidRPr="001B4EC1">
        <w:t>geringen inte skall företr</w:t>
      </w:r>
      <w:r w:rsidRPr="001B4EC1">
        <w:t>ä</w:t>
      </w:r>
      <w:r w:rsidRPr="001B4EC1">
        <w:t xml:space="preserve">da nämndens ståndpunkt. </w:t>
      </w:r>
    </w:p>
    <w:p w:rsidR="00252869" w:rsidRPr="001B4EC1" w:rsidRDefault="00252869">
      <w:pPr>
        <w:pStyle w:val="Normaltindrag"/>
      </w:pPr>
      <w:r w:rsidRPr="001B4EC1">
        <w:t xml:space="preserve">Riksdagen godkände de riktlinjer för riksdagens arbete med EU-frågor som riksdagsstyrelsen föreslog. </w:t>
      </w:r>
    </w:p>
    <w:p w:rsidR="00252869" w:rsidRPr="001B4EC1" w:rsidRDefault="00252869">
      <w:pPr>
        <w:pStyle w:val="Rubrik5"/>
        <w:rPr>
          <w:noProof w:val="0"/>
        </w:rPr>
      </w:pPr>
      <w:r w:rsidRPr="001B4EC1">
        <w:rPr>
          <w:noProof w:val="0"/>
        </w:rPr>
        <w:t xml:space="preserve">Riktlinjer för Regeringskansliet </w:t>
      </w:r>
    </w:p>
    <w:p w:rsidR="00252869" w:rsidRPr="001B4EC1" w:rsidRDefault="00252869">
      <w:r w:rsidRPr="001B4EC1">
        <w:t>För Regeringskansliets handläggning av EU-frågor har utfärdats flera cirk</w:t>
      </w:r>
      <w:r w:rsidRPr="001B4EC1">
        <w:t>u</w:t>
      </w:r>
      <w:r w:rsidRPr="001B4EC1">
        <w:t>lär</w:t>
      </w:r>
      <w:r w:rsidRPr="001B4EC1">
        <w:rPr>
          <w:rStyle w:val="Fotnotsreferens"/>
        </w:rPr>
        <w:footnoteReference w:id="18"/>
      </w:r>
      <w:r w:rsidRPr="001B4EC1">
        <w:t xml:space="preserve">. Cirkulär 1 avser EU-samordningen. Cirkulär 2 innehåller riktlinjer för samrådet och informationen mellan regeringen och riksdagen i EU-frågor. </w:t>
      </w:r>
    </w:p>
    <w:p w:rsidR="00252869" w:rsidRPr="001B4EC1" w:rsidRDefault="00252869">
      <w:pPr>
        <w:pStyle w:val="Normaltindrag"/>
      </w:pPr>
      <w:r w:rsidRPr="001B4EC1">
        <w:t>I cirkulär 1 framhålls att EU-nämnden inför sina möten skall ha fått han</w:t>
      </w:r>
      <w:r w:rsidRPr="001B4EC1">
        <w:t>d</w:t>
      </w:r>
      <w:r w:rsidRPr="001B4EC1">
        <w:t>lingar från det berörda departementet med kommentarer till dagordning</w:t>
      </w:r>
      <w:r w:rsidRPr="001B4EC1">
        <w:t>s</w:t>
      </w:r>
      <w:r w:rsidRPr="001B4EC1">
        <w:t>punkterna m.m. samt att departementet efter ministerrådsmötet skall avra</w:t>
      </w:r>
      <w:r w:rsidRPr="001B4EC1">
        <w:t>p</w:t>
      </w:r>
      <w:r w:rsidRPr="001B4EC1">
        <w:t xml:space="preserve">portera skriftligt till EU-nämnden. </w:t>
      </w:r>
    </w:p>
    <w:p w:rsidR="00252869" w:rsidRPr="001B4EC1" w:rsidRDefault="00252869">
      <w:pPr>
        <w:pStyle w:val="Normaltindrag"/>
      </w:pPr>
      <w:r w:rsidRPr="001B4EC1">
        <w:t xml:space="preserve">I cirkulär 2 är riktlinjerna uppdelade efter pelarsystemet. Beträffande såväl andra pelaren (gemensam utrikes- och säkerhetspolitik) som tredje pelaren (polissamarbete och straffrättsligt samarbete) hänvisas dock i huvudsak till vad som anges för första pelaren (Europeiska gemenskapen). Riktlinjer ges såväl för informationen och </w:t>
      </w:r>
      <w:r w:rsidRPr="001B4EC1">
        <w:t>samrådet inför ställningstaganden i minister</w:t>
      </w:r>
      <w:r w:rsidRPr="001B4EC1">
        <w:softHyphen/>
        <w:t>rådet som för informella ministermöten. Beträffande underlag inför ställ</w:t>
      </w:r>
      <w:r w:rsidRPr="001B4EC1">
        <w:softHyphen/>
        <w:t>ningstaganden i ministerrådet framhålls bl.a. att det skriftliga materialet skall innehålla ministerrådspromemorior för viktiga punkter på dag</w:t>
      </w:r>
      <w:r w:rsidRPr="001B4EC1">
        <w:softHyphen/>
        <w:t xml:space="preserve">ordningen. Som allmän riktlinje för vad som skall anses vara viktiga punkter anges att de skall avse frågor där angelägna svenska intressen står på spel samt också sådana frågor som ligger inom riksdagens beslutsområde, t.ex. lagstiftningsområdet. </w:t>
      </w:r>
    </w:p>
    <w:p w:rsidR="00252869" w:rsidRPr="001B4EC1" w:rsidRDefault="00252869">
      <w:r w:rsidRPr="001B4EC1">
        <w:t>Be</w:t>
      </w:r>
      <w:r w:rsidRPr="001B4EC1">
        <w:t xml:space="preserve">träffande informella ministermöten anges följande: </w:t>
      </w:r>
    </w:p>
    <w:p w:rsidR="00252869" w:rsidRPr="001B4EC1" w:rsidRDefault="00252869">
      <w:pPr>
        <w:pStyle w:val="Citat"/>
        <w:spacing w:before="125"/>
      </w:pPr>
      <w:r w:rsidRPr="001B4EC1">
        <w:t>Avsikten med de informella ministermötena är att få till stånd ett fritt tankeutbyte i mer övergripande och långsiktiga frågor. EU-nämnden b</w:t>
      </w:r>
      <w:r w:rsidRPr="001B4EC1">
        <w:t>e</w:t>
      </w:r>
      <w:r w:rsidRPr="001B4EC1">
        <w:t>slutade den 7 september 1995 att information och samråd inför de info</w:t>
      </w:r>
      <w:r w:rsidRPr="001B4EC1">
        <w:t>r</w:t>
      </w:r>
      <w:r w:rsidRPr="001B4EC1">
        <w:t>mella ministermötena bör äga rum endast om sär</w:t>
      </w:r>
      <w:r w:rsidRPr="001B4EC1">
        <w:softHyphen/>
        <w:t>skilda skäl föreligger. Sådana skäl kan vara att viktiga politiska diskussioner väntas äga rum under det informella mötet. För att bedöma om sådana skäl föreligger bör frågan dis</w:t>
      </w:r>
      <w:r w:rsidRPr="001B4EC1">
        <w:softHyphen/>
        <w:t xml:space="preserve">kuteras med EU-nämndens kansli. – – – </w:t>
      </w:r>
    </w:p>
    <w:p w:rsidR="00252869" w:rsidRPr="001B4EC1" w:rsidRDefault="00252869">
      <w:r w:rsidRPr="001B4EC1">
        <w:t>Beträffande Europeiska rådets möten anges i cirkulär 2 att samråd och in</w:t>
      </w:r>
      <w:r w:rsidRPr="001B4EC1">
        <w:softHyphen/>
        <w:t>formation med riksdagen också kan ske inför sådana möten. Det hänvisas till att EU-nämnden den 4 oktober 1996 uttalade att den önskar att stats</w:t>
      </w:r>
      <w:r w:rsidRPr="001B4EC1">
        <w:softHyphen/>
        <w:t xml:space="preserve">ministern framdeles lämnar information till och samråder med nämnden inför dessa möten. Riktlinjerna för formerna för detta samråd, liksom för vilken skriftlig information som kan bli aktuell, fastställs och meddelas från fall till fall. </w:t>
      </w:r>
    </w:p>
    <w:p w:rsidR="00252869" w:rsidRPr="001B4EC1" w:rsidRDefault="00252869">
      <w:pPr>
        <w:pStyle w:val="Normaltindrag"/>
      </w:pPr>
      <w:r w:rsidRPr="001B4EC1">
        <w:t>Cirkulär 2 avser också information om andra frågor av större vikt i EU-sam</w:t>
      </w:r>
      <w:r w:rsidRPr="001B4EC1">
        <w:softHyphen/>
        <w:t>arbetet. Här sägs att information till EU-nämnden kan bli aktuell t.ex. inför svenska initiativ som tas vid sidan av de formella ramar som behand</w:t>
      </w:r>
      <w:r w:rsidRPr="001B4EC1">
        <w:softHyphen/>
        <w:t xml:space="preserve">lats tidigare i cirkuläret, mål i EG-domstolen som är av särskilt intresse från svenska utgångspunkter samt inför besked om Sveriges uppfattning i olika frågor till kommissionen eller andra organ inom EU. Skriftligt underlag som lämnas till nämnden får utformas med hänsyn till frågans karaktär. </w:t>
      </w:r>
    </w:p>
    <w:p w:rsidR="00252869" w:rsidRPr="001B4EC1" w:rsidRDefault="00252869">
      <w:pPr>
        <w:pStyle w:val="R4"/>
      </w:pPr>
      <w:r w:rsidRPr="001B4EC1">
        <w:t xml:space="preserve">Tidigare granskningsärenden  </w:t>
      </w:r>
    </w:p>
    <w:p w:rsidR="00252869" w:rsidRPr="001B4EC1" w:rsidRDefault="00252869">
      <w:r w:rsidRPr="001B4EC1">
        <w:t>Konstitutionsutskottet har vid ett antal tillfällen granskat regeringens samråd med riksdagen/EU-nämnden. Sådana granskningar har redovisats i betän</w:t>
      </w:r>
      <w:r w:rsidRPr="001B4EC1">
        <w:softHyphen/>
        <w:t>kandena 1996/97:KU25 (avsnitt 10 Justitieminister Laila Freivalds samråd med EU-nämnden), 2001/02:KU20 (avsnitt 1.7 Regeringsbeslut och samråd med EU-nämnden i andra- och tredjepelarfrågor), 2002/03:KU30 (avsnitt 1.4 Omfattningen av regeringens skyldighet att samråda med EU-nämnden; granskningen avsåg ett s.k. non-paper om ordförandeskapet för Europeiska rådet) och 2003/04:KU10 (avsnitt 8.2 Handlingar betraktade som non-papers). Handläggningen av EU-frågor har granskats och redo</w:t>
      </w:r>
      <w:r w:rsidRPr="001B4EC1">
        <w:softHyphen/>
        <w:t>visats i betän</w:t>
      </w:r>
      <w:r w:rsidRPr="001B4EC1">
        <w:softHyphen/>
        <w:t>kandena 1995</w:t>
      </w:r>
      <w:r w:rsidRPr="001B4EC1">
        <w:t xml:space="preserve">/96:KU30 (avsnitt 10), 1998/99:KU10 (avsnitt 2.3) och – såvitt avser faktapromemorior – 2003/04:KU10 (avsnitt 8.1). </w:t>
      </w:r>
    </w:p>
    <w:p w:rsidR="00252869" w:rsidRPr="001B4EC1" w:rsidRDefault="00252869">
      <w:r w:rsidRPr="001B4EC1">
        <w:t xml:space="preserve">I betänkande 1996/97:KU25 anförde utskottet bl.a. följande. </w:t>
      </w:r>
    </w:p>
    <w:p w:rsidR="00252869" w:rsidRPr="001B4EC1" w:rsidRDefault="00252869">
      <w:pPr>
        <w:pStyle w:val="Citat"/>
        <w:spacing w:before="125"/>
      </w:pPr>
      <w:r w:rsidRPr="001B4EC1">
        <w:t>Utskottet är givetvis medvetet om de grundläggande skillnader som finns mellan å ena sidan samarbetet på förstapelarområdet och å andra sidan samarbetet på andra- och tredje</w:t>
      </w:r>
      <w:r w:rsidRPr="001B4EC1">
        <w:softHyphen/>
        <w:t>pelarområdena. Dessa skillnader bör dock enligt utskottets mening inte hindra att informa</w:t>
      </w:r>
      <w:r w:rsidRPr="001B4EC1">
        <w:softHyphen/>
        <w:t>tionen till och samrådet med riksdagen i så stor utsträckning som möjligt sker i likvärdiga former på hela unionsområdet. Konstitutionsutskottet avstyrkte i betänkande 1994/95:KU22 motionskrav om att frågor inom andra och tredje pelarna – liksom frågor inom jordbrukspolitiken – skulle ligga hos utskotten i stället för hos EU-nämnden. I betän</w:t>
      </w:r>
      <w:r w:rsidRPr="001B4EC1">
        <w:softHyphen/>
        <w:t>kande 1996/97:KU2 vidhöll utskottet sin inställning att samrådet inför minist</w:t>
      </w:r>
      <w:r w:rsidRPr="001B4EC1">
        <w:t>errådsmöten i frågor inom andra och tredje pelarna skulle äga rum i EU-nämnden (bet. s. 35). Inte vid n</w:t>
      </w:r>
      <w:r w:rsidRPr="001B4EC1">
        <w:t>å</w:t>
      </w:r>
      <w:r w:rsidRPr="001B4EC1">
        <w:t>got tillfälle diskuterades om riksdagen borde avstå från samråd på de mellanstatliga om</w:t>
      </w:r>
      <w:r w:rsidRPr="001B4EC1">
        <w:softHyphen/>
        <w:t>rådena. Tvärtom underströks det nära sambandet me</w:t>
      </w:r>
      <w:r w:rsidRPr="001B4EC1">
        <w:t>l</w:t>
      </w:r>
      <w:r w:rsidRPr="001B4EC1">
        <w:t>lan t.ex. de utrikespolitiska över</w:t>
      </w:r>
      <w:r w:rsidRPr="001B4EC1">
        <w:softHyphen/>
        <w:t>vägandena i andra pelaren och främst handelspolitiken och utvecklingsfrågorna i första pelaren liksom mellan samarbetet om inrikes och rättsliga frågor i tredje pelaren och främst fr</w:t>
      </w:r>
      <w:r w:rsidRPr="001B4EC1">
        <w:t>å</w:t>
      </w:r>
      <w:r w:rsidRPr="001B4EC1">
        <w:t xml:space="preserve">gorna om personers fria rörlighet i första pelaren. </w:t>
      </w:r>
    </w:p>
    <w:p w:rsidR="00252869" w:rsidRPr="001B4EC1" w:rsidRDefault="00252869">
      <w:r w:rsidRPr="001B4EC1">
        <w:t>I betänkande 2001/02:KU20, där granskningen avsåg det förhållan</w:t>
      </w:r>
      <w:r w:rsidRPr="001B4EC1">
        <w:softHyphen/>
        <w:t>det att regeringen vid några tillfällen fattat regeringsbeslut i en fråga som skulle samrådas med EU-nämnden innan samrådet ägde rum, återgav utskottet utt</w:t>
      </w:r>
      <w:r w:rsidRPr="001B4EC1">
        <w:t>a</w:t>
      </w:r>
      <w:r w:rsidRPr="001B4EC1">
        <w:t>landet från 1996/97. Utskottet anförde föl</w:t>
      </w:r>
      <w:r w:rsidRPr="001B4EC1">
        <w:softHyphen/>
        <w:t xml:space="preserve">jande: </w:t>
      </w:r>
    </w:p>
    <w:p w:rsidR="00252869" w:rsidRPr="001B4EC1" w:rsidRDefault="00252869">
      <w:pPr>
        <w:pStyle w:val="Citat"/>
        <w:spacing w:before="125"/>
      </w:pPr>
      <w:r w:rsidRPr="001B4EC1">
        <w:t>Samrådet inför ministerrådsmöten i frågor inom andra och tredje pelarna skall, liksom detta samråd i frågor inom första pelaren, äga rum i EU-nämnden. Det nära sambandet mellan t.ex. de utrikespolitiska överv</w:t>
      </w:r>
      <w:r w:rsidRPr="001B4EC1">
        <w:t>ä</w:t>
      </w:r>
      <w:r w:rsidRPr="001B4EC1">
        <w:t>gandena i andra pelaren och främst handelspolitiken och utvecklingsfr</w:t>
      </w:r>
      <w:r w:rsidRPr="001B4EC1">
        <w:t>å</w:t>
      </w:r>
      <w:r w:rsidRPr="001B4EC1">
        <w:t>gorna i första pelaren. liksom sambandet mellan samarbetet om vad som tidigare benämndes inrikes och rättsliga frågor i tredje pelaren och främst frågor om perso</w:t>
      </w:r>
      <w:r w:rsidRPr="001B4EC1">
        <w:softHyphen/>
        <w:t>ners fria rörlighet i första pelaren har tidigare understr</w:t>
      </w:r>
      <w:r w:rsidRPr="001B4EC1">
        <w:t>u</w:t>
      </w:r>
      <w:r w:rsidRPr="001B4EC1">
        <w:t xml:space="preserve">kits av utskottet. </w:t>
      </w:r>
    </w:p>
    <w:p w:rsidR="00252869" w:rsidRPr="001B4EC1" w:rsidRDefault="00252869">
      <w:pPr>
        <w:pStyle w:val="CitatIndrag"/>
      </w:pPr>
      <w:r w:rsidRPr="001B4EC1">
        <w:t>Ovan har återgivits den av riksdagen godkända utgångspunkten för riksdagens arbete med EU-frågor att andra- och tredjepelarfrågor i rik</w:t>
      </w:r>
      <w:r w:rsidRPr="001B4EC1">
        <w:t>s</w:t>
      </w:r>
      <w:r w:rsidRPr="001B4EC1">
        <w:t>dagen i så stor utsträckning som möjligt behandlas som förstapelarfrågor, dvs. informations- och samrådsskyldigheten omfattar också dessa frågor. Att samrådsskyldigheten för regeringen gäller för hela EU-samarbetet, alltså även beträffande överenskommelser i andra och tredje pelarna, p</w:t>
      </w:r>
      <w:r w:rsidRPr="001B4EC1">
        <w:t>å</w:t>
      </w:r>
      <w:r w:rsidRPr="001B4EC1">
        <w:t xml:space="preserve">pekas – – – även av regeringen i propositionen 2001/02:72. </w:t>
      </w:r>
    </w:p>
    <w:p w:rsidR="00252869" w:rsidRPr="001B4EC1" w:rsidRDefault="00252869">
      <w:pPr>
        <w:pStyle w:val="CitatIndrag"/>
      </w:pPr>
      <w:r w:rsidRPr="001B4EC1">
        <w:t xml:space="preserve">Skyldigheten att inför ministerrådsmöten samråda med EU-nämnden omfattar således frågor i alla de tre pelarna. </w:t>
      </w:r>
    </w:p>
    <w:p w:rsidR="00252869" w:rsidRPr="001B4EC1" w:rsidRDefault="00252869">
      <w:r w:rsidRPr="001B4EC1">
        <w:t xml:space="preserve">Granskningen i betänkande 2002/03:KU30, som avsåg samrådet kring ett s.k. non-paper, har redovisats i föregående avsnitt. </w:t>
      </w:r>
    </w:p>
    <w:p w:rsidR="00252869" w:rsidRPr="001B4EC1" w:rsidRDefault="00252869">
      <w:r w:rsidRPr="001B4EC1">
        <w:t xml:space="preserve">I granskningen under innevarande riksmöte av hanteringen av s.k. non-papers (bet. 2003/04:KU10) anförde utskottet följande: </w:t>
      </w:r>
    </w:p>
    <w:p w:rsidR="00252869" w:rsidRPr="001B4EC1" w:rsidRDefault="00252869">
      <w:pPr>
        <w:pStyle w:val="Citat"/>
        <w:spacing w:before="125"/>
      </w:pPr>
      <w:r w:rsidRPr="001B4EC1">
        <w:t>Utskottet noterar att frågan om regeringens och Regeringskansliets ha</w:t>
      </w:r>
      <w:r w:rsidRPr="001B4EC1">
        <w:t>n</w:t>
      </w:r>
      <w:r w:rsidRPr="001B4EC1">
        <w:t>tering av non-papers eller tankepapper har två aspekter. Den ena avser bedömningen av handlingarnas karaktär av allmän handling, den andra, som gör sig gällande inte minst i EU-sammanhang, avser behovet av fö</w:t>
      </w:r>
      <w:r w:rsidRPr="001B4EC1">
        <w:t>r</w:t>
      </w:r>
      <w:r w:rsidRPr="001B4EC1">
        <w:t>ankring i riksdagen innan en sådan handling läggs fram.</w:t>
      </w:r>
    </w:p>
    <w:p w:rsidR="00252869" w:rsidRPr="001B4EC1" w:rsidRDefault="00252869">
      <w:pPr>
        <w:pStyle w:val="CitatIndrag"/>
      </w:pPr>
      <w:r w:rsidRPr="001B4EC1">
        <w:t>Vid utskottets tidigare granskning av ärendet om ordförandeskap</w:t>
      </w:r>
      <w:r w:rsidRPr="001B4EC1">
        <w:t>s</w:t>
      </w:r>
      <w:r w:rsidRPr="001B4EC1">
        <w:t>funktionen i rådet denna vår konstaterade utskottet att beteckningen non-paper är okänd för lagstiftaren och att sådana handlingar därmed lagstif</w:t>
      </w:r>
      <w:r w:rsidRPr="001B4EC1">
        <w:t>t</w:t>
      </w:r>
      <w:r w:rsidRPr="001B4EC1">
        <w:t>ningsmässigt inte utgör någon särskild kategori samt att de liksom andra handlingar omfattas av regelverket om allmänna handlin</w:t>
      </w:r>
      <w:r w:rsidRPr="001B4EC1">
        <w:t>g</w:t>
      </w:r>
      <w:r w:rsidRPr="001B4EC1">
        <w:t>ars offentlighet.</w:t>
      </w:r>
    </w:p>
    <w:p w:rsidR="00252869" w:rsidRPr="001B4EC1" w:rsidRDefault="00252869">
      <w:pPr>
        <w:pStyle w:val="CitatIndrag"/>
      </w:pPr>
      <w:r w:rsidRPr="001B4EC1">
        <w:t>Utskottet konstaterade vidare att företrädare för den svenska regerin</w:t>
      </w:r>
      <w:r w:rsidRPr="001B4EC1">
        <w:t>g</w:t>
      </w:r>
      <w:r w:rsidRPr="001B4EC1">
        <w:t>en givetvis har ett utrymme att delta i den offentliga debatten om EU:s framtidsfrågor. Statsråd har, hade utskottet tidigare konstaterat, i likhet med andra medborgare rätt att göra uttalanden i olika sammanhang, men vissa särskilda hänsyn kunde behöva tas.</w:t>
      </w:r>
    </w:p>
    <w:p w:rsidR="00252869" w:rsidRPr="001B4EC1" w:rsidRDefault="00252869">
      <w:pPr>
        <w:pStyle w:val="CitatIndrag"/>
      </w:pPr>
      <w:r w:rsidRPr="001B4EC1">
        <w:t>Som utskottet konstaterade i det tidigare granskningsärendet omfattas handlingar hos myndigheter, oavsett beteckning, av regelverket om al</w:t>
      </w:r>
      <w:r w:rsidRPr="001B4EC1">
        <w:t>l</w:t>
      </w:r>
      <w:r w:rsidRPr="001B4EC1">
        <w:t>männa handlingars offentlighet. Beteckningen non-paper har betydelse endast i förhållande till dem som handlingen riktar sig till. När det gäller att i EU-kretsen lägga fram tankar och idéer måste i princip samma krav på förankring i riksdagen anses gälla, oavsett om tankarna eller idéerna läggs fram muntligt eller i form av skriftliga handlingar, och för skriftliga handlingar oavsett deras b</w:t>
      </w:r>
      <w:r w:rsidRPr="001B4EC1">
        <w:t>e</w:t>
      </w:r>
      <w:r w:rsidRPr="001B4EC1">
        <w:t xml:space="preserve">teckning. </w:t>
      </w:r>
    </w:p>
    <w:p w:rsidR="00252869" w:rsidRPr="001B4EC1" w:rsidRDefault="00252869">
      <w:pPr>
        <w:pStyle w:val="R4"/>
      </w:pPr>
      <w:r w:rsidRPr="001B4EC1">
        <w:t>Nytt uppdrag till Riksdagskommittén</w:t>
      </w:r>
    </w:p>
    <w:p w:rsidR="00252869" w:rsidRPr="001B4EC1" w:rsidRDefault="00252869">
      <w:r w:rsidRPr="001B4EC1">
        <w:t>Riksdagskommittén har haft till uppgift att se över bl.a. riks</w:t>
      </w:r>
      <w:r w:rsidRPr="001B4EC1">
        <w:softHyphen/>
        <w:t>dagens arbete med EU</w:t>
      </w:r>
      <w:r w:rsidRPr="001B4EC1">
        <w:noBreakHyphen/>
        <w:t>frågor. Kom</w:t>
      </w:r>
      <w:r w:rsidRPr="001B4EC1">
        <w:softHyphen/>
        <w:t>mittén fick i november 2002 i uppdrag av riks</w:t>
      </w:r>
      <w:r w:rsidRPr="001B4EC1">
        <w:softHyphen/>
        <w:t>dags</w:t>
      </w:r>
      <w:r w:rsidRPr="001B4EC1">
        <w:softHyphen/>
        <w:t>styrelsen att fortsätta sitt arbete med beredning av frågor som rör utveck</w:t>
      </w:r>
      <w:r w:rsidRPr="001B4EC1">
        <w:softHyphen/>
        <w:t>lingen av riksdagens arbets</w:t>
      </w:r>
      <w:r w:rsidRPr="001B4EC1">
        <w:softHyphen/>
        <w:t>former. Kommittén har haft och har ett mycket brett uppdrag och kan för</w:t>
      </w:r>
      <w:r w:rsidRPr="001B4EC1">
        <w:softHyphen/>
        <w:t>utsättningslöst pröva andra frågor av vikt för riks</w:t>
      </w:r>
      <w:r w:rsidRPr="001B4EC1">
        <w:softHyphen/>
        <w:t>dagsarbetets utveckling på sikt och andra frågor som uppstår under utred</w:t>
      </w:r>
      <w:r w:rsidRPr="001B4EC1">
        <w:softHyphen/>
        <w:t>ningsarbetets gång. Bland annat nämndes att det fanns anledning att de när</w:t>
      </w:r>
      <w:r w:rsidRPr="001B4EC1">
        <w:softHyphen/>
        <w:t>maste åren följa upp och utvär</w:t>
      </w:r>
      <w:r w:rsidRPr="001B4EC1">
        <w:softHyphen/>
        <w:t>dera riksdagens beslu</w:t>
      </w:r>
      <w:r w:rsidRPr="001B4EC1">
        <w:t>t med anledning av ko</w:t>
      </w:r>
      <w:r w:rsidRPr="001B4EC1">
        <w:t>m</w:t>
      </w:r>
      <w:r w:rsidRPr="001B4EC1">
        <w:t>mitténs huvudbetänkande, såsom riksdagens arbete med EU</w:t>
      </w:r>
      <w:r w:rsidRPr="001B4EC1">
        <w:noBreakHyphen/>
        <w:t>frågor.</w:t>
      </w:r>
    </w:p>
    <w:p w:rsidR="00252869" w:rsidRPr="001B4EC1" w:rsidRDefault="00252869">
      <w:pPr>
        <w:pStyle w:val="Normaltindrag"/>
      </w:pPr>
      <w:r w:rsidRPr="001B4EC1">
        <w:t>Riksdagsstyrelsen beslöt den 1 oktober 2003 att ge ett nytt uppdrag till Riks</w:t>
      </w:r>
      <w:r w:rsidRPr="001B4EC1">
        <w:softHyphen/>
        <w:t xml:space="preserve">dagskommittén. </w:t>
      </w:r>
    </w:p>
    <w:p w:rsidR="00252869" w:rsidRPr="001B4EC1" w:rsidRDefault="00252869">
      <w:pPr>
        <w:pStyle w:val="Normaltindrag"/>
      </w:pPr>
      <w:r w:rsidRPr="001B4EC1">
        <w:t>I beslutet framhålls att det finns skäl som talar för att redan nu inleda kom</w:t>
      </w:r>
      <w:r w:rsidRPr="001B4EC1">
        <w:softHyphen/>
        <w:t>mitténs arbete med utvärdering av riksdagsbeslutet om riksdagens hantering av EU</w:t>
      </w:r>
      <w:r w:rsidRPr="001B4EC1">
        <w:noBreakHyphen/>
        <w:t>frågor. Ett nytt konstitutionellt fördrag för EU håller på att arbetas fram, nya medlemsstater kommer inom kort att inträda i unionen och for</w:t>
      </w:r>
      <w:r w:rsidRPr="001B4EC1">
        <w:softHyphen/>
        <w:t>merna för samarbetet mellan EU</w:t>
      </w:r>
      <w:r w:rsidRPr="001B4EC1">
        <w:noBreakHyphen/>
        <w:t>parlamenten utvecklas. Vidare pågår an</w:t>
      </w:r>
      <w:r w:rsidRPr="001B4EC1">
        <w:softHyphen/>
        <w:t>strängningar inom riksdagen med att finna fastare former för hantering av EU</w:t>
      </w:r>
      <w:r w:rsidRPr="001B4EC1">
        <w:noBreakHyphen/>
        <w:t>samarbetets olika dimensioner.</w:t>
      </w:r>
    </w:p>
    <w:p w:rsidR="00252869" w:rsidRPr="001B4EC1" w:rsidRDefault="00252869">
      <w:pPr>
        <w:pStyle w:val="Normaltindrag"/>
      </w:pPr>
      <w:r w:rsidRPr="001B4EC1">
        <w:t>Det pågående förändringsarbetet inom EU kräver enligt vad riksdags</w:t>
      </w:r>
      <w:r w:rsidRPr="001B4EC1">
        <w:softHyphen/>
        <w:t>styrel</w:t>
      </w:r>
      <w:r w:rsidRPr="001B4EC1">
        <w:softHyphen/>
        <w:t>sen anför en översyn av riksdagens hantering av EU</w:t>
      </w:r>
      <w:r w:rsidRPr="001B4EC1">
        <w:noBreakHyphen/>
        <w:t>frågor i olika dimen</w:t>
      </w:r>
      <w:r w:rsidRPr="001B4EC1">
        <w:softHyphen/>
        <w:t>sioner både vad gäller ansvars</w:t>
      </w:r>
      <w:r w:rsidRPr="001B4EC1">
        <w:noBreakHyphen/>
        <w:t xml:space="preserve"> och befogenhetsfrågor och organisa</w:t>
      </w:r>
      <w:r w:rsidRPr="001B4EC1">
        <w:softHyphen/>
        <w:t>tion av arbetet, samtidigt som den senaste utvärderingen och förändringen av riks</w:t>
      </w:r>
      <w:r w:rsidRPr="001B4EC1">
        <w:softHyphen/>
        <w:t>dagens EU</w:t>
      </w:r>
      <w:r w:rsidRPr="001B4EC1">
        <w:noBreakHyphen/>
        <w:t>arbete gjordes för ett antal år sedan, varför det också av detta skäl finns an</w:t>
      </w:r>
      <w:r w:rsidRPr="001B4EC1">
        <w:softHyphen/>
        <w:t xml:space="preserve">ledning att göra en samlad översyn. </w:t>
      </w:r>
    </w:p>
    <w:p w:rsidR="00252869" w:rsidRPr="001B4EC1" w:rsidRDefault="00252869">
      <w:pPr>
        <w:pStyle w:val="Normaltindrag"/>
      </w:pPr>
      <w:r w:rsidRPr="001B4EC1">
        <w:t>Kommittén ges i uppdrag att</w:t>
      </w:r>
    </w:p>
    <w:p w:rsidR="00252869" w:rsidRPr="001B4EC1" w:rsidRDefault="00252869">
      <w:pPr>
        <w:pStyle w:val="Normaltindrag"/>
        <w:numPr>
          <w:ilvl w:val="0"/>
          <w:numId w:val="35"/>
        </w:numPr>
        <w:tabs>
          <w:tab w:val="num" w:pos="587"/>
        </w:tabs>
      </w:pPr>
      <w:r w:rsidRPr="001B4EC1">
        <w:t>kartlägga och analysera konsekvenserna för riksdagen av det nya för</w:t>
      </w:r>
      <w:r w:rsidRPr="001B4EC1">
        <w:softHyphen/>
        <w:t>draget både vad gäller formella regler och sakligt innehåll samt ut</w:t>
      </w:r>
      <w:r w:rsidRPr="001B4EC1">
        <w:softHyphen/>
        <w:t>värdera riks</w:t>
      </w:r>
      <w:r w:rsidRPr="001B4EC1">
        <w:softHyphen/>
        <w:t>dagens beslut från 2001 om EU</w:t>
      </w:r>
      <w:r w:rsidRPr="001B4EC1">
        <w:noBreakHyphen/>
        <w:t>frågornas hantering,</w:t>
      </w:r>
    </w:p>
    <w:p w:rsidR="00252869" w:rsidRPr="001B4EC1" w:rsidRDefault="00252869">
      <w:pPr>
        <w:pStyle w:val="Normaltindrag"/>
        <w:numPr>
          <w:ilvl w:val="0"/>
          <w:numId w:val="36"/>
        </w:numPr>
        <w:tabs>
          <w:tab w:val="num" w:pos="587"/>
        </w:tabs>
      </w:pPr>
      <w:r w:rsidRPr="001B4EC1">
        <w:t>därefter förutsättningslöst pröva formerna för riksdagens arbete med EU</w:t>
      </w:r>
      <w:r w:rsidRPr="001B4EC1">
        <w:noBreakHyphen/>
        <w:t>frågor och föreslå de organisatoriska och författningsmässiga för</w:t>
      </w:r>
      <w:r w:rsidRPr="001B4EC1">
        <w:softHyphen/>
        <w:t>ändringar kommittén finner nödvändiga för att riksdagen skall kunna delta i EU</w:t>
      </w:r>
      <w:r w:rsidRPr="001B4EC1">
        <w:noBreakHyphen/>
        <w:t>samarbetet på ett effektivt och ansvarsfullt sätt och</w:t>
      </w:r>
    </w:p>
    <w:p w:rsidR="00252869" w:rsidRPr="001B4EC1" w:rsidRDefault="00252869">
      <w:pPr>
        <w:pStyle w:val="Normaltindrag"/>
        <w:numPr>
          <w:ilvl w:val="0"/>
          <w:numId w:val="37"/>
        </w:numPr>
        <w:tabs>
          <w:tab w:val="num" w:pos="587"/>
        </w:tabs>
      </w:pPr>
      <w:r w:rsidRPr="001B4EC1">
        <w:t>finna former för riksdagens hantering av och beslut om EU</w:t>
      </w:r>
      <w:r w:rsidRPr="001B4EC1">
        <w:noBreakHyphen/>
        <w:t>samarbetets olika dimensioner och som ett led i detta arbete också pröva formerna för konta</w:t>
      </w:r>
      <w:r w:rsidRPr="001B4EC1">
        <w:t>k</w:t>
      </w:r>
      <w:r w:rsidRPr="001B4EC1">
        <w:t>terna med regeringen.</w:t>
      </w:r>
    </w:p>
    <w:p w:rsidR="00252869" w:rsidRPr="001B4EC1" w:rsidRDefault="00252869">
      <w:pPr>
        <w:spacing w:before="187"/>
      </w:pPr>
      <w:r w:rsidRPr="001B4EC1">
        <w:t>Det skall stå kommittén fritt att i övrigt, i enlighet med Riksdags</w:t>
      </w:r>
      <w:r w:rsidRPr="001B4EC1">
        <w:softHyphen/>
        <w:t>kommitténs uppdrag, pröva andra EU</w:t>
      </w:r>
      <w:r w:rsidRPr="001B4EC1">
        <w:noBreakHyphen/>
        <w:t>frågor av vikt för riksdagsarbetets utveckling på sikt. En utgångspunkt för kommitténs arbete är att EU</w:t>
      </w:r>
      <w:r w:rsidRPr="001B4EC1">
        <w:noBreakHyphen/>
        <w:t>frågorna så långt mö</w:t>
      </w:r>
      <w:r w:rsidRPr="001B4EC1">
        <w:t>j</w:t>
      </w:r>
      <w:r w:rsidRPr="001B4EC1">
        <w:t>ligt skall integreras i det sedvanliga riksdagsarbetet och att alla leda</w:t>
      </w:r>
      <w:r w:rsidRPr="001B4EC1">
        <w:softHyphen/>
        <w:t>möter skall ha möjlighet att sätta sig in i och följa EU</w:t>
      </w:r>
      <w:r w:rsidRPr="001B4EC1">
        <w:noBreakHyphen/>
        <w:t>frågorna. En annan utgångs</w:t>
      </w:r>
      <w:r w:rsidRPr="001B4EC1">
        <w:softHyphen/>
        <w:t>punkt är att tydliggöra riksdagens roll och stärka riksdagens in</w:t>
      </w:r>
      <w:r w:rsidRPr="001B4EC1">
        <w:softHyphen/>
        <w:t>flytande i EU</w:t>
      </w:r>
      <w:r w:rsidRPr="001B4EC1">
        <w:noBreakHyphen/>
        <w:t>sam</w:t>
      </w:r>
      <w:r w:rsidRPr="001B4EC1">
        <w:softHyphen/>
        <w:t>arbetet. EU</w:t>
      </w:r>
      <w:r w:rsidRPr="001B4EC1">
        <w:noBreakHyphen/>
        <w:t>arbetet i riksdagen skall slutligen präglas av öppenhet med goda möjligheter till insyn för med</w:t>
      </w:r>
      <w:r w:rsidRPr="001B4EC1">
        <w:softHyphen/>
        <w:t>bor</w:t>
      </w:r>
      <w:r w:rsidRPr="001B4EC1">
        <w:t>garna.</w:t>
      </w:r>
    </w:p>
    <w:p w:rsidR="00252869" w:rsidRPr="001B4EC1" w:rsidRDefault="00252869">
      <w:pPr>
        <w:pStyle w:val="Normaltindrag"/>
      </w:pPr>
      <w:r w:rsidRPr="001B4EC1">
        <w:t>Kommittén skall utse en parlamentarisk referensgrupp med uppgift att fort</w:t>
      </w:r>
      <w:r w:rsidRPr="001B4EC1">
        <w:softHyphen/>
        <w:t>löpande delta i utredningsarbetet i denna del. Referensgruppen biträds av en expertgrupp under riksdagsdirektörens ledning. En avrapportering till kom</w:t>
      </w:r>
      <w:r w:rsidRPr="001B4EC1">
        <w:softHyphen/>
        <w:t xml:space="preserve">mittén skall göras senast i maj 2004. </w:t>
      </w:r>
    </w:p>
    <w:p w:rsidR="00252869" w:rsidRPr="001B4EC1" w:rsidRDefault="00252869">
      <w:pPr>
        <w:pStyle w:val="Rubrik3"/>
        <w:rPr>
          <w:noProof w:val="0"/>
        </w:rPr>
      </w:pPr>
      <w:bookmarkStart w:id="46" w:name="_Toc72648477"/>
      <w:r w:rsidRPr="001B4EC1">
        <w:rPr>
          <w:noProof w:val="0"/>
        </w:rPr>
        <w:t>Ärendet såvitt avser utrikesminister Laila Freivalds agerande i fråga om ett brev om den gemensamma säkerhets- och försvars</w:t>
      </w:r>
      <w:r w:rsidRPr="001B4EC1">
        <w:rPr>
          <w:noProof w:val="0"/>
        </w:rPr>
        <w:softHyphen/>
        <w:t>politiken</w:t>
      </w:r>
      <w:bookmarkEnd w:id="46"/>
      <w:r w:rsidRPr="001B4EC1">
        <w:rPr>
          <w:noProof w:val="0"/>
        </w:rPr>
        <w:t xml:space="preserve">  </w:t>
      </w:r>
    </w:p>
    <w:p w:rsidR="00252869" w:rsidRPr="001B4EC1" w:rsidRDefault="00252869">
      <w:pPr>
        <w:pStyle w:val="R4"/>
      </w:pPr>
      <w:r w:rsidRPr="001B4EC1">
        <w:t xml:space="preserve">Textförslag för ett konstitutionellt fördrag </w:t>
      </w:r>
    </w:p>
    <w:p w:rsidR="00252869" w:rsidRPr="001B4EC1" w:rsidRDefault="00252869">
      <w:r w:rsidRPr="001B4EC1">
        <w:t>I Framtidskonventets förslag till konstitutionellt fördrag för EU avser artikel I-40 Särskilda bestämmelser för genomförandet av den gemensamma säker</w:t>
      </w:r>
      <w:r w:rsidRPr="001B4EC1">
        <w:softHyphen/>
        <w:t xml:space="preserve">hets- och försvarspolitiken. I punkt 7 i artikeln sägs om närmare samarbete följande. </w:t>
      </w:r>
    </w:p>
    <w:p w:rsidR="00252869" w:rsidRPr="001B4EC1" w:rsidRDefault="00252869">
      <w:pPr>
        <w:pStyle w:val="Citat"/>
        <w:spacing w:before="125"/>
      </w:pPr>
      <w:r w:rsidRPr="001B4EC1">
        <w:t>Så länge som Europeiska rådet inte har beslutat i enlighet med punkt 2 i denna artikel skall ett närmare samarbete upprättas inom unionen när det gäller ömsesidigt försvar. Detta sam</w:t>
      </w:r>
      <w:r w:rsidRPr="001B4EC1">
        <w:softHyphen/>
        <w:t>arbete innebär att om en av de stater som deltar i detta samarbete utsätts för väpnat angrepp på sitt territorium, skall de övriga deltagande staterna ge stöd och bistånd med alla till buds stående militära och andra medel i enlighet med bestämmelserna i artikel 51 i Förenta nationernas stadga</w:t>
      </w:r>
      <w:r w:rsidRPr="001B4EC1">
        <w:rPr>
          <w:rStyle w:val="Fotnotsreferens"/>
          <w:sz w:val="20"/>
        </w:rPr>
        <w:footnoteReference w:id="19"/>
      </w:r>
      <w:r w:rsidRPr="001B4EC1">
        <w:t>. När de samarbetar närmare i fråga om ömsesidigt försvar skall de deltagande medlemsstaterna ha ett nära sa</w:t>
      </w:r>
      <w:r w:rsidRPr="001B4EC1">
        <w:t>m</w:t>
      </w:r>
      <w:r w:rsidRPr="001B4EC1">
        <w:t xml:space="preserve">arbete med Atlantpaktsorganisationen. Närmare bestämmelser om att delta i samarbetet, om hur det skall fungera och hur beslut om det skall fattas finns i artikel III-214. </w:t>
      </w:r>
    </w:p>
    <w:p w:rsidR="00252869" w:rsidRPr="001B4EC1" w:rsidRDefault="00252869">
      <w:r w:rsidRPr="001B4EC1">
        <w:t>Framtidskonventets förslag innehåller även en solidaritets</w:t>
      </w:r>
      <w:r w:rsidRPr="001B4EC1">
        <w:softHyphen/>
        <w:t xml:space="preserve">klausul. Artikel I-42 punkt 1 har i förslaget följande lydelse: </w:t>
      </w:r>
    </w:p>
    <w:p w:rsidR="00252869" w:rsidRPr="001B4EC1" w:rsidRDefault="00252869">
      <w:pPr>
        <w:pStyle w:val="Citat"/>
        <w:spacing w:before="125"/>
      </w:pPr>
      <w:r w:rsidRPr="001B4EC1">
        <w:t>Unionen och dess medlemsstater skall handla gemensamt i en anda av solidaritet om en medlemsstat utsätts för en terroristattack eller drabbas av en naturkatastrof eller en katastrof som orsakas av människor. Uni</w:t>
      </w:r>
      <w:r w:rsidRPr="001B4EC1">
        <w:t>o</w:t>
      </w:r>
      <w:r w:rsidRPr="001B4EC1">
        <w:t>nen skall mobilisera alla instrument som står till dess förfogande, även milit</w:t>
      </w:r>
      <w:r w:rsidRPr="001B4EC1">
        <w:t>ä</w:t>
      </w:r>
      <w:r w:rsidRPr="001B4EC1">
        <w:t xml:space="preserve">ra resurser som medlemsstaterna tillhandahåller, för att </w:t>
      </w:r>
    </w:p>
    <w:p w:rsidR="00252869" w:rsidRPr="001B4EC1" w:rsidRDefault="00252869">
      <w:pPr>
        <w:pStyle w:val="Citat"/>
      </w:pPr>
      <w:r w:rsidRPr="001B4EC1">
        <w:t>a)</w:t>
      </w:r>
    </w:p>
    <w:p w:rsidR="00252869" w:rsidRPr="001B4EC1" w:rsidRDefault="00252869">
      <w:pPr>
        <w:pStyle w:val="Citat"/>
        <w:numPr>
          <w:ilvl w:val="0"/>
          <w:numId w:val="43"/>
        </w:numPr>
      </w:pPr>
      <w:r w:rsidRPr="001B4EC1">
        <w:t xml:space="preserve">förhindra terroristhot på medlemsstaternas territorier, </w:t>
      </w:r>
    </w:p>
    <w:p w:rsidR="00252869" w:rsidRPr="001B4EC1" w:rsidRDefault="00252869">
      <w:pPr>
        <w:pStyle w:val="Citat"/>
        <w:numPr>
          <w:ilvl w:val="0"/>
          <w:numId w:val="43"/>
        </w:numPr>
      </w:pPr>
      <w:r w:rsidRPr="001B4EC1">
        <w:t xml:space="preserve">skydda de demokratiska institutionerna och civilbefolkningen vid en eventuell terroristattack, </w:t>
      </w:r>
    </w:p>
    <w:p w:rsidR="00252869" w:rsidRPr="001B4EC1" w:rsidRDefault="00252869">
      <w:pPr>
        <w:pStyle w:val="Citat"/>
        <w:numPr>
          <w:ilvl w:val="0"/>
          <w:numId w:val="43"/>
        </w:numPr>
      </w:pPr>
      <w:r w:rsidRPr="001B4EC1">
        <w:t xml:space="preserve">bistå en medlemsstat på dess territorium på begäran av dess politiska myndigheter vid en terroristattack, </w:t>
      </w:r>
    </w:p>
    <w:p w:rsidR="00252869" w:rsidRPr="001B4EC1" w:rsidRDefault="00252869">
      <w:pPr>
        <w:pStyle w:val="Citat"/>
      </w:pPr>
      <w:r w:rsidRPr="001B4EC1">
        <w:t xml:space="preserve">b) </w:t>
      </w:r>
    </w:p>
    <w:p w:rsidR="00252869" w:rsidRPr="001B4EC1" w:rsidRDefault="00252869">
      <w:pPr>
        <w:pStyle w:val="Citat"/>
        <w:numPr>
          <w:ilvl w:val="0"/>
          <w:numId w:val="43"/>
        </w:numPr>
      </w:pPr>
      <w:r w:rsidRPr="001B4EC1">
        <w:t xml:space="preserve">bistå en medlemsstat på dess territorium på begäran av dess politiska myndigheter vid en katastrof.  </w:t>
      </w:r>
    </w:p>
    <w:p w:rsidR="00252869" w:rsidRPr="001B4EC1" w:rsidRDefault="00252869">
      <w:r w:rsidRPr="001B4EC1">
        <w:t>I ett förslag från det italienska ordförandeskapet inför ett utrikesminister</w:t>
      </w:r>
      <w:r w:rsidRPr="001B4EC1">
        <w:softHyphen/>
        <w:t>möte (”konklav”) i Neapel den 28–29 november 2003 presenterades följande text om närmare samarbete om ömsesidigt försvar (artikel I-40.7)</w:t>
      </w:r>
      <w:r w:rsidRPr="001B4EC1">
        <w:rPr>
          <w:rStyle w:val="Fotnotsreferens"/>
        </w:rPr>
        <w:footnoteReference w:id="20"/>
      </w:r>
      <w:r w:rsidRPr="001B4EC1">
        <w:t xml:space="preserve">. </w:t>
      </w:r>
    </w:p>
    <w:p w:rsidR="00252869" w:rsidRPr="001B4EC1" w:rsidRDefault="00252869">
      <w:pPr>
        <w:pStyle w:val="Citat"/>
        <w:spacing w:before="125"/>
      </w:pPr>
      <w:r w:rsidRPr="001B4EC1">
        <w:t>Om en medlemsstat utsätts för väpnat angrepp på sitt territorium, skall de övriga medlems</w:t>
      </w:r>
      <w:r w:rsidRPr="001B4EC1">
        <w:softHyphen/>
        <w:t>staterna ge den stöd och bistånd med alla till buds ståe</w:t>
      </w:r>
      <w:r w:rsidRPr="001B4EC1">
        <w:t>n</w:t>
      </w:r>
      <w:r w:rsidRPr="001B4EC1">
        <w:t>de militära och andra medel i över</w:t>
      </w:r>
      <w:r w:rsidRPr="001B4EC1">
        <w:softHyphen/>
        <w:t xml:space="preserve">ensstämmelse med artikel 51 i Förenta nationernas stadga. </w:t>
      </w:r>
    </w:p>
    <w:p w:rsidR="00252869" w:rsidRPr="001B4EC1" w:rsidRDefault="00252869">
      <w:pPr>
        <w:pStyle w:val="CitatIndrag"/>
      </w:pPr>
      <w:r w:rsidRPr="001B4EC1">
        <w:t>Åtaganden och samarbete på detta område skall stå i överensstämme</w:t>
      </w:r>
      <w:r w:rsidRPr="001B4EC1">
        <w:t>l</w:t>
      </w:r>
      <w:r w:rsidRPr="001B4EC1">
        <w:t>se med åtaganden inom Nato, som för de stater som är Natomedlemmar, förblir grunden för deras kollek</w:t>
      </w:r>
      <w:r w:rsidRPr="001B4EC1">
        <w:softHyphen/>
        <w:t xml:space="preserve">tiva försvar.  </w:t>
      </w:r>
    </w:p>
    <w:p w:rsidR="00252869" w:rsidRPr="001B4EC1" w:rsidRDefault="00252869">
      <w:r w:rsidRPr="001B4EC1">
        <w:t>I det aktuella brevet från utrikesministrarna i Finland, Irland, Österrike och Sverige, daterat den 4 december 2003, föreslås följande text i första stycket i artikel I-40.7</w:t>
      </w:r>
      <w:r w:rsidRPr="001B4EC1">
        <w:rPr>
          <w:rStyle w:val="Fotnotsreferens"/>
        </w:rPr>
        <w:footnoteReference w:id="21"/>
      </w:r>
      <w:r w:rsidRPr="001B4EC1">
        <w:t>.</w:t>
      </w:r>
      <w:r w:rsidRPr="001B4EC1">
        <w:rPr>
          <w:rStyle w:val="Fotnotsreferens"/>
        </w:rPr>
        <w:t xml:space="preserve"> </w:t>
      </w:r>
    </w:p>
    <w:p w:rsidR="00252869" w:rsidRPr="001B4EC1" w:rsidRDefault="00252869">
      <w:pPr>
        <w:pStyle w:val="Citat"/>
        <w:spacing w:before="125"/>
      </w:pPr>
      <w:r w:rsidRPr="001B4EC1">
        <w:t>Om en medlemsstat utsätts för väpnat angrepp, kan den begära att de ö</w:t>
      </w:r>
      <w:r w:rsidRPr="001B4EC1">
        <w:t>v</w:t>
      </w:r>
      <w:r w:rsidRPr="001B4EC1">
        <w:t>riga medlems</w:t>
      </w:r>
      <w:r w:rsidRPr="001B4EC1">
        <w:softHyphen/>
        <w:t xml:space="preserve">staterna ger den stöd och bistånd med alla till buds stående militära och andra medel i enlighet med bestämmelserna i artikel 51 i Förenta nationernas stadga. </w:t>
      </w:r>
    </w:p>
    <w:p w:rsidR="00252869" w:rsidRPr="001B4EC1" w:rsidRDefault="00252869">
      <w:r w:rsidRPr="001B4EC1">
        <w:t>I brevet understryks betydelsen av att stärka ömsesidig solidaritet mellan medlemsstaterna. Utrikesministrarna säger sig fullt ut stödja förslaget att i fördraget lägga in en solidaritetsklausul som skulle ta hänsyn till terrorism samt naturliga och av människor framkallade katastrofer. De säger sig också vara beredda att mer allmänt un</w:t>
      </w:r>
      <w:r w:rsidRPr="001B4EC1">
        <w:t>derstryka principen om EU-solidaritet på säkerhetsområdet, inkluderande situationer som det hänvisas till i FN-stadgans artikel 51, medan däremot föreskrifter som innehåller formella bi</w:t>
      </w:r>
      <w:r w:rsidRPr="001B4EC1">
        <w:t>n</w:t>
      </w:r>
      <w:r w:rsidRPr="001B4EC1">
        <w:t>dande säkerhetsgarantier skulle vara oförenliga med deras säkerhets</w:t>
      </w:r>
      <w:r w:rsidRPr="001B4EC1">
        <w:softHyphen/>
        <w:t xml:space="preserve">politik eller med deras konstitutionella krav. </w:t>
      </w:r>
    </w:p>
    <w:p w:rsidR="00252869" w:rsidRPr="001B4EC1" w:rsidRDefault="00252869">
      <w:r w:rsidRPr="001B4EC1">
        <w:t>I det förslag som det italienska ordförandeskapet lade fram den 9 december inför Europeiska rådets möte den 12–13 december 2003 gavs artikeln föl</w:t>
      </w:r>
      <w:r w:rsidRPr="001B4EC1">
        <w:softHyphen/>
        <w:t>jande utformning</w:t>
      </w:r>
      <w:r w:rsidRPr="001B4EC1">
        <w:rPr>
          <w:rStyle w:val="Fotnotsreferens"/>
        </w:rPr>
        <w:footnoteReference w:id="22"/>
      </w:r>
      <w:r w:rsidRPr="001B4EC1">
        <w:t xml:space="preserve">. </w:t>
      </w:r>
    </w:p>
    <w:p w:rsidR="00252869" w:rsidRPr="001B4EC1" w:rsidRDefault="00252869">
      <w:pPr>
        <w:pStyle w:val="Citat"/>
      </w:pPr>
      <w:r w:rsidRPr="001B4EC1">
        <w:t>Om en medlemsstat utsätts för ett väpnat angrepp på sitt territorium, är de övriga medlems</w:t>
      </w:r>
      <w:r w:rsidRPr="001B4EC1">
        <w:softHyphen/>
        <w:t>staterna skyldiga att ge den stöd och bistånd med alla till buds stående medel i enlighet med bestämmelserna i artikel 51 i Förenta nationernas stadga. Detta skall inte inverka på den specifika karaktären hos vissa medlemsstaters säkerhets- och fö</w:t>
      </w:r>
      <w:r w:rsidRPr="001B4EC1">
        <w:t>r</w:t>
      </w:r>
      <w:r w:rsidRPr="001B4EC1">
        <w:t>svars</w:t>
      </w:r>
      <w:r w:rsidRPr="001B4EC1">
        <w:softHyphen/>
        <w:t>politik.</w:t>
      </w:r>
      <w:r w:rsidRPr="001B4EC1">
        <w:rPr>
          <w:i/>
        </w:rPr>
        <w:t xml:space="preserve"> </w:t>
      </w:r>
    </w:p>
    <w:p w:rsidR="00252869" w:rsidRPr="001B4EC1" w:rsidRDefault="00252869">
      <w:pPr>
        <w:pStyle w:val="CitatIndrag"/>
      </w:pPr>
      <w:r w:rsidRPr="001B4EC1">
        <w:t>Åtagandena och samarbetet på detta område skall vara förenliga med åtagandena inom Nato, som för de stater som är medlemmar i denna oc</w:t>
      </w:r>
      <w:r w:rsidRPr="001B4EC1">
        <w:t>k</w:t>
      </w:r>
      <w:r w:rsidRPr="001B4EC1">
        <w:t xml:space="preserve">så i fortsättningen skall vara grunden för deras kollektiva försvar och den instans som genomför det. </w:t>
      </w:r>
    </w:p>
    <w:p w:rsidR="00252869" w:rsidRPr="001B4EC1" w:rsidRDefault="00252869">
      <w:r w:rsidRPr="001B4EC1">
        <w:t>I artikel I-40 enligt konventets förslag finns i punkt 2 en föreskrift att uni</w:t>
      </w:r>
      <w:r w:rsidRPr="001B4EC1">
        <w:t>o</w:t>
      </w:r>
      <w:r w:rsidRPr="001B4EC1">
        <w:t xml:space="preserve">nens politik enligt artikeln bl.a. inte skall påverka den särskilda karaktären hos vissa medlemsstaters säkerhets- och försvarspolitik. </w:t>
      </w:r>
    </w:p>
    <w:p w:rsidR="00252869" w:rsidRPr="001B4EC1" w:rsidRDefault="00252869">
      <w:pPr>
        <w:pStyle w:val="R4"/>
      </w:pPr>
      <w:r w:rsidRPr="001B4EC1">
        <w:t>Sammansatta konstitutions- och utrikesutskottet, KUU</w:t>
      </w:r>
    </w:p>
    <w:p w:rsidR="00252869" w:rsidRPr="001B4EC1" w:rsidRDefault="00252869">
      <w:r w:rsidRPr="001B4EC1">
        <w:t>Riksdagen har behandlat framtidskonventets förslag till konstitutionellt fö</w:t>
      </w:r>
      <w:r w:rsidRPr="001B4EC1">
        <w:t>r</w:t>
      </w:r>
      <w:r w:rsidRPr="001B4EC1">
        <w:t>drag med anledning av en skrivelse från regeringen</w:t>
      </w:r>
      <w:r w:rsidRPr="001B4EC1">
        <w:rPr>
          <w:rStyle w:val="Fotnotsreferens"/>
        </w:rPr>
        <w:footnoteReference w:id="23"/>
      </w:r>
      <w:r w:rsidRPr="001B4EC1">
        <w:t xml:space="preserve"> och motioner. Bere</w:t>
      </w:r>
      <w:r w:rsidRPr="001B4EC1">
        <w:t>d</w:t>
      </w:r>
      <w:r w:rsidRPr="001B4EC1">
        <w:t>ningen skedde inom ett sammansatt konstitutions- och utrikesutskott</w:t>
      </w:r>
      <w:r w:rsidRPr="001B4EC1">
        <w:rPr>
          <w:rStyle w:val="Fotnotsreferens"/>
        </w:rPr>
        <w:footnoteReference w:id="24"/>
      </w:r>
      <w:r w:rsidRPr="001B4EC1">
        <w:t xml:space="preserve">. </w:t>
      </w:r>
    </w:p>
    <w:p w:rsidR="00252869" w:rsidRPr="001B4EC1" w:rsidRDefault="00252869">
      <w:pPr>
        <w:pStyle w:val="Normaltindrag"/>
      </w:pPr>
      <w:r w:rsidRPr="001B4EC1">
        <w:t>Försvarsutskottet yttrade sig till sammansatta utskottet över bl.a. försvars</w:t>
      </w:r>
      <w:r w:rsidRPr="001B4EC1">
        <w:softHyphen/>
        <w:t>frågor och frågan om en solidaritetsklausul</w:t>
      </w:r>
      <w:r w:rsidRPr="001B4EC1">
        <w:rPr>
          <w:rStyle w:val="Fotnotsreferens"/>
        </w:rPr>
        <w:footnoteReference w:id="25"/>
      </w:r>
      <w:r w:rsidRPr="001B4EC1">
        <w:t xml:space="preserve">. </w:t>
      </w:r>
    </w:p>
    <w:p w:rsidR="00252869" w:rsidRPr="001B4EC1" w:rsidRDefault="00252869">
      <w:pPr>
        <w:pStyle w:val="Normaltindrag"/>
      </w:pPr>
      <w:r w:rsidRPr="001B4EC1">
        <w:t xml:space="preserve">I yttrandet delade försvarsutskottet, såvitt avsåg </w:t>
      </w:r>
      <w:r w:rsidRPr="001B4EC1">
        <w:rPr>
          <w:i/>
        </w:rPr>
        <w:t>försvarsfrågor</w:t>
      </w:r>
      <w:r w:rsidRPr="001B4EC1">
        <w:t>, regerin</w:t>
      </w:r>
      <w:r w:rsidRPr="001B4EC1">
        <w:t>g</w:t>
      </w:r>
      <w:r w:rsidRPr="001B4EC1">
        <w:t>ens bedömning att det finns ett behov inom hela Europa av att effektivisera och samordna sina resurser bl.a. på det militära kapacitetsområdet, så att unio</w:t>
      </w:r>
      <w:r w:rsidRPr="001B4EC1">
        <w:softHyphen/>
        <w:t>nen i praktiken bättre skall kunna ut</w:t>
      </w:r>
      <w:r w:rsidRPr="001B4EC1">
        <w:softHyphen/>
        <w:t>nyttja sin fulla potential som en effektiv fredsfrämjande kraft. Försvars</w:t>
      </w:r>
      <w:r w:rsidRPr="001B4EC1">
        <w:softHyphen/>
        <w:t>utskottet bedömde att ståndpunkterna i vissa motioner, där den principiella inriktningen var att EU:s förmåga att med</w:t>
      </w:r>
      <w:r w:rsidRPr="001B4EC1">
        <w:softHyphen/>
        <w:t>verka i fredsfrämjande insatser bör breddas, fördjupas och göras mer effek</w:t>
      </w:r>
      <w:r w:rsidRPr="001B4EC1">
        <w:softHyphen/>
        <w:t>tiv, låg väl i linje med re</w:t>
      </w:r>
      <w:r w:rsidRPr="001B4EC1">
        <w:t>geringens i detta avseende. Genom det breda spektrum till fredsfrämjande insatser som skapades inom EU skulle unionen enligt fö</w:t>
      </w:r>
      <w:r w:rsidRPr="001B4EC1">
        <w:t>r</w:t>
      </w:r>
      <w:r w:rsidRPr="001B4EC1">
        <w:t>svarsutskottet bli ett bra komplement till Natos förmåga i det avseendet. Fö</w:t>
      </w:r>
      <w:r w:rsidRPr="001B4EC1">
        <w:t>r</w:t>
      </w:r>
      <w:r w:rsidRPr="001B4EC1">
        <w:t xml:space="preserve">svarsutskottet ansåg liksom regeringen att ambitionen bör vara att </w:t>
      </w:r>
      <w:r w:rsidRPr="001B4EC1">
        <w:rPr>
          <w:i/>
        </w:rPr>
        <w:t>alla</w:t>
      </w:r>
      <w:r w:rsidRPr="001B4EC1">
        <w:t xml:space="preserve"> me</w:t>
      </w:r>
      <w:r w:rsidRPr="001B4EC1">
        <w:t>d</w:t>
      </w:r>
      <w:r w:rsidRPr="001B4EC1">
        <w:t xml:space="preserve">lemsstater aktivt skall kunna delta i detta arbete, vilket bör ske </w:t>
      </w:r>
      <w:r w:rsidRPr="001B4EC1">
        <w:rPr>
          <w:i/>
        </w:rPr>
        <w:t>inom</w:t>
      </w:r>
      <w:r w:rsidRPr="001B4EC1">
        <w:t xml:space="preserve"> EU:s institutioner. Utgångspunkten borde för Sveriges del sålunda vara att alla fredsfrämjande insatser som sker i EU:s namn – i synnerhet militära – skall ske </w:t>
      </w:r>
      <w:r w:rsidRPr="001B4EC1">
        <w:t>på ett sådant sätt att alla medlems</w:t>
      </w:r>
      <w:r w:rsidRPr="001B4EC1">
        <w:softHyphen/>
        <w:t>stater ges insyn i och kontroll över insatserna. Försvarsutskottet delade be</w:t>
      </w:r>
      <w:r w:rsidRPr="001B4EC1">
        <w:softHyphen/>
        <w:t>dömningen att förslaget om att de stater som så vill skall kunna utfärda ömsesidiga försvarsgarantier inom unionens ram kan skapa onödiga skilje</w:t>
      </w:r>
      <w:r w:rsidRPr="001B4EC1">
        <w:softHyphen/>
        <w:t>linjer mellan medlemsstaterna och därmed fö</w:t>
      </w:r>
      <w:r w:rsidRPr="001B4EC1">
        <w:t>r</w:t>
      </w:r>
      <w:r w:rsidRPr="001B4EC1">
        <w:t>sämra möjligheterna att gemensamt formulera en samman</w:t>
      </w:r>
      <w:r w:rsidRPr="001B4EC1">
        <w:softHyphen/>
        <w:t>hållen politik gen</w:t>
      </w:r>
      <w:r w:rsidRPr="001B4EC1">
        <w:t>t</w:t>
      </w:r>
      <w:r w:rsidRPr="001B4EC1">
        <w:t xml:space="preserve">emot omvärlden. För de stater som önskar utfärda sådana garantier finns ju redan en allians som har bl.a. det syftet – Nato. Unionen bör </w:t>
      </w:r>
      <w:r w:rsidRPr="001B4EC1">
        <w:t>undvika att sk</w:t>
      </w:r>
      <w:r w:rsidRPr="001B4EC1">
        <w:t>a</w:t>
      </w:r>
      <w:r w:rsidRPr="001B4EC1">
        <w:t>pa spänningar i den transatlantiska länken och till Nato. Försvarsutskottet tillstyrkte sålunda regeringens utgångspunkt.</w:t>
      </w:r>
    </w:p>
    <w:p w:rsidR="00252869" w:rsidRPr="001B4EC1" w:rsidRDefault="00252869">
      <w:pPr>
        <w:pStyle w:val="Normaltindrag"/>
      </w:pPr>
      <w:r w:rsidRPr="001B4EC1">
        <w:t>Sammansatta konstitutions- och utrikesutskottet delade försvarsutskottets uppfattning och noterade att det i konventets slutdokument inte fanns något förslag om ömsesidiga försvarsgarantier. Enligt utskottets mening skulle EU inte utvecklas till en militär allians med bindande försvarsgarantier. Ut</w:t>
      </w:r>
      <w:r w:rsidRPr="001B4EC1">
        <w:softHyphen/>
        <w:t>skottet avstyrkte föreliggande motioner.</w:t>
      </w:r>
      <w:r w:rsidRPr="001B4EC1">
        <w:rPr>
          <w:rStyle w:val="Fotnotsreferens"/>
        </w:rPr>
        <w:footnoteReference w:id="26"/>
      </w:r>
      <w:r w:rsidRPr="001B4EC1">
        <w:t xml:space="preserve"> </w:t>
      </w:r>
    </w:p>
    <w:p w:rsidR="00252869" w:rsidRPr="001B4EC1" w:rsidRDefault="00252869">
      <w:pPr>
        <w:pStyle w:val="Normaltindrag"/>
      </w:pPr>
      <w:r w:rsidRPr="001B4EC1">
        <w:t xml:space="preserve">I frågan om </w:t>
      </w:r>
      <w:r w:rsidRPr="001B4EC1">
        <w:rPr>
          <w:i/>
        </w:rPr>
        <w:t>solidaritetsklausul</w:t>
      </w:r>
      <w:r w:rsidRPr="001B4EC1">
        <w:t xml:space="preserve"> hade en utgångspunkt för regeringen ang</w:t>
      </w:r>
      <w:r w:rsidRPr="001B4EC1">
        <w:t>i</w:t>
      </w:r>
      <w:r w:rsidRPr="001B4EC1">
        <w:t>vits vara att stöd från EU:s medlemsstater, precis som i dag, skall vara frivi</w:t>
      </w:r>
      <w:r w:rsidRPr="001B4EC1">
        <w:t>l</w:t>
      </w:r>
      <w:r w:rsidRPr="001B4EC1">
        <w:t>ligt och ges efter nationella beslut. Klausulen fastslog enligt regeringen att alla instrument som står till unionens förfogande kan användas. Den innebar inte bindande försvarsförpliktelser eller skapande av ett gemensamt försvar och den var därmed förenlig med vår militära alliansfrihet. Den innebar enligt rege</w:t>
      </w:r>
      <w:r w:rsidRPr="001B4EC1">
        <w:t>r</w:t>
      </w:r>
      <w:r w:rsidRPr="001B4EC1">
        <w:t xml:space="preserve">ingen inte heller att unionen överväger s.k. föregripande </w:t>
      </w:r>
      <w:r w:rsidRPr="001B4EC1">
        <w:t xml:space="preserve">insatser. </w:t>
      </w:r>
    </w:p>
    <w:p w:rsidR="00252869" w:rsidRPr="001B4EC1" w:rsidRDefault="00252869">
      <w:pPr>
        <w:pStyle w:val="Normaltindrag"/>
      </w:pPr>
      <w:r w:rsidRPr="001B4EC1">
        <w:t>I sitt yttrande till sammansatta konstitutions- och utrikesutskottet anförde försvarsutskottet att förslaget om en solidaritetsklausul låg väl i linje med Sveriges vidgade syn på säkerheten för att kunna möta ett bredare spektrum av hot än tidigare. Detta var enligt utskottet en naturlig utveckling, som mö</w:t>
      </w:r>
      <w:r w:rsidRPr="001B4EC1">
        <w:t>j</w:t>
      </w:r>
      <w:r w:rsidRPr="001B4EC1">
        <w:t>liggjorde att unionen utnyttjas för att skapa ytterligare säkerhet för dess me</w:t>
      </w:r>
      <w:r w:rsidRPr="001B4EC1">
        <w:t>d</w:t>
      </w:r>
      <w:r w:rsidRPr="001B4EC1">
        <w:t>borgare. Utskottet delade regeringens uppfattning att klausulen ut</w:t>
      </w:r>
      <w:r w:rsidRPr="001B4EC1">
        <w:softHyphen/>
        <w:t>trycker medlemsstaternas strävan att solidariskt hjälpa varandra om en medlemsstat skulle drabbas av en terroristattack, en annan av människor skapad katastrof eller en naturkatastrof. Den tydliggjorde enligt utskottet möjligheterna att i en katastrofsituation kunna utnyttja de tillgängliga in</w:t>
      </w:r>
      <w:r w:rsidRPr="001B4EC1">
        <w:softHyphen/>
        <w:t xml:space="preserve">strument som finns inom unionen. </w:t>
      </w:r>
    </w:p>
    <w:p w:rsidR="00252869" w:rsidRPr="001B4EC1" w:rsidRDefault="00252869">
      <w:pPr>
        <w:pStyle w:val="Normaltindrag"/>
      </w:pPr>
      <w:r w:rsidRPr="001B4EC1">
        <w:t>Formuleringen i konventsförslaget va</w:t>
      </w:r>
      <w:r w:rsidRPr="001B4EC1">
        <w:t>r emellertid, enligt vad försvars</w:t>
      </w:r>
      <w:r w:rsidRPr="001B4EC1">
        <w:softHyphen/>
        <w:t>utskottet anförde, otydlig om vilka nationella åtaganden som ytterst avsågs, i synnerhet när det gällde användningen av militära resurser. Utgångs</w:t>
      </w:r>
      <w:r w:rsidRPr="001B4EC1">
        <w:softHyphen/>
        <w:t xml:space="preserve">punkten var att stödet – precis som i dag – skulle vara frivilligt och ges efter de regler för insatsbeslut som redan gäller. Utskottet tillstyrkte regeringens ståndpunkt i frågan. </w:t>
      </w:r>
    </w:p>
    <w:p w:rsidR="00252869" w:rsidRPr="001B4EC1" w:rsidRDefault="00252869">
      <w:pPr>
        <w:pStyle w:val="Normaltindrag"/>
      </w:pPr>
      <w:r w:rsidRPr="001B4EC1">
        <w:t>Sammansatta konstitutions- och utrikesutskottet delade försvarsutskottets uppfattning</w:t>
      </w:r>
      <w:r w:rsidRPr="001B4EC1">
        <w:rPr>
          <w:rStyle w:val="Fotnotsreferens"/>
        </w:rPr>
        <w:footnoteReference w:id="27"/>
      </w:r>
      <w:r w:rsidRPr="001B4EC1">
        <w:t xml:space="preserve">. </w:t>
      </w:r>
    </w:p>
    <w:p w:rsidR="00252869" w:rsidRPr="001B4EC1" w:rsidRDefault="00252869">
      <w:pPr>
        <w:pStyle w:val="R4"/>
      </w:pPr>
      <w:r w:rsidRPr="001B4EC1">
        <w:t xml:space="preserve">Samråd i EU-nämnden </w:t>
      </w:r>
    </w:p>
    <w:p w:rsidR="00252869" w:rsidRPr="001B4EC1" w:rsidRDefault="00252869">
      <w:r w:rsidRPr="001B4EC1">
        <w:t>Som framgår av anmälan hölls den 5 december 2003 samråd i EU-nämnden med utrikesminister Laila Freivalds. Den 11 december 2003 hölls ett nytt möte mellan utrikesministern och EU-nämnden. Utrikesministern åter</w:t>
      </w:r>
      <w:r w:rsidRPr="001B4EC1">
        <w:softHyphen/>
        <w:t>rapporterade då från regeringskonferensmöte den 9 december. På egen beg</w:t>
      </w:r>
      <w:r w:rsidRPr="001B4EC1">
        <w:t>ä</w:t>
      </w:r>
      <w:r w:rsidRPr="001B4EC1">
        <w:t xml:space="preserve">ran redogjorde hon också för handläggningen av det gemensamma initiativ som Sverige, Österrike, Irland och Finland tog. </w:t>
      </w:r>
    </w:p>
    <w:p w:rsidR="00252869" w:rsidRPr="001B4EC1" w:rsidRDefault="00252869">
      <w:r w:rsidRPr="001B4EC1">
        <w:t>Vid sammanträdet den 5 december</w:t>
      </w:r>
      <w:r w:rsidRPr="001B4EC1">
        <w:rPr>
          <w:rStyle w:val="Fotnotsreferens"/>
        </w:rPr>
        <w:footnoteReference w:id="28"/>
      </w:r>
      <w:r w:rsidRPr="001B4EC1">
        <w:t xml:space="preserve"> redogjorde utrikesministern inledning</w:t>
      </w:r>
      <w:r w:rsidRPr="001B4EC1">
        <w:t>s</w:t>
      </w:r>
      <w:r w:rsidRPr="001B4EC1">
        <w:t>vis för föregående möte i regeringskonferensen, där bl.a. frågan om försvar</w:t>
      </w:r>
      <w:r w:rsidRPr="001B4EC1">
        <w:t>s</w:t>
      </w:r>
      <w:r w:rsidRPr="001B4EC1">
        <w:t xml:space="preserve">garantier diskuterats under middagen den 28 november. Det var tydligt att alla de alliansfria länderna – Finland, Irland, Österrike och Sverige – inte kunde acceptera diskuterade förslag. </w:t>
      </w:r>
    </w:p>
    <w:p w:rsidR="00252869" w:rsidRPr="001B4EC1" w:rsidRDefault="00252869">
      <w:pPr>
        <w:pStyle w:val="Normaltindrag"/>
      </w:pPr>
      <w:r w:rsidRPr="001B4EC1">
        <w:t>Efter mötet hade det enligt utrikesministern kommit ett nytt ändringsfö</w:t>
      </w:r>
      <w:r w:rsidRPr="001B4EC1">
        <w:t>r</w:t>
      </w:r>
      <w:r w:rsidRPr="001B4EC1">
        <w:t>slag som skulle utgöra grunden för diskussionen under det kommande råd</w:t>
      </w:r>
      <w:r w:rsidRPr="001B4EC1">
        <w:t>s</w:t>
      </w:r>
      <w:r w:rsidRPr="001B4EC1">
        <w:t>mötet. Ändringarna var marginella och inte tillräckliga för att Sverige skulle ändra inställning. Utrikesministern omtalade att de närmast berörda, de all</w:t>
      </w:r>
      <w:r w:rsidRPr="001B4EC1">
        <w:t>i</w:t>
      </w:r>
      <w:r w:rsidRPr="001B4EC1">
        <w:t>ansfria länderna, hade samarbetat kring frågan efter middagsdiskussionen. Efter föredragningen i EU-nämnden och de uppfattningar som nämnden har uttalat skulle utrikesministern bedöma om det var möjligt att samma dag skicka i väg ett gemensamt brev till ordföranden från Finland, Irlan</w:t>
      </w:r>
      <w:r w:rsidRPr="001B4EC1">
        <w:t>d, Österr</w:t>
      </w:r>
      <w:r w:rsidRPr="001B4EC1">
        <w:t>i</w:t>
      </w:r>
      <w:r w:rsidRPr="001B4EC1">
        <w:t xml:space="preserve">ke och Sverige med förslag om en förändring av artikel I-40.7. </w:t>
      </w:r>
    </w:p>
    <w:p w:rsidR="00252869" w:rsidRPr="001B4EC1" w:rsidRDefault="00252869">
      <w:pPr>
        <w:pStyle w:val="Normaltindrag"/>
      </w:pPr>
      <w:r w:rsidRPr="001B4EC1">
        <w:t xml:space="preserve">Utrikesministern beskrev innehållet i brevet enligt följande (anf. 18). </w:t>
      </w:r>
    </w:p>
    <w:p w:rsidR="00252869" w:rsidRPr="001B4EC1" w:rsidRDefault="00252869">
      <w:pPr>
        <w:pStyle w:val="Citat"/>
        <w:spacing w:before="125"/>
      </w:pPr>
      <w:r w:rsidRPr="001B4EC1">
        <w:t xml:space="preserve">Vårt förslag till förändring innehåller en formulering som säger att om en medlemsstat skulle bli utsatt för ett väpnat angrepp kan den begära hjälp från övriga medlemsstater i enlighet med FN-stadgans artikel 51. </w:t>
      </w:r>
    </w:p>
    <w:p w:rsidR="00252869" w:rsidRPr="001B4EC1" w:rsidRDefault="00252869">
      <w:pPr>
        <w:pStyle w:val="CitatIndrag"/>
      </w:pPr>
      <w:r w:rsidRPr="001B4EC1">
        <w:t>En sådan formulering innehåller ett element av solidaritet men innebär inga bindande förpliktelser. Det är helt förenligt med vår militära allian</w:t>
      </w:r>
      <w:r w:rsidRPr="001B4EC1">
        <w:t>s</w:t>
      </w:r>
      <w:r w:rsidRPr="001B4EC1">
        <w:t xml:space="preserve">frihet. Givetvis stämmer det med FN-stadgan. </w:t>
      </w:r>
    </w:p>
    <w:p w:rsidR="00252869" w:rsidRPr="001B4EC1" w:rsidRDefault="00252869">
      <w:pPr>
        <w:spacing w:before="187"/>
      </w:pPr>
      <w:r w:rsidRPr="001B4EC1">
        <w:t>Sedan olika synpunkter framförts förklarade utrikesministern i ett senare anförande (anf. 29) följande.</w:t>
      </w:r>
    </w:p>
    <w:p w:rsidR="00252869" w:rsidRPr="001B4EC1" w:rsidRDefault="00252869">
      <w:pPr>
        <w:pStyle w:val="Citat"/>
        <w:spacing w:before="125"/>
      </w:pPr>
      <w:r w:rsidRPr="001B4EC1">
        <w:t xml:space="preserve">Vad gäller garantifrågan är själva utgångspunkten för vårt agerande att det finns en grundläggande solidaritet mellan medlemsländerna i EU. Det är en förutsättning för EU:s existens. Det finns en solidaritetsklausul i botten. </w:t>
      </w:r>
    </w:p>
    <w:p w:rsidR="00252869" w:rsidRPr="001B4EC1" w:rsidRDefault="00252869">
      <w:pPr>
        <w:pStyle w:val="CitatIndrag"/>
      </w:pPr>
      <w:r w:rsidRPr="001B4EC1">
        <w:t>När det gäller brevet och hur vi hanterar den frågan så nämner vi n</w:t>
      </w:r>
      <w:r w:rsidRPr="001B4EC1">
        <w:t>a</w:t>
      </w:r>
      <w:r w:rsidRPr="001B4EC1">
        <w:t>turligtvis i brevet att vi tycker att det förslag till en ny skrivning som vi gör innebär att vi substantiellt bidrar till att lyfta fram just solidaritetsfr</w:t>
      </w:r>
      <w:r w:rsidRPr="001B4EC1">
        <w:t>å</w:t>
      </w:r>
      <w:r w:rsidRPr="001B4EC1">
        <w:t>gan. Självfallet finns inte bara ytterligheterna här – att man sviker me</w:t>
      </w:r>
      <w:r w:rsidRPr="001B4EC1">
        <w:t>d</w:t>
      </w:r>
      <w:r w:rsidRPr="001B4EC1">
        <w:t>lemsländer eller blivande medlemsländer i en krissituation och att man är med i en allians – utan det finns en skala dä</w:t>
      </w:r>
      <w:r w:rsidRPr="001B4EC1">
        <w:t>r</w:t>
      </w:r>
      <w:r w:rsidRPr="001B4EC1">
        <w:t xml:space="preserve">emellan. </w:t>
      </w:r>
    </w:p>
    <w:p w:rsidR="00252869" w:rsidRPr="001B4EC1" w:rsidRDefault="00252869">
      <w:r w:rsidRPr="001B4EC1">
        <w:t xml:space="preserve">Hon anförde också att ”vi” inte kunde distribuera ett brev som ”vi” höll på att förhandla om. </w:t>
      </w:r>
    </w:p>
    <w:p w:rsidR="00252869" w:rsidRPr="001B4EC1" w:rsidRDefault="00252869">
      <w:pPr>
        <w:pStyle w:val="Normaltindrag"/>
      </w:pPr>
      <w:r w:rsidRPr="001B4EC1">
        <w:t>I sin sammanfattning (anf. 56) konstaterade ordföranden att det fanns en maj</w:t>
      </w:r>
      <w:r w:rsidRPr="001B4EC1">
        <w:t>o</w:t>
      </w:r>
      <w:r w:rsidRPr="001B4EC1">
        <w:t xml:space="preserve">ritet för regeringens ståndpunkt. </w:t>
      </w:r>
    </w:p>
    <w:p w:rsidR="00252869" w:rsidRPr="001B4EC1" w:rsidRDefault="00252869">
      <w:r w:rsidRPr="001B4EC1">
        <w:t>Vid sammanträdet med EU-nämnden den 11 december</w:t>
      </w:r>
      <w:r w:rsidRPr="001B4EC1">
        <w:rPr>
          <w:rStyle w:val="Fotnotsreferens"/>
        </w:rPr>
        <w:footnoteReference w:id="29"/>
      </w:r>
      <w:r w:rsidRPr="001B4EC1">
        <w:t xml:space="preserve"> återrapporterade utrikesministern från möte i regeringskonferensen den 9 december och förkl</w:t>
      </w:r>
      <w:r w:rsidRPr="001B4EC1">
        <w:t>a</w:t>
      </w:r>
      <w:r w:rsidRPr="001B4EC1">
        <w:t xml:space="preserve">rade att förslaget i brevet blivit ett viktigt inlägg i diskussionerna och att synpunkterna fått stöd från många länder. Hon anförde också bl.a. följande i fråga om hanteringen av de fyra utrikesministrarnas brev (anf. 14) </w:t>
      </w:r>
    </w:p>
    <w:p w:rsidR="00252869" w:rsidRPr="001B4EC1" w:rsidRDefault="00252869">
      <w:pPr>
        <w:pStyle w:val="Citat"/>
        <w:spacing w:before="125"/>
      </w:pPr>
      <w:r w:rsidRPr="001B4EC1">
        <w:t xml:space="preserve">Jag gav en muntlig redogörelse för förslaget här i nämnden. Vi hade en bra diskussion, och jag fann att det fanns stöd för regeringens upplägg i den här frågan. Därefter tog jag kontakt med mina </w:t>
      </w:r>
      <w:r w:rsidRPr="001B4EC1">
        <w:t>kolleger i övriga akt</w:t>
      </w:r>
      <w:r w:rsidRPr="001B4EC1">
        <w:t>u</w:t>
      </w:r>
      <w:r w:rsidRPr="001B4EC1">
        <w:t xml:space="preserve">ella medlemsländer, där en diskussion hade pågått fram och tillbaka för att få fram ett brev. Jag konstaterade att jag hade ett godkännande från riksdagen i form av EU-nämnden. </w:t>
      </w:r>
    </w:p>
    <w:p w:rsidR="00252869" w:rsidRPr="001B4EC1" w:rsidRDefault="00252869">
      <w:pPr>
        <w:pStyle w:val="CitatIndrag"/>
      </w:pPr>
      <w:r w:rsidRPr="001B4EC1">
        <w:t xml:space="preserve">Under fredagen blev alla fyra länderna klara, och vi skickade i väg brevet under fredagen. Då offentliggjordes det också och skickades till EU-nämndens ledamöter. </w:t>
      </w:r>
    </w:p>
    <w:p w:rsidR="00252869" w:rsidRPr="001B4EC1" w:rsidRDefault="00252869">
      <w:pPr>
        <w:spacing w:before="187"/>
      </w:pPr>
      <w:r w:rsidRPr="001B4EC1">
        <w:t xml:space="preserve">Hon förklarade att dateringen den 4 december var ett misstag, att brevet hade flera dateringar under det att arbetet pågick men inte blev färdigt förrän den 5 december och att hon inte godkände det förrän hon varit i EU-nämnden och föredragit det. </w:t>
      </w:r>
    </w:p>
    <w:p w:rsidR="00252869" w:rsidRPr="001B4EC1" w:rsidRDefault="00252869">
      <w:pPr>
        <w:pStyle w:val="Rubrik3"/>
        <w:rPr>
          <w:noProof w:val="0"/>
        </w:rPr>
      </w:pPr>
      <w:bookmarkStart w:id="47" w:name="_Toc72648478"/>
      <w:r w:rsidRPr="001B4EC1">
        <w:rPr>
          <w:noProof w:val="0"/>
        </w:rPr>
        <w:t>Uppgifter från Regeringskansliet m.m.</w:t>
      </w:r>
      <w:bookmarkEnd w:id="47"/>
      <w:r w:rsidRPr="001B4EC1">
        <w:rPr>
          <w:noProof w:val="0"/>
        </w:rPr>
        <w:t xml:space="preserve"> </w:t>
      </w:r>
    </w:p>
    <w:p w:rsidR="00252869" w:rsidRPr="001B4EC1" w:rsidRDefault="00252869">
      <w:r w:rsidRPr="001B4EC1">
        <w:t>I den promemoria som utskottet har begärt från Regeringskansliet framhålls fö</w:t>
      </w:r>
      <w:r w:rsidRPr="001B4EC1">
        <w:t>l</w:t>
      </w:r>
      <w:r w:rsidRPr="001B4EC1">
        <w:t xml:space="preserve">jande. </w:t>
      </w:r>
    </w:p>
    <w:p w:rsidR="00252869" w:rsidRPr="001B4EC1" w:rsidRDefault="00252869">
      <w:pPr>
        <w:pStyle w:val="Citat"/>
        <w:spacing w:before="125"/>
      </w:pPr>
      <w:r w:rsidRPr="001B4EC1">
        <w:t>Vid EU-nämndens möte den 5 december var beredningen av brevet ännu inte färdig i Regeringskansliet. På svensk sida ville ansvarigt statsråd inte ta slutlig ställning förrän efter diskussionen i EU-nämnden, vilket hade framförts till de övriga tre. Arbetet med att färdigställa brevet var således inte avslutat vid EU-nämndens möte. Brevet godkändes och expedierades från Helsingfors, efter nämndens sammanträde.</w:t>
      </w:r>
    </w:p>
    <w:p w:rsidR="00252869" w:rsidRPr="001B4EC1" w:rsidRDefault="00252869">
      <w:pPr>
        <w:pStyle w:val="CitatIndrag"/>
      </w:pPr>
      <w:r w:rsidRPr="001B4EC1">
        <w:t>Av misstag stod datum från ett tidigare utkast, 4 december, kvar. Br</w:t>
      </w:r>
      <w:r w:rsidRPr="001B4EC1">
        <w:t>e</w:t>
      </w:r>
      <w:r w:rsidRPr="001B4EC1">
        <w:t>vet blev dock inte undertecknat förrän den 5 december och utrikesmini</w:t>
      </w:r>
      <w:r w:rsidRPr="001B4EC1">
        <w:t>s</w:t>
      </w:r>
      <w:r w:rsidRPr="001B4EC1">
        <w:t xml:space="preserve">tern godkände det inte förrän det hade diskuterats i EU-nämnden. </w:t>
      </w:r>
    </w:p>
    <w:p w:rsidR="00252869" w:rsidRPr="001B4EC1" w:rsidRDefault="00252869">
      <w:pPr>
        <w:pStyle w:val="CitatIndrag"/>
      </w:pPr>
      <w:r w:rsidRPr="001B4EC1">
        <w:t>Brevet, som handlade om artikel 40.7 i utkastet till konstitutionellt fördrag, överensstämde med det innehåll som utrikesministern hade r</w:t>
      </w:r>
      <w:r w:rsidRPr="001B4EC1">
        <w:t>e</w:t>
      </w:r>
      <w:r w:rsidRPr="001B4EC1">
        <w:t>dovisat i EU-nämnden. Där anförde utrikesministern (anförande 18) bl.a. ”Vårt förslag till förändring innehåller en formulering som säger att om en medlemsstat skulle bli utsatt för väpnat angrepp kan den begära hjälp från övriga medlemsstater i enlighet med FN-stadgans artikel 51. En s</w:t>
      </w:r>
      <w:r w:rsidRPr="001B4EC1">
        <w:t>å</w:t>
      </w:r>
      <w:r w:rsidRPr="001B4EC1">
        <w:t>dan formulering innehåller ett element av solidaritet men innebär inga bindande förpliktelser. Den är helt förenlig med vår militära alliansfrihet. Givetvis stämmer det med FN-stadgan.” Vidare i anförande 29 ”… så nämner vi</w:t>
      </w:r>
      <w:r w:rsidRPr="001B4EC1">
        <w:t xml:space="preserve"> naturligtvis i brevet att vi tycker att det förslag till ny skrivning som vi gör innebär att vi substantiellt bidrar till att lyfta fram just solid</w:t>
      </w:r>
      <w:r w:rsidRPr="001B4EC1">
        <w:t>a</w:t>
      </w:r>
      <w:r w:rsidRPr="001B4EC1">
        <w:t>ritetsfrågan.”</w:t>
      </w:r>
    </w:p>
    <w:p w:rsidR="00252869" w:rsidRPr="001B4EC1" w:rsidRDefault="00252869">
      <w:pPr>
        <w:pStyle w:val="CitatIndrag"/>
      </w:pPr>
      <w:r w:rsidRPr="001B4EC1">
        <w:t xml:space="preserve">Motsvarande skrivningar återfinns i brevet. </w:t>
      </w:r>
    </w:p>
    <w:p w:rsidR="00252869" w:rsidRPr="001B4EC1" w:rsidRDefault="00252869">
      <w:pPr>
        <w:pStyle w:val="CitatIndrag"/>
      </w:pPr>
      <w:r w:rsidRPr="001B4EC1">
        <w:t xml:space="preserve">Det finns således ingen grund för påståendet att utrikesministern/UD ”förde EU-nämnden bakom ljuset”. </w:t>
      </w:r>
    </w:p>
    <w:p w:rsidR="00252869" w:rsidRPr="001B4EC1" w:rsidRDefault="00252869">
      <w:r w:rsidRPr="001B4EC1">
        <w:t xml:space="preserve">Hanteringen av utrikesministerbrevet berördes också vid utskottets utfrågning den 20 april 2004 med statsminister Göran Persson. </w:t>
      </w:r>
    </w:p>
    <w:p w:rsidR="00252869" w:rsidRPr="001B4EC1" w:rsidRDefault="00252869">
      <w:pPr>
        <w:pStyle w:val="Rubrik3"/>
        <w:rPr>
          <w:noProof w:val="0"/>
        </w:rPr>
      </w:pPr>
      <w:bookmarkStart w:id="48" w:name="_Toc72648479"/>
      <w:r w:rsidRPr="001B4EC1">
        <w:rPr>
          <w:noProof w:val="0"/>
        </w:rPr>
        <w:t>Ärendet såvitt avser statsråds agerande under 2003 i frågan om en europeisk säker</w:t>
      </w:r>
      <w:r w:rsidRPr="001B4EC1">
        <w:rPr>
          <w:noProof w:val="0"/>
        </w:rPr>
        <w:softHyphen/>
        <w:t>hets</w:t>
      </w:r>
      <w:r w:rsidRPr="001B4EC1">
        <w:rPr>
          <w:noProof w:val="0"/>
        </w:rPr>
        <w:softHyphen/>
        <w:t>strategi</w:t>
      </w:r>
      <w:bookmarkEnd w:id="48"/>
    </w:p>
    <w:p w:rsidR="00252869" w:rsidRPr="001B4EC1" w:rsidRDefault="00252869">
      <w:r w:rsidRPr="001B4EC1">
        <w:t xml:space="preserve">Utskottet har begärt kommentarer till de i anmälan lämnade uppgifterna och en redovisning av de händelser som anmälan avser. Svar har lämnats genom en inom Regeringskansliet den 9 mars 2004 upprättad promemoria. </w:t>
      </w:r>
    </w:p>
    <w:p w:rsidR="00252869" w:rsidRPr="001B4EC1" w:rsidRDefault="00252869">
      <w:pPr>
        <w:pStyle w:val="Normaltindrag"/>
      </w:pPr>
      <w:r w:rsidRPr="001B4EC1">
        <w:t>I svaret redogörs inledningsvis för ansvarsfördelningen mellan Utrikesd</w:t>
      </w:r>
      <w:r w:rsidRPr="001B4EC1">
        <w:t>e</w:t>
      </w:r>
      <w:r w:rsidRPr="001B4EC1">
        <w:t>partementet och Försvarsdepartementet. Av redogörelsen framgår att Utrike</w:t>
      </w:r>
      <w:r w:rsidRPr="001B4EC1">
        <w:t>s</w:t>
      </w:r>
      <w:r w:rsidRPr="001B4EC1">
        <w:t>departementet tillsammans med utlandsmyndigheterna ansvarar för Sveriges förbindelser med andra länder, att på Utrikesdepartementet formuleras också de handlingsalternativ som ligger till grund för regeringens ställningstaganden i utrikespolitiska frågor, och det framhålls att Utrikesdepartementet varit sammanhållande inom Regeringskansliet vid beredningen av EU:s säkerhet</w:t>
      </w:r>
      <w:r w:rsidRPr="001B4EC1">
        <w:t>s</w:t>
      </w:r>
      <w:r w:rsidRPr="001B4EC1">
        <w:t xml:space="preserve">strategi. </w:t>
      </w:r>
    </w:p>
    <w:p w:rsidR="00252869" w:rsidRPr="001B4EC1" w:rsidRDefault="00252869">
      <w:pPr>
        <w:pStyle w:val="Normaltindrag"/>
      </w:pPr>
      <w:r w:rsidRPr="001B4EC1">
        <w:t>Om bakgrunden till EU:s säkerhetsstrategi sägs föl</w:t>
      </w:r>
      <w:r w:rsidRPr="001B4EC1">
        <w:t xml:space="preserve">jande. </w:t>
      </w:r>
    </w:p>
    <w:p w:rsidR="00252869" w:rsidRPr="001B4EC1" w:rsidRDefault="00252869">
      <w:pPr>
        <w:pStyle w:val="Citat"/>
        <w:spacing w:before="125"/>
      </w:pPr>
      <w:r w:rsidRPr="001B4EC1">
        <w:t>På förslag från bl.a. Tyskland gavs generalsekreteraren/höge represe</w:t>
      </w:r>
      <w:r w:rsidRPr="001B4EC1">
        <w:t>n</w:t>
      </w:r>
      <w:r w:rsidRPr="001B4EC1">
        <w:t>tanten Solana vid det informella utrikesministermötet den 2–3 maj 2003 i uppdrag att utarbeta ett första diskussionsunderlag med en analys av de strategiska hoten mot EU. Ett första utkast till rapporten presenterades och diskuterades vid Europeiska rådets möte i Thessaloniki den 19–20 juni. Utkastet offentliggjordes. Generalsekreteraren/höge representanten uppdrogs att fortsätta arbetet i syfte att presentera en EU:s säkerhetsstr</w:t>
      </w:r>
      <w:r w:rsidRPr="001B4EC1">
        <w:t>a</w:t>
      </w:r>
      <w:r w:rsidRPr="001B4EC1">
        <w:t>tegi för GAERC inför ett antagande av Europeiska rådet i december 2003. Gene</w:t>
      </w:r>
      <w:r w:rsidRPr="001B4EC1">
        <w:t>ralsekreteraren/höge representanten efterlyste medlemsstate</w:t>
      </w:r>
      <w:r w:rsidRPr="001B4EC1">
        <w:t>r</w:t>
      </w:r>
      <w:r w:rsidRPr="001B4EC1">
        <w:t>nas skriftliga kommentarer i samband med ett möte med ambassadörerna i KUSP den 3 juli och i samband med de politiska direktörernas möte 3–4 juli. Tre seminarier hölls i Rom, Paris och Stockholm under septe</w:t>
      </w:r>
      <w:r w:rsidRPr="001B4EC1">
        <w:t>m</w:t>
      </w:r>
      <w:r w:rsidRPr="001B4EC1">
        <w:t>ber/oktober månad för att skapa möjlighet för en öppen och offentlig d</w:t>
      </w:r>
      <w:r w:rsidRPr="001B4EC1">
        <w:t>e</w:t>
      </w:r>
      <w:r w:rsidRPr="001B4EC1">
        <w:t>batt med brett deltagande om säkerhetsstrategin. Diskussioner kring u</w:t>
      </w:r>
      <w:r w:rsidRPr="001B4EC1">
        <w:t>t</w:t>
      </w:r>
      <w:r w:rsidRPr="001B4EC1">
        <w:t>kastet till säkerhetsstrategi fördes under hösten av utrikesministrarna dels i GAERC och dels informellt</w:t>
      </w:r>
      <w:r w:rsidRPr="001B4EC1">
        <w:t xml:space="preserve">, av de politiska direktörerna och i KUSP. </w:t>
      </w:r>
    </w:p>
    <w:p w:rsidR="00252869" w:rsidRPr="001B4EC1" w:rsidRDefault="00252869">
      <w:r w:rsidRPr="001B4EC1">
        <w:t>Vidare redogörs för samråd i EU-nämnden och information till utrikesutsko</w:t>
      </w:r>
      <w:r w:rsidRPr="001B4EC1">
        <w:t>t</w:t>
      </w:r>
      <w:r w:rsidRPr="001B4EC1">
        <w:t xml:space="preserve">tet. Följande anförs. </w:t>
      </w:r>
    </w:p>
    <w:p w:rsidR="00252869" w:rsidRPr="001B4EC1" w:rsidRDefault="00252869">
      <w:pPr>
        <w:pStyle w:val="Citat"/>
        <w:spacing w:before="125"/>
      </w:pPr>
      <w:r w:rsidRPr="001B4EC1">
        <w:t>Regeringen erbjöd generalsekreteraren/höge representanten och det ital</w:t>
      </w:r>
      <w:r w:rsidRPr="001B4EC1">
        <w:t>i</w:t>
      </w:r>
      <w:r w:rsidRPr="001B4EC1">
        <w:t xml:space="preserve">enska ordförandeskapet möjligheten till ett seminarium i Stockholm. Till seminariet, som arrangerades i Utrikespolitiska institutets regi den 20 oktober, inbjöds även utrikesutskottets ordförande och vice ordförande. </w:t>
      </w:r>
    </w:p>
    <w:p w:rsidR="00252869" w:rsidRPr="001B4EC1" w:rsidRDefault="00252869">
      <w:pPr>
        <w:pStyle w:val="CitatIndrag"/>
      </w:pPr>
      <w:r w:rsidRPr="001B4EC1">
        <w:t>Svenska skriftliga kommentarer på utkastet till säkerhetsstrategi överlämnades till rådssekretariatet och övriga medlemsstater den 18 juli efter en gemensam beredning inom Regeringskansliet. Det benämndes non-paper. Längre fram i processen användes en sammanfattande version i kontakter med rå</w:t>
      </w:r>
      <w:r w:rsidRPr="001B4EC1">
        <w:t>dssekretariatet. Något annat papper har inte överlä</w:t>
      </w:r>
      <w:r w:rsidRPr="001B4EC1">
        <w:t>m</w:t>
      </w:r>
      <w:r w:rsidRPr="001B4EC1">
        <w:t>nats. De skriftliga kommentarer som lämnades redogjorde för redan et</w:t>
      </w:r>
      <w:r w:rsidRPr="001B4EC1">
        <w:t>a</w:t>
      </w:r>
      <w:r w:rsidRPr="001B4EC1">
        <w:t>blerade svenska ståndpunkter inom ramen för vår politik inom EU:s g</w:t>
      </w:r>
      <w:r w:rsidRPr="001B4EC1">
        <w:t>e</w:t>
      </w:r>
      <w:r w:rsidRPr="001B4EC1">
        <w:t>mensamma utrikes- och säkerhetspolitik. Inför mötet i nämnden den 14 november överlämnade Regeringskansliet de svenska skriftliga ko</w:t>
      </w:r>
      <w:r w:rsidRPr="001B4EC1">
        <w:t>m</w:t>
      </w:r>
      <w:r w:rsidRPr="001B4EC1">
        <w:t xml:space="preserve">mentarerna till EU-nämnden. </w:t>
      </w:r>
    </w:p>
    <w:p w:rsidR="00252869" w:rsidRPr="001B4EC1" w:rsidRDefault="00252869">
      <w:pPr>
        <w:pStyle w:val="CitatIndrag"/>
      </w:pPr>
      <w:r w:rsidRPr="001B4EC1">
        <w:t>EU-nämnden har informerats om arbetet med säkerhetsstrategin av b</w:t>
      </w:r>
      <w:r w:rsidRPr="001B4EC1">
        <w:t>i</w:t>
      </w:r>
      <w:r w:rsidRPr="001B4EC1">
        <w:t>ståndsministern inför GAERC den 16 maj och den 12 juni; av statsm</w:t>
      </w:r>
      <w:r w:rsidRPr="001B4EC1">
        <w:t>i</w:t>
      </w:r>
      <w:r w:rsidRPr="001B4EC1">
        <w:t>nistern den 18 juni inför Europeiska rådets möte i Thessaloniki; av kab</w:t>
      </w:r>
      <w:r w:rsidRPr="001B4EC1">
        <w:t>i</w:t>
      </w:r>
      <w:r w:rsidRPr="001B4EC1">
        <w:t>nettssekreteraren den 18 juli inför GAERC; av utrikesministern den 4 september inför det informella utrikesministermötet; av utrikesministern den 14 november och den 5 december inför GAERC. En reviderad ve</w:t>
      </w:r>
      <w:r w:rsidRPr="001B4EC1">
        <w:t>r</w:t>
      </w:r>
      <w:r w:rsidRPr="001B4EC1">
        <w:t>sion av säkerhetsstrategin delgavs EU-nämnden efter GAERC den 17 november. Statsministern och utrikesministern höll samråd med EU-nämnden inför antagandet av EU:s säke</w:t>
      </w:r>
      <w:r w:rsidRPr="001B4EC1">
        <w:t xml:space="preserve">rhetsstrategi den 11 december. </w:t>
      </w:r>
    </w:p>
    <w:p w:rsidR="00252869" w:rsidRPr="001B4EC1" w:rsidRDefault="00252869">
      <w:pPr>
        <w:pStyle w:val="CitatIndrag"/>
      </w:pPr>
      <w:r w:rsidRPr="001B4EC1">
        <w:t>I tillägg till dessa samråd med EU-nämnden redovisade Regering</w:t>
      </w:r>
      <w:r w:rsidRPr="001B4EC1">
        <w:t>s</w:t>
      </w:r>
      <w:r w:rsidRPr="001B4EC1">
        <w:t>kansliet (Utrikesdepartementet) inför utrikesutskottet vid tre tillfällen a</w:t>
      </w:r>
      <w:r w:rsidRPr="001B4EC1">
        <w:t>r</w:t>
      </w:r>
      <w:r w:rsidRPr="001B4EC1">
        <w:t>betet med EU:s säkerhetsstrategi (28 oktober, 25 november och 4 dece</w:t>
      </w:r>
      <w:r w:rsidRPr="001B4EC1">
        <w:t>m</w:t>
      </w:r>
      <w:r w:rsidRPr="001B4EC1">
        <w:t>ber). I samband med dessa föredragningar distribuerades aktuella versi</w:t>
      </w:r>
      <w:r w:rsidRPr="001B4EC1">
        <w:t>o</w:t>
      </w:r>
      <w:r w:rsidRPr="001B4EC1">
        <w:t xml:space="preserve">ner av utkast till säkerhetsstrategin. </w:t>
      </w:r>
    </w:p>
    <w:p w:rsidR="00252869" w:rsidRPr="001B4EC1" w:rsidRDefault="00252869">
      <w:pPr>
        <w:pStyle w:val="CitatIndrag"/>
      </w:pPr>
      <w:r w:rsidRPr="001B4EC1">
        <w:t>Inför EU:s formella försvarsministermöten underrättas EU-nämnden om frågorna på dagordningen. Säkerhetsstrategin har inte förekommit på dagordningen vid EU:s informella eller formella försvarsministermöten (inom ramen för GAERC – rådet för allmänna och yt</w:t>
      </w:r>
      <w:r w:rsidRPr="001B4EC1">
        <w:t xml:space="preserve">tre förbindelser) den 3–4 oktober respektive 17 november 2003. Vid EU-nämndens möte den 14 november 2003 inför det formella försvarsministermötet framförde dock försvarsminister Björklund: </w:t>
      </w:r>
    </w:p>
    <w:p w:rsidR="00252869" w:rsidRPr="001B4EC1" w:rsidRDefault="00252869">
      <w:pPr>
        <w:pStyle w:val="CitatIndrag"/>
      </w:pPr>
      <w:r w:rsidRPr="001B4EC1">
        <w:t>”Sedan förväntas rådet ge direktiv för arbetet med att ta fram nya m</w:t>
      </w:r>
      <w:r w:rsidRPr="001B4EC1">
        <w:t>i</w:t>
      </w:r>
      <w:r w:rsidRPr="001B4EC1">
        <w:t>litära förmågemål efter 2003 och uppdra åt KUSP att ta fram förslag till Europeiska rådet för juni 2004. Det finns anledning att nu börja titta ba</w:t>
      </w:r>
      <w:r w:rsidRPr="001B4EC1">
        <w:t>k</w:t>
      </w:r>
      <w:r w:rsidRPr="001B4EC1">
        <w:t>om målet som sattes i Helsingfors och som räcker till årets slut. En ny process skulle sträcka sig till 2010, har man tänkt, och bör utarbetas på grundval av det nya fördraget. Det finns också andra relevanta dokument, till exempel EU:s säkerhetsstrategi, som ska beaktas i arbetet. Detta talar för en process som inte kan inledas på allvar förrän under det irländ</w:t>
      </w:r>
      <w:r w:rsidRPr="001B4EC1">
        <w:t>ska ordförandeskapet”. (EU-nämndens protokoll 2003/04:10 den 14 nove</w:t>
      </w:r>
      <w:r w:rsidRPr="001B4EC1">
        <w:t>m</w:t>
      </w:r>
      <w:r w:rsidRPr="001B4EC1">
        <w:t xml:space="preserve">ber 2003). </w:t>
      </w:r>
    </w:p>
    <w:p w:rsidR="00252869" w:rsidRPr="001B4EC1" w:rsidRDefault="00252869">
      <w:r w:rsidRPr="001B4EC1">
        <w:t xml:space="preserve">Det non-paper som nämns i promemorian finns intaget som </w:t>
      </w:r>
      <w:r w:rsidRPr="001B4EC1">
        <w:rPr>
          <w:i/>
        </w:rPr>
        <w:t>bilaga A 1.6.6</w:t>
      </w:r>
      <w:r w:rsidRPr="001B4EC1">
        <w:t>.</w:t>
      </w:r>
    </w:p>
    <w:p w:rsidR="00252869" w:rsidRPr="001B4EC1" w:rsidRDefault="00252869">
      <w:r w:rsidRPr="001B4EC1">
        <w:t xml:space="preserve">Även hanteringen av säkerhetsstrategin berördes vid utskottets utfrågning den 20 april 2004 med statsminister Göran Persson. </w:t>
      </w:r>
    </w:p>
    <w:p w:rsidR="00252869" w:rsidRPr="001B4EC1" w:rsidRDefault="00252869">
      <w:pPr>
        <w:pStyle w:val="Rubrik3"/>
        <w:rPr>
          <w:noProof w:val="0"/>
        </w:rPr>
      </w:pPr>
      <w:bookmarkStart w:id="49" w:name="_Toc72648480"/>
      <w:r w:rsidRPr="001B4EC1">
        <w:rPr>
          <w:noProof w:val="0"/>
        </w:rPr>
        <w:t>Ärendet såvitt avser finansminister Bosse Ringholms agerande i fråga om ett förslag till regeringskonferensen från EU:s finans</w:t>
      </w:r>
      <w:r w:rsidRPr="001B4EC1">
        <w:rPr>
          <w:noProof w:val="0"/>
        </w:rPr>
        <w:softHyphen/>
        <w:t>ministrar</w:t>
      </w:r>
      <w:bookmarkEnd w:id="49"/>
      <w:r w:rsidRPr="001B4EC1">
        <w:rPr>
          <w:noProof w:val="0"/>
        </w:rPr>
        <w:t xml:space="preserve"> </w:t>
      </w:r>
    </w:p>
    <w:p w:rsidR="00252869" w:rsidRPr="001B4EC1" w:rsidRDefault="00252869">
      <w:pPr>
        <w:pStyle w:val="R4"/>
      </w:pPr>
      <w:r w:rsidRPr="001B4EC1">
        <w:t xml:space="preserve">Textförslag för ett konstitutionellt fördrag </w:t>
      </w:r>
    </w:p>
    <w:p w:rsidR="00252869" w:rsidRPr="001B4EC1" w:rsidRDefault="00252869">
      <w:r w:rsidRPr="001B4EC1">
        <w:t>I Framtidskonventets förslag till konstitutionellt fördrag för EU avser avde</w:t>
      </w:r>
      <w:r w:rsidRPr="001B4EC1">
        <w:t>l</w:t>
      </w:r>
      <w:r w:rsidRPr="001B4EC1">
        <w:t xml:space="preserve">ning VII i del I unionens finanser. Artiklarna I-52–55 avser budgetmässiga och finansiella principer, unionens medel, den fleråriga finansieringsramen samt unionens budget. </w:t>
      </w:r>
    </w:p>
    <w:p w:rsidR="00252869" w:rsidRPr="001B4EC1" w:rsidRDefault="00252869">
      <w:pPr>
        <w:pStyle w:val="Normaltindrag"/>
      </w:pPr>
      <w:r w:rsidRPr="001B4EC1">
        <w:t>Konventet föreslår förändringar av beslutsproceduren om EU-budgetens inkomstsida, dvs. hur medlemsstaternas avgifter till budgeten</w:t>
      </w:r>
      <w:r w:rsidRPr="001B4EC1">
        <w:rPr>
          <w:snapToGrid w:val="0"/>
        </w:rPr>
        <w:t xml:space="preserve"> skall</w:t>
      </w:r>
      <w:r w:rsidRPr="001B4EC1">
        <w:t xml:space="preserve"> fastställas. Beslutet om vilka kriterier som skall gälla för att fastställa respektive me</w:t>
      </w:r>
      <w:r w:rsidRPr="001B4EC1">
        <w:t>d</w:t>
      </w:r>
      <w:r w:rsidRPr="001B4EC1">
        <w:t>lemsstats avgift skall till väsentliga delar fattas av rådet med kvalificerad majoritet efter godkännande från parla</w:t>
      </w:r>
      <w:r w:rsidRPr="001B4EC1">
        <w:softHyphen/>
        <w:t>mentet, i stället för som i dag då rådet fattar detta beslut med enhällighet efter att ha hört Europa</w:t>
      </w:r>
      <w:r w:rsidRPr="001B4EC1">
        <w:softHyphen/>
        <w:t>parlamentet. Det totala taket för EU:s inkomster samt införande av nya inkomstkategorier skall dock även fortsättningsvis beslutas av rådet med enhällighet efter att ha hört Europaparlame</w:t>
      </w:r>
      <w:r w:rsidRPr="001B4EC1">
        <w:t>n</w:t>
      </w:r>
      <w:r w:rsidRPr="001B4EC1">
        <w:t>tet.</w:t>
      </w:r>
    </w:p>
    <w:p w:rsidR="00252869" w:rsidRPr="001B4EC1" w:rsidRDefault="00252869">
      <w:pPr>
        <w:pStyle w:val="Normaltindrag"/>
      </w:pPr>
      <w:r w:rsidRPr="001B4EC1">
        <w:t>För</w:t>
      </w:r>
      <w:r w:rsidRPr="001B4EC1">
        <w:t xml:space="preserve"> arbetet med unionens budget finns i dag ett antal grundläggande pri</w:t>
      </w:r>
      <w:r w:rsidRPr="001B4EC1">
        <w:t>n</w:t>
      </w:r>
      <w:r w:rsidRPr="001B4EC1">
        <w:t>ciper, bl.a. om att budgeten skall vara i ba</w:t>
      </w:r>
      <w:r w:rsidRPr="001B4EC1">
        <w:softHyphen/>
        <w:t>lans, att den skall innehålla uni</w:t>
      </w:r>
      <w:r w:rsidRPr="001B4EC1">
        <w:t>o</w:t>
      </w:r>
      <w:r w:rsidRPr="001B4EC1">
        <w:t>nens samtliga inkomster och ut</w:t>
      </w:r>
      <w:r w:rsidRPr="001B4EC1">
        <w:softHyphen/>
        <w:t>gifter och att den skall genomföras i enlighet med sund ekonomisk förvaltning. Principerna regleras dels i fördraget, dels i sekundärlagstiftning. Konventet föreslår att flera av dessa principer skall samlas i en särskild artikel i det konstitutionella fördr</w:t>
      </w:r>
      <w:r w:rsidRPr="001B4EC1">
        <w:t>a</w:t>
      </w:r>
      <w:r w:rsidRPr="001B4EC1">
        <w:t>get.</w:t>
      </w:r>
    </w:p>
    <w:p w:rsidR="00252869" w:rsidRPr="001B4EC1" w:rsidRDefault="00252869">
      <w:pPr>
        <w:pStyle w:val="Normaltindrag"/>
      </w:pPr>
      <w:r w:rsidRPr="001B4EC1">
        <w:t>Konventet föreslår vidare att det s.k. finansiella perspektivet, dvs.</w:t>
      </w:r>
      <w:r w:rsidRPr="001B4EC1">
        <w:t xml:space="preserve"> de fle</w:t>
      </w:r>
      <w:r w:rsidRPr="001B4EC1">
        <w:t>r</w:t>
      </w:r>
      <w:r w:rsidRPr="001B4EC1">
        <w:t>åriga taken för olika typer av utgifter i EU:s budget, skall ges en rättslig grund i det konstitutionella fördraget. Det finansiella perspektivet skall innehålla årliga tak för olika typer av utgifter och gälla för en period på minst fem år. I dag regl</w:t>
      </w:r>
      <w:r w:rsidRPr="001B4EC1">
        <w:t>e</w:t>
      </w:r>
      <w:r w:rsidRPr="001B4EC1">
        <w:t>ras det finansiella perspektivet i ett särskilt avtal mellan Europa</w:t>
      </w:r>
      <w:r w:rsidRPr="001B4EC1">
        <w:softHyphen/>
        <w:t>parlamentet och rådet. Enligt kon</w:t>
      </w:r>
      <w:r w:rsidRPr="001B4EC1">
        <w:softHyphen/>
        <w:t>ventet bör det finansiella perspektivet fas</w:t>
      </w:r>
      <w:r w:rsidRPr="001B4EC1">
        <w:t>t</w:t>
      </w:r>
      <w:r w:rsidRPr="001B4EC1">
        <w:t>ställas av rådet med kva</w:t>
      </w:r>
      <w:r w:rsidRPr="001B4EC1">
        <w:softHyphen/>
        <w:t>lificerad majoritet efter godkännande från Europ</w:t>
      </w:r>
      <w:r w:rsidRPr="001B4EC1">
        <w:t>a</w:t>
      </w:r>
      <w:r w:rsidRPr="001B4EC1">
        <w:t xml:space="preserve">parlamentet. </w:t>
      </w:r>
    </w:p>
    <w:p w:rsidR="00252869" w:rsidRPr="001B4EC1" w:rsidRDefault="00252869">
      <w:pPr>
        <w:pStyle w:val="Normaltindrag"/>
      </w:pPr>
      <w:r w:rsidRPr="001B4EC1">
        <w:t>I den årliga budg</w:t>
      </w:r>
      <w:r w:rsidRPr="001B4EC1">
        <w:t>etprocessen har i dag rådet sista ordet om jordbruksutgi</w:t>
      </w:r>
      <w:r w:rsidRPr="001B4EC1">
        <w:t>f</w:t>
      </w:r>
      <w:r w:rsidRPr="001B4EC1">
        <w:t>terna, medan parlamentet har den slutliga makten beträf</w:t>
      </w:r>
      <w:r w:rsidRPr="001B4EC1">
        <w:softHyphen/>
        <w:t>fande övriga utgifter. Således gäller olika besluts</w:t>
      </w:r>
      <w:r w:rsidRPr="001B4EC1">
        <w:softHyphen/>
        <w:t>regler för de respektive institutionerna beroende på vilken typ av utgifter det är fråga om. Konventet föreslår att en och samma beslutsprocedur, en slags förenklad medbeslutandeprocedur, skall gälla för hela årsbudgeten, inklusive jordbruksutgifterna. Förslaget innebär att uppde</w:t>
      </w:r>
      <w:r w:rsidRPr="001B4EC1">
        <w:t>l</w:t>
      </w:r>
      <w:r w:rsidRPr="001B4EC1">
        <w:t>ningen av olika typer av utgifter, obligatoriska respektive icke o</w:t>
      </w:r>
      <w:r w:rsidRPr="001B4EC1">
        <w:t>bligatoriska, försvinner. Grundläggande i förslaget är att budgetmakten även fortsättning</w:t>
      </w:r>
      <w:r w:rsidRPr="001B4EC1">
        <w:t>s</w:t>
      </w:r>
      <w:r w:rsidRPr="001B4EC1">
        <w:t>vis skall vara delad mellan rådet och parlamen</w:t>
      </w:r>
      <w:r w:rsidRPr="001B4EC1">
        <w:softHyphen/>
        <w:t>tet. Processen förenklas så att institutionerna genomför en läsning var av kommissionens budgetförslag, jämfört med två läsningar i dag. Kommer de två institutionerna inte överens, skall parlamentet enligt konventets förslag med en majoritet av ledamöterna och tre femtedelar av de avgivna rösterna kunna avvisa rådets ändringsförslag och fatta beslut om budg</w:t>
      </w:r>
      <w:r w:rsidRPr="001B4EC1">
        <w:t>e</w:t>
      </w:r>
      <w:r w:rsidRPr="001B4EC1">
        <w:t xml:space="preserve">ten. </w:t>
      </w:r>
    </w:p>
    <w:p w:rsidR="00252869" w:rsidRPr="001B4EC1" w:rsidRDefault="00252869">
      <w:pPr>
        <w:pStyle w:val="R4"/>
      </w:pPr>
      <w:r w:rsidRPr="001B4EC1">
        <w:t xml:space="preserve">Samråd i </w:t>
      </w:r>
      <w:r w:rsidRPr="001B4EC1">
        <w:t xml:space="preserve">EU-nämnden </w:t>
      </w:r>
    </w:p>
    <w:p w:rsidR="00252869" w:rsidRPr="001B4EC1" w:rsidRDefault="00252869">
      <w:r w:rsidRPr="001B4EC1">
        <w:t>Vid EU-nämndens sammanträde den 4 september 2003</w:t>
      </w:r>
      <w:r w:rsidRPr="001B4EC1">
        <w:rPr>
          <w:rStyle w:val="Fotnotsreferens"/>
        </w:rPr>
        <w:footnoteReference w:id="30"/>
      </w:r>
      <w:r w:rsidRPr="001B4EC1">
        <w:t xml:space="preserve"> hölls information och samråd inför informellt ministermöte (Ekofin) den 12–13 september. I ministerrådspromemorian över dagordningen vid Ekofinmötet fanns en punkt ”Fördragsfrågor rörande EMU och budgetfrågor”. </w:t>
      </w:r>
    </w:p>
    <w:p w:rsidR="00252869" w:rsidRPr="001B4EC1" w:rsidRDefault="00252869">
      <w:pPr>
        <w:pStyle w:val="Normaltindrag"/>
      </w:pPr>
      <w:r w:rsidRPr="001B4EC1">
        <w:t>Under punkten angavs att en diskussion var planerad om EMU- och bu</w:t>
      </w:r>
      <w:r w:rsidRPr="001B4EC1">
        <w:t>d</w:t>
      </w:r>
      <w:r w:rsidRPr="001B4EC1">
        <w:t>getfrågor inför regeringskonferensen mot bakgrund av konventets slutrapport och att diskussionen syftade till ett informationsutbyte inför regeringskonf</w:t>
      </w:r>
      <w:r w:rsidRPr="001B4EC1">
        <w:t>e</w:t>
      </w:r>
      <w:r w:rsidRPr="001B4EC1">
        <w:t>rensen som skulle starta den 4 oktober. Vidare angavs att Ekofin och EFK (Ekonomiska och finansiella kommittén) vid ett par tillfällen diskuterat EMU-relaterade artiklar. Det kunde enligt promemorian noteras att det i Ekofinkre</w:t>
      </w:r>
      <w:r w:rsidRPr="001B4EC1">
        <w:t>t</w:t>
      </w:r>
      <w:r w:rsidRPr="001B4EC1">
        <w:t>sen fanns en samsyn om att regelverket för ekonomisk-politisk samordning i grunden var bra och att medlemsstaterna också tyckte de</w:t>
      </w:r>
      <w:r w:rsidRPr="001B4EC1">
        <w:t>t var positivt att det finansiella perspektivet fördragsfästes och ville säkerställa rådets inflytande över budgeten. Från svensk sida hade vi dittills enligt promemorian deltagit i ett informationsutbyte men samtidigt klargjort att inga slutgiltiga ställningst</w:t>
      </w:r>
      <w:r w:rsidRPr="001B4EC1">
        <w:t>a</w:t>
      </w:r>
      <w:r w:rsidRPr="001B4EC1">
        <w:t>ganden kunde tas förrän processen med riksdagen var avslutad. Resultatet av diskussionerna skulle födas in via respektive regeringsrepresentant i rege</w:t>
      </w:r>
      <w:r w:rsidRPr="001B4EC1">
        <w:t>r</w:t>
      </w:r>
      <w:r w:rsidRPr="001B4EC1">
        <w:t xml:space="preserve">ingskonferensen. </w:t>
      </w:r>
    </w:p>
    <w:p w:rsidR="00252869" w:rsidRPr="001B4EC1" w:rsidRDefault="00252869">
      <w:pPr>
        <w:pStyle w:val="Normaltindrag"/>
      </w:pPr>
      <w:r w:rsidRPr="001B4EC1">
        <w:t>Finansministern nämnde vid EU-nämndens sammanträde  att ministrarna vid mötet sku</w:t>
      </w:r>
      <w:r w:rsidRPr="001B4EC1">
        <w:t>lle diskutera konventets slutrapport inför regeringskonferensen. De flesta länder hade, liksom Sverige, inte förankrat sina ställningstaganden till fördragsutkastet, utan det handlade enligt finansministern i huvudsak om ett informationsutbyte. Han påminde om att det var fråga om ett informellt möte, att det inte skulle vara några ställningstaganden och inte heller några svenska positioner. I första hand handlade det naturligtvis om det som rör budgetområdet och EMU-artiklarna, och när det gällde EMU var de</w:t>
      </w:r>
      <w:r w:rsidRPr="001B4EC1">
        <w:t xml:space="preserve">t inga stora genomgripande förändringar. </w:t>
      </w:r>
    </w:p>
    <w:p w:rsidR="00252869" w:rsidRPr="001B4EC1" w:rsidRDefault="00252869">
      <w:pPr>
        <w:pStyle w:val="Normaltindrag"/>
      </w:pPr>
      <w:r w:rsidRPr="001B4EC1">
        <w:t>Olika ledamöter i nämnden undrade över vad informationsutbytet skulle avse. Finansministern erinrade om att Sverige ännu inte hade några fastställda positioner och detta skulle markeras. Det hindrade dock inte att Sverige skulle delta i den analys som skedde. Framför allt länderna i eurogruppen hade tagit positioner, och finansministern ansåg det klart att om tolv länder i eurogru</w:t>
      </w:r>
      <w:r w:rsidRPr="001B4EC1">
        <w:t>p</w:t>
      </w:r>
      <w:r w:rsidRPr="001B4EC1">
        <w:t>pen diskuterar har det stor betydelse. Sverige ville veta hur de hade resonerat och de bakomliggande motiven samt få delta i diskussionen och analysen. Man skulle enligt finansministern vara medveten om att det informella sa</w:t>
      </w:r>
      <w:r w:rsidRPr="001B4EC1">
        <w:t>m</w:t>
      </w:r>
      <w:r w:rsidRPr="001B4EC1">
        <w:t xml:space="preserve">råd som sker i eurogruppen vid många av tillfällena flyttas över, kanske i form av en gemensam position från de tolv euroländerna, när ärenden sedan mer formellt hanteras i olika Ekofinsammanhang. Det kunde också gälla den aktuella typen av fördragsfrågor. </w:t>
      </w:r>
    </w:p>
    <w:p w:rsidR="00252869" w:rsidRPr="001B4EC1" w:rsidRDefault="00252869">
      <w:pPr>
        <w:pStyle w:val="Normaltindrag"/>
      </w:pPr>
      <w:r w:rsidRPr="001B4EC1">
        <w:t>Från ledamöter i nämnden bet</w:t>
      </w:r>
      <w:r w:rsidRPr="001B4EC1">
        <w:t xml:space="preserve">onades att de svenska positionerna ännu inte var fastlagda. </w:t>
      </w:r>
    </w:p>
    <w:p w:rsidR="00252869" w:rsidRPr="001B4EC1" w:rsidRDefault="00252869">
      <w:pPr>
        <w:pStyle w:val="Normaltindrag"/>
      </w:pPr>
      <w:r w:rsidRPr="001B4EC1">
        <w:t xml:space="preserve">Någon sammanfattning av informationen och samrådet gjordes inte vid sammanträdet. </w:t>
      </w:r>
    </w:p>
    <w:p w:rsidR="00252869" w:rsidRPr="001B4EC1" w:rsidRDefault="00252869">
      <w:pPr>
        <w:pStyle w:val="Normaltindrag"/>
      </w:pPr>
      <w:r w:rsidRPr="001B4EC1">
        <w:t>I en återrapport den 16 september 2003 från Ekofinmötet i Stresa redov</w:t>
      </w:r>
      <w:r w:rsidRPr="001B4EC1">
        <w:t>i</w:t>
      </w:r>
      <w:r w:rsidRPr="001B4EC1">
        <w:t>sades följande under r</w:t>
      </w:r>
      <w:r w:rsidRPr="001B4EC1">
        <w:t>u</w:t>
      </w:r>
      <w:r w:rsidRPr="001B4EC1">
        <w:t>briken Regeringskonferensen och Ekofin-frågor.</w:t>
      </w:r>
    </w:p>
    <w:p w:rsidR="00252869" w:rsidRPr="001B4EC1" w:rsidRDefault="00252869">
      <w:pPr>
        <w:pStyle w:val="Citat"/>
        <w:spacing w:before="125"/>
      </w:pPr>
      <w:r w:rsidRPr="001B4EC1">
        <w:t xml:space="preserve">Ordföranden i Ekonomiska och finansiella kommittén (EFK), </w:t>
      </w:r>
      <w:r w:rsidRPr="001B4EC1">
        <w:rPr>
          <w:u w:val="single"/>
        </w:rPr>
        <w:t>Koch-Weser</w:t>
      </w:r>
      <w:r w:rsidRPr="001B4EC1">
        <w:t>, redovisade de områden i konventets förslag som berörde Ekofin-rådet; d.v.s. EMU-avsnittet och vissa budgetfrågor.  Några länder (D, F, DK och IT) deklarerade att man önskade undvika en förnyad diskussion om innehållet i konventets förslag. En del andra länder, bland dem Sver</w:t>
      </w:r>
      <w:r w:rsidRPr="001B4EC1">
        <w:t>i</w:t>
      </w:r>
      <w:r w:rsidRPr="001B4EC1">
        <w:t>ge, klargjorde att det ännu inte fanns fastlagda positioner inför regering</w:t>
      </w:r>
      <w:r w:rsidRPr="001B4EC1">
        <w:t>s</w:t>
      </w:r>
      <w:r w:rsidRPr="001B4EC1">
        <w:t>konferensen eftersom den parlamentariska förankringen ännu inte var a</w:t>
      </w:r>
      <w:r w:rsidRPr="001B4EC1">
        <w:t>v</w:t>
      </w:r>
      <w:r w:rsidRPr="001B4EC1">
        <w:t>slutad. Ingen, utöver ECB, ifrågasatte innehållet i det reflektionspapper som h</w:t>
      </w:r>
      <w:r w:rsidRPr="001B4EC1">
        <w:t>ade delats ut omedelbart inför Stresa-mötet. ECB var emot införa</w:t>
      </w:r>
      <w:r w:rsidRPr="001B4EC1">
        <w:t>n</w:t>
      </w:r>
      <w:r w:rsidRPr="001B4EC1">
        <w:t xml:space="preserve">det av en s.k. </w:t>
      </w:r>
      <w:r w:rsidRPr="001B4EC1">
        <w:rPr>
          <w:i/>
        </w:rPr>
        <w:t>enabling-clause</w:t>
      </w:r>
      <w:r w:rsidRPr="001B4EC1">
        <w:t xml:space="preserve"> för ändringar ECBS-stadgan som bland annat rörde röstningsförfarandet i ECB-rådet. Det var kommissionen som hade lagt in detta i reflektionspapperet efter det att diskussionen i EFK hade avslutats. </w:t>
      </w:r>
      <w:r w:rsidRPr="001B4EC1">
        <w:rPr>
          <w:u w:val="single"/>
        </w:rPr>
        <w:t>Duisenberg</w:t>
      </w:r>
      <w:r w:rsidRPr="001B4EC1">
        <w:t xml:space="preserve"> fick stöd av NL och P, medan vissa andra medlemsstater (bl.a. FIN och IRL) visade sympati för förslaget.</w:t>
      </w:r>
    </w:p>
    <w:p w:rsidR="00252869" w:rsidRPr="001B4EC1" w:rsidRDefault="00252869">
      <w:pPr>
        <w:spacing w:before="187"/>
      </w:pPr>
      <w:r w:rsidRPr="001B4EC1">
        <w:t>Vid EU-nämndens sammanträde den 3 oktober 2003</w:t>
      </w:r>
      <w:r w:rsidRPr="001B4EC1">
        <w:rPr>
          <w:rStyle w:val="Fotnotsreferens"/>
        </w:rPr>
        <w:footnoteReference w:id="31"/>
      </w:r>
      <w:r w:rsidRPr="001B4EC1">
        <w:t xml:space="preserve"> hänvisade finansm</w:t>
      </w:r>
      <w:r w:rsidRPr="001B4EC1">
        <w:t>i</w:t>
      </w:r>
      <w:r w:rsidRPr="001B4EC1">
        <w:t>nistern till återrapporten och förklarade att Stresamötet hade varit odram</w:t>
      </w:r>
      <w:r w:rsidRPr="001B4EC1">
        <w:t>a</w:t>
      </w:r>
      <w:r w:rsidRPr="001B4EC1">
        <w:t xml:space="preserve">tiskt, så han hade inget att tillägga till den. </w:t>
      </w:r>
    </w:p>
    <w:p w:rsidR="00252869" w:rsidRPr="001B4EC1" w:rsidRDefault="00252869">
      <w:pPr>
        <w:pStyle w:val="R4"/>
      </w:pPr>
      <w:r w:rsidRPr="001B4EC1">
        <w:t xml:space="preserve">Ekofinministrarnas ändringsförslag </w:t>
      </w:r>
    </w:p>
    <w:p w:rsidR="00252869" w:rsidRPr="001B4EC1" w:rsidRDefault="00252869">
      <w:pPr>
        <w:pStyle w:val="Normaltindrag"/>
        <w:tabs>
          <w:tab w:val="num" w:pos="587"/>
        </w:tabs>
        <w:ind w:firstLine="0"/>
      </w:pPr>
      <w:r w:rsidRPr="001B4EC1">
        <w:t>Enligt en senare not från ordförandeskapet till delegationerna i regerings</w:t>
      </w:r>
      <w:r w:rsidRPr="001B4EC1">
        <w:softHyphen/>
        <w:t>konferensen</w:t>
      </w:r>
      <w:r w:rsidRPr="001B4EC1">
        <w:rPr>
          <w:rStyle w:val="Fotnotsreferens"/>
        </w:rPr>
        <w:footnoteReference w:id="32"/>
      </w:r>
      <w:r w:rsidRPr="001B4EC1">
        <w:t xml:space="preserve"> hade flera av punkterna om unionens finanser/budget och om ekonomisk och finansiell politik diskuterats av Ekofinministrarna. Många delegationer hade sagt sig kunna godta punkterna i sin helhet, andra deleg</w:t>
      </w:r>
      <w:r w:rsidRPr="001B4EC1">
        <w:t>a</w:t>
      </w:r>
      <w:r w:rsidRPr="001B4EC1">
        <w:t>tioner hade problem med Ekofinrådets initiativ och var inte beredda att godta Ekofinministrarnas hela paket eftersom det skulle kunna undergräva i synne</w:t>
      </w:r>
      <w:r w:rsidRPr="001B4EC1">
        <w:t>r</w:t>
      </w:r>
      <w:r w:rsidRPr="001B4EC1">
        <w:t>het den övergripande instituti</w:t>
      </w:r>
      <w:r w:rsidRPr="001B4EC1">
        <w:t>o</w:t>
      </w:r>
      <w:r w:rsidRPr="001B4EC1">
        <w:t xml:space="preserve">nella jämvikten. </w:t>
      </w:r>
    </w:p>
    <w:p w:rsidR="00252869" w:rsidRPr="001B4EC1" w:rsidRDefault="00252869">
      <w:pPr>
        <w:pStyle w:val="Rubrik3"/>
        <w:rPr>
          <w:noProof w:val="0"/>
        </w:rPr>
      </w:pPr>
      <w:bookmarkStart w:id="50" w:name="_Toc72648481"/>
      <w:r w:rsidRPr="001B4EC1">
        <w:rPr>
          <w:noProof w:val="0"/>
        </w:rPr>
        <w:t>Uppgifter från Regeringskansliet m.m.</w:t>
      </w:r>
      <w:bookmarkEnd w:id="50"/>
    </w:p>
    <w:p w:rsidR="00252869" w:rsidRPr="001B4EC1" w:rsidRDefault="00252869">
      <w:r w:rsidRPr="001B4EC1">
        <w:t>Utskottet har genom en skrivelse begärt kommentarer till de i anmälan lä</w:t>
      </w:r>
      <w:r w:rsidRPr="001B4EC1">
        <w:t>m</w:t>
      </w:r>
      <w:r w:rsidRPr="001B4EC1">
        <w:t xml:space="preserve">nade uppgifterna och en redovisning av de händelser som anmälan avser. Svar har lämnats genom en inom Regeringskansliet den 9 mars 2004 upprättad promemoria. </w:t>
      </w:r>
    </w:p>
    <w:p w:rsidR="00252869" w:rsidRPr="001B4EC1" w:rsidRDefault="00252869">
      <w:pPr>
        <w:pStyle w:val="Normaltindrag"/>
      </w:pPr>
      <w:r w:rsidRPr="001B4EC1">
        <w:t>I svaret framhålls inledningsvis att regeringskonferensen definitionsmä</w:t>
      </w:r>
      <w:r w:rsidRPr="001B4EC1">
        <w:t>s</w:t>
      </w:r>
      <w:r w:rsidRPr="001B4EC1">
        <w:t>sigt är en mellanstatlig förhandling och att vid Europeiska rådets möte i The</w:t>
      </w:r>
      <w:r w:rsidRPr="001B4EC1">
        <w:t>s</w:t>
      </w:r>
      <w:r w:rsidRPr="001B4EC1">
        <w:t>saloniki den 19–20 juni 2003 beslutades att regeringskonferensen skulle ledas av stats- eller regeringscheferna biträdda av medlemmarna i GAERC. Någon roll för rådet som sådant i sina olika sammansättningar förutsågs inte, men detta hade inte hindrat att olika deltagare i rådet diskuterat frågor av geme</w:t>
      </w:r>
      <w:r w:rsidRPr="001B4EC1">
        <w:t>n</w:t>
      </w:r>
      <w:r w:rsidRPr="001B4EC1">
        <w:t xml:space="preserve">samt intresse. </w:t>
      </w:r>
    </w:p>
    <w:p w:rsidR="00252869" w:rsidRPr="001B4EC1" w:rsidRDefault="00252869">
      <w:pPr>
        <w:pStyle w:val="Normaltindrag"/>
      </w:pPr>
      <w:r w:rsidRPr="001B4EC1">
        <w:t>Vidare nämns att det italienska ordförandeskapet i Ekofinrådet tog initiativ till en informell diskussion vid de</w:t>
      </w:r>
      <w:r w:rsidRPr="001B4EC1">
        <w:t>t informella Ekofinmötet i Stresa i septe</w:t>
      </w:r>
      <w:r w:rsidRPr="001B4EC1">
        <w:t>m</w:t>
      </w:r>
      <w:r w:rsidRPr="001B4EC1">
        <w:t>ber 2003. Ordförandeskapets syfte var att dels söka samsyn i för finansminis</w:t>
      </w:r>
      <w:r w:rsidRPr="001B4EC1">
        <w:t>t</w:t>
      </w:r>
      <w:r w:rsidRPr="001B4EC1">
        <w:t>rarna viktiga frågor, dels diskutera hur ministrarnas synpunkter lämpligast kunde framföras till den förestående regeringskonferensen. Från svensk sida underströks att den svenska regeringen vid den aktuella tidpunkten inte hade fastställt sina ståndpunkter eller förankrat dessa i riksdagen. Mot den ba</w:t>
      </w:r>
      <w:r w:rsidRPr="001B4EC1">
        <w:t>k</w:t>
      </w:r>
      <w:r w:rsidRPr="001B4EC1">
        <w:t>grunden fanns det enligt promemorian inget formellt behov för finansmini</w:t>
      </w:r>
      <w:r w:rsidRPr="001B4EC1">
        <w:t>s</w:t>
      </w:r>
      <w:r w:rsidRPr="001B4EC1">
        <w:t>tern att söka st</w:t>
      </w:r>
      <w:r w:rsidRPr="001B4EC1">
        <w:t xml:space="preserve">öd  i EU-nämnden inför diskussionen. Nämnden informerades dock både skriftligen och muntligen inför mötet i Stresa samt skriftligen efter mötet. </w:t>
      </w:r>
    </w:p>
    <w:p w:rsidR="00252869" w:rsidRPr="001B4EC1" w:rsidRDefault="00252869">
      <w:pPr>
        <w:pStyle w:val="Normaltindrag"/>
      </w:pPr>
      <w:r w:rsidRPr="001B4EC1">
        <w:t>Enligt promemorian överlämnade den italienske finansministern efter m</w:t>
      </w:r>
      <w:r w:rsidRPr="001B4EC1">
        <w:t>ö</w:t>
      </w:r>
      <w:r w:rsidRPr="001B4EC1">
        <w:t>tet i Stresa diskussionsunderlaget till sin utrikesministerkollega. Av underl</w:t>
      </w:r>
      <w:r w:rsidRPr="001B4EC1">
        <w:t>a</w:t>
      </w:r>
      <w:r w:rsidRPr="001B4EC1">
        <w:t>get framgick att det inte var Ekofinrådet som enskilt råd som stod bakom dokumentet och att det inte heller var frågan om enhällighet bland de närv</w:t>
      </w:r>
      <w:r w:rsidRPr="001B4EC1">
        <w:t>a</w:t>
      </w:r>
      <w:r w:rsidRPr="001B4EC1">
        <w:t>rande ministrarna. Det uttryck som användes var ”a high degree of conse</w:t>
      </w:r>
      <w:r w:rsidRPr="001B4EC1">
        <w:t>n</w:t>
      </w:r>
      <w:r w:rsidRPr="001B4EC1">
        <w:t>sus”. Det fanns således varierande grad av samstämmighet bland ministrarna till de olika ståndpun</w:t>
      </w:r>
      <w:r w:rsidRPr="001B4EC1">
        <w:t>k</w:t>
      </w:r>
      <w:r w:rsidRPr="001B4EC1">
        <w:t xml:space="preserve">terna i dokumentet. </w:t>
      </w:r>
    </w:p>
    <w:p w:rsidR="00252869" w:rsidRPr="001B4EC1" w:rsidRDefault="00252869">
      <w:pPr>
        <w:pStyle w:val="Normaltindrag"/>
      </w:pPr>
      <w:r w:rsidRPr="001B4EC1">
        <w:t>I promemorian framhålls att förhandlingarna fördes senare under hösten i regeringskonferensen,</w:t>
      </w:r>
      <w:r w:rsidRPr="001B4EC1">
        <w:t xml:space="preserve"> i förekommande fall efter samråd med EU-nämnden. Där har regeringen i ett enkätsvar till det italienska ordförandeskapet om de s.k. icke-institutionella frågorna i huvudsak stött de synpunkter som framfö</w:t>
      </w:r>
      <w:r w:rsidRPr="001B4EC1">
        <w:t>r</w:t>
      </w:r>
      <w:r w:rsidRPr="001B4EC1">
        <w:t>des av den italienske finansministern efter diskussionen i Stresa. Det bör dock framhållas att Sverige självständigt hade kommit fram till i huvudsak samma synpunkter som den italienske finansministern framförde.</w:t>
      </w:r>
    </w:p>
    <w:p w:rsidR="00252869" w:rsidRPr="001B4EC1" w:rsidRDefault="00252869">
      <w:pPr>
        <w:pStyle w:val="Normaltindrag"/>
      </w:pPr>
      <w:r w:rsidRPr="001B4EC1">
        <w:t>Slutligen påpekas i promemorian att de frågor som behandlas på rege</w:t>
      </w:r>
      <w:r w:rsidRPr="001B4EC1">
        <w:t>r</w:t>
      </w:r>
      <w:r w:rsidRPr="001B4EC1">
        <w:t xml:space="preserve">ingskonferensen har beretts gemensamt inom Regeringskansliet på samma sätt som alla andra EU-frågor. </w:t>
      </w:r>
    </w:p>
    <w:p w:rsidR="00252869" w:rsidRPr="001B4EC1" w:rsidRDefault="00252869">
      <w:r w:rsidRPr="001B4EC1">
        <w:t xml:space="preserve">Ärendet om Ekofinmötet berördes också vid utskottets utfrågning den 20 april 2004 med statsminister Göran Persson. </w:t>
      </w:r>
    </w:p>
    <w:p w:rsidR="00252869" w:rsidRPr="001B4EC1" w:rsidRDefault="00252869">
      <w:pPr>
        <w:pStyle w:val="Normaltindrag"/>
      </w:pPr>
      <w:r w:rsidRPr="001B4EC1">
        <w:t>Statsministern uppgav bl.a. att det innan Bosse Ringholm åkte till mötet hade klargjorts med ordföranden för EU-nämnden att det inte skulle behövas information i förväg, att vid mötet den italienska finansministern, som var ordförande för mötet, gjorde en sammanfattning om en icke obetydlig ko</w:t>
      </w:r>
      <w:r w:rsidRPr="001B4EC1">
        <w:t>n</w:t>
      </w:r>
      <w:r w:rsidRPr="001B4EC1">
        <w:t>sensus och levererade till sin regeringskollega, den italienske utrikesmini</w:t>
      </w:r>
      <w:r w:rsidRPr="001B4EC1">
        <w:t>s</w:t>
      </w:r>
      <w:r w:rsidRPr="001B4EC1">
        <w:t>tern, och att det inte fanns något i sammanfattningen som Bosse Ringholm behövde ha problem med från svensk synpunkt. Han framhöll också att sa</w:t>
      </w:r>
      <w:r w:rsidRPr="001B4EC1">
        <w:t>m</w:t>
      </w:r>
      <w:r w:rsidRPr="001B4EC1">
        <w:t xml:space="preserve">råd inte hålls i frågor innan de diskuterats i Coreper. </w:t>
      </w:r>
    </w:p>
    <w:p w:rsidR="00252869" w:rsidRPr="001B4EC1" w:rsidRDefault="00252869">
      <w:pPr>
        <w:pStyle w:val="R3"/>
      </w:pPr>
      <w:r w:rsidRPr="001B4EC1">
        <w:t xml:space="preserve">Regeringskansliets handläggningsrutiner för EU-frågorna </w:t>
      </w:r>
    </w:p>
    <w:p w:rsidR="00252869" w:rsidRPr="001B4EC1" w:rsidRDefault="00252869">
      <w:pPr>
        <w:pStyle w:val="Rubrik4"/>
        <w:spacing w:before="125"/>
        <w:rPr>
          <w:noProof w:val="0"/>
        </w:rPr>
      </w:pPr>
      <w:bookmarkStart w:id="51" w:name="_Toc72648482"/>
      <w:r w:rsidRPr="001B4EC1">
        <w:rPr>
          <w:noProof w:val="0"/>
        </w:rPr>
        <w:t>Promemoria från Regeringskansliet</w:t>
      </w:r>
      <w:bookmarkEnd w:id="51"/>
    </w:p>
    <w:p w:rsidR="00252869" w:rsidRPr="001B4EC1" w:rsidRDefault="00252869">
      <w:r w:rsidRPr="001B4EC1">
        <w:t>I den promemoria den 9 mars 2004 som utskottet erhållit från Regeringskan</w:t>
      </w:r>
      <w:r w:rsidRPr="001B4EC1">
        <w:t>s</w:t>
      </w:r>
      <w:r w:rsidRPr="001B4EC1">
        <w:t>liet anges att det vid Europeiska rådets möte den 19–20 juni i Thessaloniki beslutades att regeringskonferensen skulle ledas av stats- och regeringsch</w:t>
      </w:r>
      <w:r w:rsidRPr="001B4EC1">
        <w:t>e</w:t>
      </w:r>
      <w:r w:rsidRPr="001B4EC1">
        <w:t>ferna biträdda av medlemmarna i rådet för allmänna och yttre förbindelser, vilket i Sveriges fall är utrikesministern. Någon särskild grupp av chefsfö</w:t>
      </w:r>
      <w:r w:rsidRPr="001B4EC1">
        <w:t>r</w:t>
      </w:r>
      <w:r w:rsidRPr="001B4EC1">
        <w:t xml:space="preserve">handlare inrättades inte som varit fallet vid tidigare regeringskonferenser. Det italienska ordförandeskapets syfte med denna förhandlingsordning var att lyfta förhandlingarna till hög politisk nivå. </w:t>
      </w:r>
    </w:p>
    <w:p w:rsidR="00252869" w:rsidRPr="001B4EC1" w:rsidRDefault="00252869">
      <w:pPr>
        <w:pStyle w:val="Normaltindrag"/>
      </w:pPr>
      <w:r w:rsidRPr="001B4EC1">
        <w:t>Efter fö</w:t>
      </w:r>
      <w:r w:rsidRPr="001B4EC1">
        <w:t>rslag från flera medlemsländer inrättades emellertid också en grupp av kontaktpersoner från medlemsländerna som det italienska ordförandesk</w:t>
      </w:r>
      <w:r w:rsidRPr="001B4EC1">
        <w:t>a</w:t>
      </w:r>
      <w:r w:rsidRPr="001B4EC1">
        <w:t>pet kunde korrespondera med och vid behov sammankalla. För svensk del utsågs statssekreteraren vid Statsrådsberedningen Lars Danielsson. Han b</w:t>
      </w:r>
      <w:r w:rsidRPr="001B4EC1">
        <w:t>i</w:t>
      </w:r>
      <w:r w:rsidRPr="001B4EC1">
        <w:t>stods av två politiskt sakkunniga vid Statsrådsberedningen och tjänstemän vid UD:s EU-enhet. Chefen för denna enhet kom sedermera att agera ställföretr</w:t>
      </w:r>
      <w:r w:rsidRPr="001B4EC1">
        <w:t>ä</w:t>
      </w:r>
      <w:r w:rsidRPr="001B4EC1">
        <w:t>dare när gruppen möttes, vilket skedde vid ett par tillfällen. En grupp jurid</w:t>
      </w:r>
      <w:r w:rsidRPr="001B4EC1">
        <w:t>i</w:t>
      </w:r>
      <w:r w:rsidRPr="001B4EC1">
        <w:t>s</w:t>
      </w:r>
      <w:r w:rsidRPr="001B4EC1">
        <w:t>ka experter sammanträdde därutöver under ledning av chefen för rådssekret</w:t>
      </w:r>
      <w:r w:rsidRPr="001B4EC1">
        <w:t>a</w:t>
      </w:r>
      <w:r w:rsidRPr="001B4EC1">
        <w:t xml:space="preserve">riatets rättstjänst. </w:t>
      </w:r>
    </w:p>
    <w:p w:rsidR="00252869" w:rsidRPr="001B4EC1" w:rsidRDefault="00252869">
      <w:pPr>
        <w:pStyle w:val="Normaltindrag"/>
      </w:pPr>
      <w:r w:rsidRPr="001B4EC1">
        <w:t>Deltagarna i rådets olika sammansättningar kunde fritt utbyta åsikter i fr</w:t>
      </w:r>
      <w:r w:rsidRPr="001B4EC1">
        <w:t>å</w:t>
      </w:r>
      <w:r w:rsidRPr="001B4EC1">
        <w:t xml:space="preserve">gor av gemensamt intresse, men förhandlingarna fördes – i såväl enskilda frågor som i sin helhet – i den för fördragsändringarna särskilt konstituerade regeringskonferensen. </w:t>
      </w:r>
    </w:p>
    <w:p w:rsidR="00252869" w:rsidRPr="001B4EC1" w:rsidRDefault="00252869">
      <w:pPr>
        <w:pStyle w:val="Normaltindrag"/>
      </w:pPr>
      <w:r w:rsidRPr="001B4EC1">
        <w:t>Samråd med riksdagen och EU-nämnden sköttes följdriktigt genom stat</w:t>
      </w:r>
      <w:r w:rsidRPr="001B4EC1">
        <w:t>s</w:t>
      </w:r>
      <w:r w:rsidRPr="001B4EC1">
        <w:t>ministerns, utrikesministerns och i förekommande fall statsministerns stat</w:t>
      </w:r>
      <w:r w:rsidRPr="001B4EC1">
        <w:t>s</w:t>
      </w:r>
      <w:r w:rsidRPr="001B4EC1">
        <w:t xml:space="preserve">sekreterares försorg. </w:t>
      </w:r>
    </w:p>
    <w:p w:rsidR="00252869" w:rsidRPr="001B4EC1" w:rsidRDefault="00252869">
      <w:pPr>
        <w:pStyle w:val="Normaltindrag"/>
      </w:pPr>
      <w:r w:rsidRPr="001B4EC1">
        <w:t>Regeringskonferensens horisontella natur var också bestämmande för b</w:t>
      </w:r>
      <w:r w:rsidRPr="001B4EC1">
        <w:t>e</w:t>
      </w:r>
      <w:r w:rsidRPr="001B4EC1">
        <w:t xml:space="preserve">redningen av frågorna i Regeringskansliet. Frågorna bereddes gemensamt i en för ändamålet särskilt inrättad interdepartemental arbetsgrupp under ledning av UD:s EU-enhet. Till gruppen kallades samtliga departement. </w:t>
      </w:r>
    </w:p>
    <w:p w:rsidR="00252869" w:rsidRPr="001B4EC1" w:rsidRDefault="00252869">
      <w:pPr>
        <w:pStyle w:val="Normaltindrag"/>
      </w:pPr>
      <w:r w:rsidRPr="001B4EC1">
        <w:t>En särskild statssekreterargrupp samrådde sedan inför förhandlingstillfä</w:t>
      </w:r>
      <w:r w:rsidRPr="001B4EC1">
        <w:t>l</w:t>
      </w:r>
      <w:r w:rsidRPr="001B4EC1">
        <w:t>lena. Ordförande var statssekreterare Danielsson, medan gruppens deltagare varierade med de för tillfället aktuella ämnena. Statssekreterare från Utrike</w:t>
      </w:r>
      <w:r w:rsidRPr="001B4EC1">
        <w:t>s</w:t>
      </w:r>
      <w:r w:rsidRPr="001B4EC1">
        <w:t>departementet, Justitiedepartementet och Finansdepartementet deltog eme</w:t>
      </w:r>
      <w:r w:rsidRPr="001B4EC1">
        <w:t>l</w:t>
      </w:r>
      <w:r w:rsidRPr="001B4EC1">
        <w:t>lertid vid varje mötestillfälle. Statsrådsberedningens EU-grupp agerade til</w:t>
      </w:r>
      <w:r w:rsidRPr="001B4EC1">
        <w:t>l</w:t>
      </w:r>
      <w:r w:rsidRPr="001B4EC1">
        <w:t xml:space="preserve">sammans med UD:s EU-enhet sekretariat till gruppen. </w:t>
      </w:r>
    </w:p>
    <w:p w:rsidR="00252869" w:rsidRPr="001B4EC1" w:rsidRDefault="00252869">
      <w:pPr>
        <w:pStyle w:val="Normaltindrag"/>
      </w:pPr>
      <w:r w:rsidRPr="001B4EC1">
        <w:t>Prioriteringarna i förhandlingarna tog sin utgångspunkt i betänkandet från riksdagens sammansatta konstitutions- och utrikesutskott (2003/04:KUU1). Det löpan</w:t>
      </w:r>
      <w:r w:rsidRPr="001B4EC1">
        <w:t>de samrådet om förhandlingarnas genomförande skedde sedan hela tiden i nära samråd med riksdagens EU-nämnd som också var inkallad under toppmötesdagarna i december 2003 för att upprätthålla sambandet med fö</w:t>
      </w:r>
      <w:r w:rsidRPr="001B4EC1">
        <w:t>r</w:t>
      </w:r>
      <w:r w:rsidRPr="001B4EC1">
        <w:t xml:space="preserve">handlingsdelegationen kring stats- och utrikesministern. </w:t>
      </w:r>
    </w:p>
    <w:p w:rsidR="00252869" w:rsidRPr="001B4EC1" w:rsidRDefault="00252869">
      <w:pPr>
        <w:pStyle w:val="Normaltindrag"/>
      </w:pPr>
      <w:r w:rsidRPr="001B4EC1">
        <w:t>I övrigt följde samrådet kring regeringskonferensen de generella bestä</w:t>
      </w:r>
      <w:r w:rsidRPr="001B4EC1">
        <w:t>m</w:t>
      </w:r>
      <w:r w:rsidRPr="001B4EC1">
        <w:t xml:space="preserve">melserna om Regeringskansliets samråd i EU-frågor. </w:t>
      </w:r>
    </w:p>
    <w:p w:rsidR="00252869" w:rsidRPr="001B4EC1" w:rsidRDefault="00252869">
      <w:pPr>
        <w:pStyle w:val="Normaltindrag"/>
      </w:pPr>
      <w:r w:rsidRPr="001B4EC1">
        <w:t>Statsministerns statssekreterare leder den löpande samordningen av EU-arbetet i Regeringskansliet. Berörda statsråd ansvarar enligt uppgiftsförde</w:t>
      </w:r>
      <w:r w:rsidRPr="001B4EC1">
        <w:t>l</w:t>
      </w:r>
      <w:r w:rsidRPr="001B4EC1">
        <w:t>ningen i regeringen för att departementens EU-frågor bereds på ändamålse</w:t>
      </w:r>
      <w:r w:rsidRPr="001B4EC1">
        <w:t>n</w:t>
      </w:r>
      <w:r w:rsidRPr="001B4EC1">
        <w:t>ligt sätt. EU-ärenden som berör flera departement skall beredas gemensamt i Regeringskansliet. Utrikesministern har företrätt Sverige i IGC-förhandling-arna på nivån under stats- och regeringschefer och har dessutom ansvaret inom regeringen för bl.a. institutionella frågor. Utrikesdeparteme</w:t>
      </w:r>
      <w:r w:rsidRPr="001B4EC1">
        <w:t>n</w:t>
      </w:r>
      <w:r w:rsidRPr="001B4EC1">
        <w:t xml:space="preserve">tets EU-enhet bistår dessutom Statsrådsberedningen i flera frågor. </w:t>
      </w:r>
    </w:p>
    <w:p w:rsidR="00252869" w:rsidRPr="001B4EC1" w:rsidRDefault="00252869">
      <w:pPr>
        <w:pStyle w:val="Rubrik4"/>
        <w:rPr>
          <w:noProof w:val="0"/>
        </w:rPr>
      </w:pPr>
      <w:bookmarkStart w:id="52" w:name="_Toc72648483"/>
      <w:r w:rsidRPr="001B4EC1">
        <w:rPr>
          <w:noProof w:val="0"/>
        </w:rPr>
        <w:t>Utfrågning med statsminister Göran Persson</w:t>
      </w:r>
      <w:bookmarkEnd w:id="52"/>
      <w:r w:rsidRPr="001B4EC1">
        <w:rPr>
          <w:noProof w:val="0"/>
        </w:rPr>
        <w:t xml:space="preserve"> </w:t>
      </w:r>
    </w:p>
    <w:p w:rsidR="00252869" w:rsidRPr="001B4EC1" w:rsidRDefault="00252869">
      <w:r w:rsidRPr="001B4EC1">
        <w:t xml:space="preserve">Vid utskottets utfrågning den 20 april 2004 med statsminister Göran Persson uppgav statsministern bl.a. följande. </w:t>
      </w:r>
    </w:p>
    <w:p w:rsidR="00252869" w:rsidRPr="001B4EC1" w:rsidRDefault="00252869">
      <w:pPr>
        <w:pStyle w:val="Normaltindrag"/>
      </w:pPr>
      <w:r w:rsidRPr="001B4EC1">
        <w:t>Det dagliga samordningsarbetet på tjänstemannanivå sköts av en koordin</w:t>
      </w:r>
      <w:r w:rsidRPr="001B4EC1">
        <w:t>e</w:t>
      </w:r>
      <w:r w:rsidRPr="001B4EC1">
        <w:t>ringsgrupp som leds av Utrikesdepartementets EU-enhet på departement</w:t>
      </w:r>
      <w:r w:rsidRPr="001B4EC1">
        <w:t>s</w:t>
      </w:r>
      <w:r w:rsidRPr="001B4EC1">
        <w:t>rådsnivå. Sedan finns det en statssekreterarnivå som förbereder svenska pos</w:t>
      </w:r>
      <w:r w:rsidRPr="001B4EC1">
        <w:t>i</w:t>
      </w:r>
      <w:r w:rsidRPr="001B4EC1">
        <w:t>tioner inför toppmöten och förhandlingar och den typen av händelser. Den leds av statssekreteraren på Statsrådsberedningen Lars Danielsson. Medle</w:t>
      </w:r>
      <w:r w:rsidRPr="001B4EC1">
        <w:t>m</w:t>
      </w:r>
      <w:r w:rsidRPr="001B4EC1">
        <w:t>skapet i Europeiska unionen griper in på alla politikens sakområden och efte</w:t>
      </w:r>
      <w:r w:rsidRPr="001B4EC1">
        <w:t>r</w:t>
      </w:r>
      <w:r w:rsidRPr="001B4EC1">
        <w:t>som det blir ett alltmer vardagligt inslag i det löpande politiska arbetet är han osäker på om det är det långsiktigt riktiga att mycket av det</w:t>
      </w:r>
      <w:r w:rsidRPr="001B4EC1">
        <w:t xml:space="preserve"> dagliga hantve</w:t>
      </w:r>
      <w:r w:rsidRPr="001B4EC1">
        <w:t>r</w:t>
      </w:r>
      <w:r w:rsidRPr="001B4EC1">
        <w:t xml:space="preserve">ket för EU-samordningen är förlagt till Utrikesdepartementet. Samordningen skall utföras av en statsrådsberedning eller ett finansdepartement, och han lutar närmast åt att den skall ske i Statsrådsberedningen. Regeringen är inne i en diskussion i dessa frågor. I diskussionen ingår givetvis också samspelet med riksdagen – EU-nämnden och/eller utskotten. </w:t>
      </w:r>
    </w:p>
    <w:p w:rsidR="00252869" w:rsidRPr="001B4EC1" w:rsidRDefault="00252869">
      <w:pPr>
        <w:pStyle w:val="Rubrik3"/>
        <w:rPr>
          <w:noProof w:val="0"/>
        </w:rPr>
      </w:pPr>
      <w:bookmarkStart w:id="53" w:name="_Toc72648484"/>
      <w:r w:rsidRPr="001B4EC1">
        <w:rPr>
          <w:noProof w:val="0"/>
        </w:rPr>
        <w:t>Utskottets ställningstagande</w:t>
      </w:r>
      <w:bookmarkEnd w:id="53"/>
      <w:r w:rsidRPr="001B4EC1">
        <w:rPr>
          <w:noProof w:val="0"/>
        </w:rPr>
        <w:t xml:space="preserve"> </w:t>
      </w:r>
    </w:p>
    <w:p w:rsidR="00252869" w:rsidRPr="001B4EC1" w:rsidRDefault="00252869">
      <w:pPr>
        <w:pStyle w:val="Rubrik4"/>
        <w:rPr>
          <w:noProof w:val="0"/>
        </w:rPr>
      </w:pPr>
      <w:bookmarkStart w:id="54" w:name="_Toc72648485"/>
      <w:r w:rsidRPr="001B4EC1">
        <w:rPr>
          <w:noProof w:val="0"/>
        </w:rPr>
        <w:t>Utrikesministerbrevet</w:t>
      </w:r>
      <w:bookmarkEnd w:id="54"/>
      <w:r w:rsidRPr="001B4EC1">
        <w:rPr>
          <w:noProof w:val="0"/>
        </w:rPr>
        <w:t xml:space="preserve">  </w:t>
      </w:r>
    </w:p>
    <w:p w:rsidR="00252869" w:rsidRPr="001B4EC1" w:rsidRDefault="00252869">
      <w:r w:rsidRPr="001B4EC1">
        <w:t xml:space="preserve">Vad först angår utrikesminister Laila Freivalds hantering av samrådet om de fyra utrikesministrarnas brev anser utskottet att utrikesministern tydligare bort  upplysa EU-nämnden om brevets hela innehåll så att nämnden kunnat ge synpunkter på detta. </w:t>
      </w:r>
    </w:p>
    <w:p w:rsidR="00252869" w:rsidRPr="001B4EC1" w:rsidRDefault="00252869">
      <w:pPr>
        <w:pStyle w:val="Normaltindrag"/>
      </w:pPr>
      <w:r w:rsidRPr="001B4EC1">
        <w:t>Dateringen av brevet har enligt vad utrikesministern förklarat skett av fö</w:t>
      </w:r>
      <w:r w:rsidRPr="001B4EC1">
        <w:t>r</w:t>
      </w:r>
      <w:r w:rsidRPr="001B4EC1">
        <w:t xml:space="preserve">biseende. Utskottet har ingen anledning att ifrågasätta denna förklaring. </w:t>
      </w:r>
    </w:p>
    <w:p w:rsidR="00252869" w:rsidRPr="001B4EC1" w:rsidRDefault="00252869">
      <w:pPr>
        <w:pStyle w:val="Rubrik4"/>
        <w:rPr>
          <w:noProof w:val="0"/>
        </w:rPr>
      </w:pPr>
      <w:bookmarkStart w:id="55" w:name="_Toc72648486"/>
      <w:r w:rsidRPr="001B4EC1">
        <w:rPr>
          <w:noProof w:val="0"/>
        </w:rPr>
        <w:t>Säkerhetsstrategin</w:t>
      </w:r>
      <w:bookmarkEnd w:id="55"/>
    </w:p>
    <w:p w:rsidR="00252869" w:rsidRPr="001B4EC1" w:rsidRDefault="00252869">
      <w:r w:rsidRPr="001B4EC1">
        <w:t>Anmälan vad angår hanteringen av frågan om säkerhetsstrategin avser anor</w:t>
      </w:r>
      <w:r w:rsidRPr="001B4EC1">
        <w:t>d</w:t>
      </w:r>
      <w:r w:rsidRPr="001B4EC1">
        <w:t>nande av en konferens i Stockholm och insändande av ett eller flera non-papers. Enligt promemorian från Regeringskansliet har regeringen erbjudit sig och låtit anordna ett seminarium för öppen och offentlig debatt och överlä</w:t>
      </w:r>
      <w:r w:rsidRPr="001B4EC1">
        <w:t>m</w:t>
      </w:r>
      <w:r w:rsidRPr="001B4EC1">
        <w:t>nat ett non-paper som innefattat tidigare kända ståndpunkter. EU-nämnden har hållits informerad om uppdraget till generalsekreteraren/höge represe</w:t>
      </w:r>
      <w:r w:rsidRPr="001B4EC1">
        <w:t>n</w:t>
      </w:r>
      <w:r w:rsidRPr="001B4EC1">
        <w:t xml:space="preserve">tanten att göra en analys av de strategiska hoten mot EU och om regeringens agerande i frågan, och samråd har skett. </w:t>
      </w:r>
    </w:p>
    <w:p w:rsidR="00252869" w:rsidRPr="001B4EC1" w:rsidRDefault="00252869">
      <w:pPr>
        <w:pStyle w:val="Normaltindrag"/>
      </w:pPr>
      <w:r w:rsidRPr="001B4EC1">
        <w:t>Utskottet, som inte s</w:t>
      </w:r>
      <w:r w:rsidRPr="001B4EC1">
        <w:t>er anordnande av seminarier som ett ämne för oblig</w:t>
      </w:r>
      <w:r w:rsidRPr="001B4EC1">
        <w:t>a</w:t>
      </w:r>
      <w:r w:rsidRPr="001B4EC1">
        <w:t>toriskt samråd, vill med anledning av ett uttalande av statsministern under utfrågningen något kommentera behovet av samråd inför inlämnande av ett non-paper. Statsministern nämnde principen att sådana papper tas upp i EU-nämnden om de innehåller nya ståndpunkter men däremot inte om de bara innefattar tidigare diskuterade ståndpunkter. Utskottet vill framhålla att pri</w:t>
      </w:r>
      <w:r w:rsidRPr="001B4EC1">
        <w:t>n</w:t>
      </w:r>
      <w:r w:rsidRPr="001B4EC1">
        <w:t>cipen inte alltid kan anses självklar. I viktiga och centrala frågor kan tidigare ståndpun</w:t>
      </w:r>
      <w:r w:rsidRPr="001B4EC1">
        <w:t>kter behöva diskuteras igenom och eventuellt revideras innan de levereras in i EU-samarbetet. Utskottet utgår från att regeringen beaktar att sådana situationer kan uppstå och handlar därefter. Såvitt avser det non-paper som avses i detta ärende anser utskottet inte att det finns anledning till något ytterligare uttala</w:t>
      </w:r>
      <w:r w:rsidRPr="001B4EC1">
        <w:t>n</w:t>
      </w:r>
      <w:r w:rsidRPr="001B4EC1">
        <w:t xml:space="preserve">de. </w:t>
      </w:r>
    </w:p>
    <w:p w:rsidR="00252869" w:rsidRPr="001B4EC1" w:rsidRDefault="00252869">
      <w:pPr>
        <w:pStyle w:val="Rubrik4"/>
        <w:rPr>
          <w:noProof w:val="0"/>
        </w:rPr>
      </w:pPr>
      <w:bookmarkStart w:id="56" w:name="_Toc72648487"/>
      <w:r w:rsidRPr="001B4EC1">
        <w:rPr>
          <w:noProof w:val="0"/>
        </w:rPr>
        <w:t>Ekofinmötet i Stresa</w:t>
      </w:r>
      <w:bookmarkEnd w:id="56"/>
    </w:p>
    <w:p w:rsidR="00252869" w:rsidRPr="001B4EC1" w:rsidRDefault="00252869">
      <w:r w:rsidRPr="001B4EC1">
        <w:t>Såvitt avser finansminister Bosse Ringholms agerande inför och under Ekofinministrarnas informella möte i Stresa konstaterar utskottet att inlägget från Stresamötet inte haft någon formell betydelse i regeringskonferensen. De svenska synpunkterna i regeringskonferensen har framförts i andra samma</w:t>
      </w:r>
      <w:r w:rsidRPr="001B4EC1">
        <w:t>n</w:t>
      </w:r>
      <w:r w:rsidRPr="001B4EC1">
        <w:t>hang. Enligt utskottets uppfattning aktualiserar händelsen dock behovet av förutseende från regeringens sida om vad som kan komma ut av ett rådsmöte och av att EU-nämnden ges i</w:t>
      </w:r>
      <w:r w:rsidRPr="001B4EC1">
        <w:t>n</w:t>
      </w:r>
      <w:r w:rsidRPr="001B4EC1">
        <w:t xml:space="preserve">formation om detta. </w:t>
      </w:r>
    </w:p>
    <w:p w:rsidR="00252869" w:rsidRPr="001B4EC1" w:rsidRDefault="00252869">
      <w:pPr>
        <w:pStyle w:val="Normaltindrag"/>
      </w:pPr>
      <w:r w:rsidRPr="001B4EC1">
        <w:t>Granskningen föranleder i denna del inte något ytterligare uttalande av u</w:t>
      </w:r>
      <w:r w:rsidRPr="001B4EC1">
        <w:t>t</w:t>
      </w:r>
      <w:r w:rsidRPr="001B4EC1">
        <w:t xml:space="preserve">skottet. </w:t>
      </w:r>
    </w:p>
    <w:p w:rsidR="00252869" w:rsidRPr="001B4EC1" w:rsidRDefault="00252869">
      <w:pPr>
        <w:pStyle w:val="Rubrik4"/>
        <w:rPr>
          <w:noProof w:val="0"/>
        </w:rPr>
      </w:pPr>
      <w:bookmarkStart w:id="57" w:name="_Toc72648488"/>
      <w:r w:rsidRPr="001B4EC1">
        <w:rPr>
          <w:noProof w:val="0"/>
        </w:rPr>
        <w:t>Regeringskansliets handläggningsrutiner</w:t>
      </w:r>
      <w:bookmarkEnd w:id="57"/>
      <w:r w:rsidRPr="001B4EC1">
        <w:rPr>
          <w:noProof w:val="0"/>
        </w:rPr>
        <w:t xml:space="preserve"> </w:t>
      </w:r>
    </w:p>
    <w:p w:rsidR="00252869" w:rsidRPr="001B4EC1" w:rsidRDefault="00252869">
      <w:r w:rsidRPr="001B4EC1">
        <w:t>I frågan om Regeringskansliets handläggningsrutiner för EU-frågorna har getts en redovisning i Regeringskansliets promemoria den 9 mars 2004. Statsministern har vid utfrågningen också redogjort för  ytterligare diskussi</w:t>
      </w:r>
      <w:r w:rsidRPr="001B4EC1">
        <w:t>o</w:t>
      </w:r>
      <w:r w:rsidRPr="001B4EC1">
        <w:t xml:space="preserve">ner som hålls inom regeringskretsen. </w:t>
      </w:r>
    </w:p>
    <w:p w:rsidR="00252869" w:rsidRPr="001B4EC1" w:rsidRDefault="00252869">
      <w:pPr>
        <w:pStyle w:val="Normaltindrag"/>
      </w:pPr>
      <w:r w:rsidRPr="001B4EC1">
        <w:t>Riksdagens egen hantering av EU-frågor ses för närvarande över inom Riksdagskommittén för att bl.a. tydliggöra riksdagens roll och stärka riksd</w:t>
      </w:r>
      <w:r w:rsidRPr="001B4EC1">
        <w:t>a</w:t>
      </w:r>
      <w:r w:rsidRPr="001B4EC1">
        <w:t>gens in</w:t>
      </w:r>
      <w:r w:rsidRPr="001B4EC1">
        <w:softHyphen/>
        <w:t>flytande i EU</w:t>
      </w:r>
      <w:r w:rsidRPr="001B4EC1">
        <w:noBreakHyphen/>
        <w:t>sam</w:t>
      </w:r>
      <w:r w:rsidRPr="001B4EC1">
        <w:softHyphen/>
        <w:t>arbetet. Utskottet utgår från att diskussionerna inom regeringskretsen och inom Regeringskansliet förs med ett sådant syfte och att regeringen delar riksdagens strävan att uppnå en informations- och samråd</w:t>
      </w:r>
      <w:r w:rsidRPr="001B4EC1">
        <w:t>s</w:t>
      </w:r>
      <w:r w:rsidRPr="001B4EC1">
        <w:t>hantering som innebär att de ståndpunkter som r</w:t>
      </w:r>
      <w:r w:rsidRPr="001B4EC1">
        <w:t>e</w:t>
      </w:r>
      <w:r w:rsidRPr="001B4EC1">
        <w:t>geringen för fram i EU-kretsen är väl förankrade i riksd</w:t>
      </w:r>
      <w:r w:rsidRPr="001B4EC1">
        <w:t>a</w:t>
      </w:r>
      <w:r w:rsidRPr="001B4EC1">
        <w:t xml:space="preserve">gen. </w:t>
      </w:r>
    </w:p>
    <w:p w:rsidR="00252869" w:rsidRPr="001B4EC1" w:rsidRDefault="00252869">
      <w:pPr>
        <w:pStyle w:val="Rubrik2"/>
        <w:spacing w:before="375"/>
      </w:pPr>
      <w:bookmarkStart w:id="58" w:name="_Toc72648489"/>
      <w:r w:rsidRPr="001B4EC1">
        <w:t>1.7 Regeringens samråd med EU-nämnden i fråga om antagandet av en rådsrekommendation mot narkotikamissbruk</w:t>
      </w:r>
      <w:bookmarkEnd w:id="58"/>
    </w:p>
    <w:p w:rsidR="00252869" w:rsidRPr="001B4EC1" w:rsidRDefault="00252869">
      <w:pPr>
        <w:pStyle w:val="Rubrik3"/>
        <w:spacing w:before="110"/>
        <w:rPr>
          <w:noProof w:val="0"/>
        </w:rPr>
      </w:pPr>
      <w:bookmarkStart w:id="59" w:name="_Toc72648490"/>
      <w:r w:rsidRPr="001B4EC1">
        <w:rPr>
          <w:noProof w:val="0"/>
        </w:rPr>
        <w:t>Anmälan</w:t>
      </w:r>
      <w:bookmarkEnd w:id="59"/>
      <w:r w:rsidRPr="001B4EC1">
        <w:rPr>
          <w:noProof w:val="0"/>
        </w:rPr>
        <w:t xml:space="preserve"> </w:t>
      </w:r>
    </w:p>
    <w:p w:rsidR="00252869" w:rsidRPr="001B4EC1" w:rsidRDefault="00252869">
      <w:r w:rsidRPr="001B4EC1">
        <w:t>I en anmälan till konstitutionsutskottet den 3 februari 2004 begärs utskottets granskning av statsråden Lars Engqvist och Morgan Johansson för deras hantering av samrådsplikten i fråga om antagandet av en rådsrekommendation mot narkotikamissbruk. Kritiken i anmälningen avser bristande information och samråd i fråga om innehållet i den tilltänkta rekommendationen och dä</w:t>
      </w:r>
      <w:r w:rsidRPr="001B4EC1">
        <w:t>r</w:t>
      </w:r>
      <w:r w:rsidRPr="001B4EC1">
        <w:t>med sammanhängande överlåtelse av bestämmanderätt över narkotikapolit</w:t>
      </w:r>
      <w:r w:rsidRPr="001B4EC1">
        <w:t>i</w:t>
      </w:r>
      <w:r w:rsidRPr="001B4EC1">
        <w:t>ken i strid med subsidi</w:t>
      </w:r>
      <w:r w:rsidRPr="001B4EC1">
        <w:t>a</w:t>
      </w:r>
      <w:r w:rsidRPr="001B4EC1">
        <w:t xml:space="preserve">ritetsprincipen. </w:t>
      </w:r>
    </w:p>
    <w:p w:rsidR="00252869" w:rsidRPr="001B4EC1" w:rsidRDefault="00252869">
      <w:pPr>
        <w:pStyle w:val="Normaltindrag"/>
      </w:pPr>
      <w:r w:rsidRPr="001B4EC1">
        <w:t xml:space="preserve">Anmälan bifogas, se </w:t>
      </w:r>
      <w:r w:rsidRPr="001B4EC1">
        <w:rPr>
          <w:i/>
        </w:rPr>
        <w:t>bilaga A 1.7.1</w:t>
      </w:r>
      <w:r w:rsidRPr="001B4EC1">
        <w:t xml:space="preserve">. </w:t>
      </w:r>
    </w:p>
    <w:p w:rsidR="00252869" w:rsidRPr="001B4EC1" w:rsidRDefault="00252869">
      <w:pPr>
        <w:pStyle w:val="Rubrik3"/>
        <w:rPr>
          <w:noProof w:val="0"/>
        </w:rPr>
      </w:pPr>
      <w:bookmarkStart w:id="60" w:name="_Toc72648491"/>
      <w:r w:rsidRPr="001B4EC1">
        <w:rPr>
          <w:noProof w:val="0"/>
        </w:rPr>
        <w:t>Bakgrund</w:t>
      </w:r>
      <w:bookmarkEnd w:id="60"/>
      <w:r w:rsidRPr="001B4EC1">
        <w:rPr>
          <w:noProof w:val="0"/>
        </w:rPr>
        <w:t xml:space="preserve"> </w:t>
      </w:r>
    </w:p>
    <w:p w:rsidR="00252869" w:rsidRPr="001B4EC1" w:rsidRDefault="00252869">
      <w:pPr>
        <w:pStyle w:val="R4"/>
      </w:pPr>
      <w:r w:rsidRPr="001B4EC1">
        <w:t xml:space="preserve">Bestämmelser om regeringens informations- och samrådsskyldighet </w:t>
      </w:r>
    </w:p>
    <w:p w:rsidR="00252869" w:rsidRPr="001B4EC1" w:rsidRDefault="00252869">
      <w:r w:rsidRPr="001B4EC1">
        <w:t xml:space="preserve">En ingående beskrivning av regeringens informations- och samrådsskyldighet i EU-frågor ges i föregående avsnitt, vartill hänvisas. </w:t>
      </w:r>
    </w:p>
    <w:p w:rsidR="00252869" w:rsidRPr="001B4EC1" w:rsidRDefault="00252869">
      <w:pPr>
        <w:pStyle w:val="R4"/>
      </w:pPr>
      <w:r w:rsidRPr="001B4EC1">
        <w:t xml:space="preserve">Rekommendationen mot narkotikamissbruk </w:t>
      </w:r>
    </w:p>
    <w:p w:rsidR="00252869" w:rsidRPr="001B4EC1" w:rsidRDefault="00252869">
      <w:r w:rsidRPr="001B4EC1">
        <w:t>Den rekommendation som avses i ärendet antogs formellt av rådet – jordbruk och fiske – i juni 2003</w:t>
      </w:r>
      <w:r w:rsidRPr="001B4EC1">
        <w:rPr>
          <w:rStyle w:val="Fotnotsreferens"/>
        </w:rPr>
        <w:footnoteReference w:id="33"/>
      </w:r>
      <w:r w:rsidRPr="001B4EC1">
        <w:t>. En allmän riktlinje om ett utkast hade dessförinnan, den 2 december 2002, antagits av rådet</w:t>
      </w:r>
      <w:r w:rsidRPr="001B4EC1">
        <w:rPr>
          <w:rStyle w:val="Fotnotsreferens"/>
        </w:rPr>
        <w:footnoteReference w:id="34"/>
      </w:r>
      <w:r w:rsidRPr="001B4EC1">
        <w:t xml:space="preserve"> i avvaktan på Europaparlamentets yttrande. </w:t>
      </w:r>
    </w:p>
    <w:p w:rsidR="00252869" w:rsidRPr="001B4EC1" w:rsidRDefault="00252869">
      <w:pPr>
        <w:pStyle w:val="Normaltindrag"/>
      </w:pPr>
      <w:r w:rsidRPr="001B4EC1">
        <w:t>I rekommendationen anges att medlems</w:t>
      </w:r>
      <w:r w:rsidRPr="001B4EC1">
        <w:softHyphen/>
        <w:t>staterna, för att avsevärt kunna minska skadlig inverkan på hälsan (såsom hiv, hepatit B och C samt tube</w:t>
      </w:r>
      <w:r w:rsidRPr="001B4EC1">
        <w:t>r</w:t>
      </w:r>
      <w:r w:rsidRPr="001B4EC1">
        <w:t>kulos) som är kopplad till narkotikamissbruk och antalet dödsfall som orsakas av narkotikamissbruk, som en integrerande del av politiken för förebyggande av narkotikamissbruk och vård av missbrukare, bör införa ett antal olika åtgärder som särskilt syftar till att minska riskerna. Därför bör medlemsst</w:t>
      </w:r>
      <w:r w:rsidRPr="001B4EC1">
        <w:t>a</w:t>
      </w:r>
      <w:r w:rsidRPr="001B4EC1">
        <w:t>terna med beaktande av den allmänna målsättningen som i första hand är att förhindra narkotikamissbruk,</w:t>
      </w:r>
      <w:r w:rsidRPr="001B4EC1">
        <w:t xml:space="preserve"> ”erbjuda, när så är lämpligt, tillgång till distr</w:t>
      </w:r>
      <w:r w:rsidRPr="001B4EC1">
        <w:t>i</w:t>
      </w:r>
      <w:r w:rsidRPr="001B4EC1">
        <w:t xml:space="preserve">bution av kondomer och injiceringsverktyg samt till program och ställen för utbyte av dessa” (p. 2.10). Vidare anges att medlemsstaterna bör rapportera till kommissionen om genomförandet av rekommendationen inom två år efter antagandet och därefter på begäran av kommissionen (p. 4). </w:t>
      </w:r>
    </w:p>
    <w:p w:rsidR="00252869" w:rsidRPr="001B4EC1" w:rsidRDefault="00252869">
      <w:pPr>
        <w:pStyle w:val="Normaltindrag"/>
      </w:pPr>
      <w:r w:rsidRPr="001B4EC1">
        <w:t>Kommissionens ursprungliga förslag till rekommendation</w:t>
      </w:r>
      <w:r w:rsidRPr="001B4EC1">
        <w:rPr>
          <w:rStyle w:val="Fotnotsreferens"/>
        </w:rPr>
        <w:footnoteReference w:id="35"/>
      </w:r>
      <w:r w:rsidRPr="001B4EC1">
        <w:t xml:space="preserve"> hade innehållit rekommendationen till medlemsstaterna att ”erbjuda distribution, program och ställen för utbyte av kondomer, nålar och sprutor”. I fråga om syftet med åtgärderna fanns ingen hänvisning till den allmänna målsättningen att fö</w:t>
      </w:r>
      <w:r w:rsidRPr="001B4EC1">
        <w:t>r</w:t>
      </w:r>
      <w:r w:rsidRPr="001B4EC1">
        <w:t xml:space="preserve">hindra narkotikamissbruk. </w:t>
      </w:r>
    </w:p>
    <w:p w:rsidR="00252869" w:rsidRPr="001B4EC1" w:rsidRDefault="00252869">
      <w:pPr>
        <w:pStyle w:val="Normaltindrag"/>
      </w:pPr>
      <w:r w:rsidRPr="001B4EC1">
        <w:t>Rekommendationen</w:t>
      </w:r>
      <w:r w:rsidRPr="001B4EC1">
        <w:rPr>
          <w:rStyle w:val="Fotnotsreferens"/>
        </w:rPr>
        <w:footnoteReference w:id="36"/>
      </w:r>
      <w:r w:rsidRPr="001B4EC1">
        <w:t xml:space="preserve"> bifogas, </w:t>
      </w:r>
      <w:r w:rsidRPr="001B4EC1">
        <w:rPr>
          <w:i/>
        </w:rPr>
        <w:t>bilaga A 1.7.2</w:t>
      </w:r>
      <w:r w:rsidRPr="001B4EC1">
        <w:t xml:space="preserve">. </w:t>
      </w:r>
    </w:p>
    <w:p w:rsidR="00252869" w:rsidRPr="001B4EC1" w:rsidRDefault="00252869">
      <w:r w:rsidRPr="001B4EC1">
        <w:t>Den åberopade rättsliga grunden för rådsrekommen</w:t>
      </w:r>
      <w:r w:rsidRPr="001B4EC1">
        <w:softHyphen/>
        <w:t xml:space="preserve">dationen är artikel 152 i EG-fördraget. Artikeln under rubriken Folkhälsa har följande lydelse: </w:t>
      </w:r>
    </w:p>
    <w:p w:rsidR="00252869" w:rsidRPr="001B4EC1" w:rsidRDefault="00252869">
      <w:pPr>
        <w:pStyle w:val="Citat"/>
        <w:spacing w:before="125"/>
      </w:pPr>
      <w:r w:rsidRPr="001B4EC1">
        <w:t>1. En hög hälsoskyddsnivå för människor skall säkerställas vid utfor</w:t>
      </w:r>
      <w:r w:rsidRPr="001B4EC1">
        <w:t>m</w:t>
      </w:r>
      <w:r w:rsidRPr="001B4EC1">
        <w:t>ning och genom</w:t>
      </w:r>
      <w:r w:rsidRPr="001B4EC1">
        <w:softHyphen/>
        <w:t>förande av all gemenskapspolitik och alla gemenskapså</w:t>
      </w:r>
      <w:r w:rsidRPr="001B4EC1">
        <w:t>t</w:t>
      </w:r>
      <w:r w:rsidRPr="001B4EC1">
        <w:t xml:space="preserve">gärder. </w:t>
      </w:r>
    </w:p>
    <w:p w:rsidR="00252869" w:rsidRPr="001B4EC1" w:rsidRDefault="00252869">
      <w:pPr>
        <w:pStyle w:val="CitatIndrag"/>
      </w:pPr>
      <w:r w:rsidRPr="001B4EC1">
        <w:t>Gemenskapens insatser, som skall komplettera den nationella polit</w:t>
      </w:r>
      <w:r w:rsidRPr="001B4EC1">
        <w:t>i</w:t>
      </w:r>
      <w:r w:rsidRPr="001B4EC1">
        <w:t>ken, skall inriktas på att förbättra folkhälsan, förebygga ohälsa och sju</w:t>
      </w:r>
      <w:r w:rsidRPr="001B4EC1">
        <w:t>k</w:t>
      </w:r>
      <w:r w:rsidRPr="001B4EC1">
        <w:t>domar hos människor och undanröja faror för människors hälsa. Sådana insatser skall innefatta kamp mot de stora folksjuk</w:t>
      </w:r>
      <w:r w:rsidRPr="001B4EC1">
        <w:softHyphen/>
        <w:t>domarna genom att främja forskning om deras orsaker, hur de överförs och hur de kan för</w:t>
      </w:r>
      <w:r w:rsidRPr="001B4EC1">
        <w:t>e</w:t>
      </w:r>
      <w:r w:rsidRPr="001B4EC1">
        <w:t xml:space="preserve">byggas samt hälsoupplysning och hälsoundervisning. </w:t>
      </w:r>
    </w:p>
    <w:p w:rsidR="00252869" w:rsidRPr="001B4EC1" w:rsidRDefault="00252869">
      <w:pPr>
        <w:pStyle w:val="CitatIndrag"/>
      </w:pPr>
      <w:r w:rsidRPr="001B4EC1">
        <w:t>Gemenskapen skall komplettera medlemsstaternas insatser för att minska narkotika</w:t>
      </w:r>
      <w:r w:rsidRPr="001B4EC1">
        <w:softHyphen/>
        <w:t>relaterade hälsoskador, inklusive upplysning och för</w:t>
      </w:r>
      <w:r w:rsidRPr="001B4EC1">
        <w:t>e</w:t>
      </w:r>
      <w:r w:rsidRPr="001B4EC1">
        <w:t xml:space="preserve">byggande verksamhet. </w:t>
      </w:r>
    </w:p>
    <w:p w:rsidR="00252869" w:rsidRPr="001B4EC1" w:rsidRDefault="00252869">
      <w:pPr>
        <w:pStyle w:val="Citat"/>
      </w:pPr>
    </w:p>
    <w:p w:rsidR="00252869" w:rsidRPr="001B4EC1" w:rsidRDefault="00252869">
      <w:pPr>
        <w:pStyle w:val="CitatIndrag"/>
      </w:pPr>
      <w:r w:rsidRPr="001B4EC1">
        <w:t>2. Gemenskapen skall främja samarbete mellan medlemsstaterna på de områden som avses i denna artikel och vid behov stödja deras i</w:t>
      </w:r>
      <w:r w:rsidRPr="001B4EC1">
        <w:t>n</w:t>
      </w:r>
      <w:r w:rsidRPr="001B4EC1">
        <w:t xml:space="preserve">satser. </w:t>
      </w:r>
    </w:p>
    <w:p w:rsidR="00252869" w:rsidRPr="001B4EC1" w:rsidRDefault="00252869">
      <w:pPr>
        <w:pStyle w:val="CitatIndrag"/>
      </w:pPr>
      <w:r w:rsidRPr="001B4EC1">
        <w:t>Medlemsstaterna skall i samverkan med kommissionen inbördes sa</w:t>
      </w:r>
      <w:r w:rsidRPr="001B4EC1">
        <w:t>m</w:t>
      </w:r>
      <w:r w:rsidRPr="001B4EC1">
        <w:t>ordna sin politik och sina program på de områden som avses i punkt 1. Kommissionen kan i nära kontakt med medlemsstaterna ta lämpliga init</w:t>
      </w:r>
      <w:r w:rsidRPr="001B4EC1">
        <w:t>i</w:t>
      </w:r>
      <w:r w:rsidRPr="001B4EC1">
        <w:t xml:space="preserve">ativ för att främja en sådan samordning. </w:t>
      </w:r>
    </w:p>
    <w:p w:rsidR="00252869" w:rsidRPr="001B4EC1" w:rsidRDefault="00252869">
      <w:pPr>
        <w:pStyle w:val="CitatIndrag"/>
      </w:pPr>
    </w:p>
    <w:p w:rsidR="00252869" w:rsidRPr="001B4EC1" w:rsidRDefault="00252869">
      <w:pPr>
        <w:pStyle w:val="CitatIndrag"/>
      </w:pPr>
      <w:r w:rsidRPr="001B4EC1">
        <w:t xml:space="preserve">3. Gemenskapen och medlemsstaterna skall främja samarbetet med tredje land och behöriga internationella organisationer på folkhälsans område. </w:t>
      </w:r>
    </w:p>
    <w:p w:rsidR="00252869" w:rsidRPr="001B4EC1" w:rsidRDefault="00252869">
      <w:pPr>
        <w:pStyle w:val="CitatIndrag"/>
      </w:pPr>
    </w:p>
    <w:p w:rsidR="00252869" w:rsidRPr="001B4EC1" w:rsidRDefault="00252869">
      <w:pPr>
        <w:pStyle w:val="CitatIndrag"/>
      </w:pPr>
      <w:r w:rsidRPr="001B4EC1">
        <w:t>4. Rådet skall, enligt förfarandet i artikel 251</w:t>
      </w:r>
      <w:r w:rsidRPr="001B4EC1">
        <w:rPr>
          <w:rStyle w:val="Fotnotsreferens"/>
          <w:sz w:val="20"/>
        </w:rPr>
        <w:footnoteReference w:id="37"/>
      </w:r>
      <w:r w:rsidRPr="001B4EC1">
        <w:t xml:space="preserve"> och efter att ha hört Ekonomiska och sociala kommittén samt Regionkommittén, bidra till att de mål som anges i denna artikel uppnås genom att </w:t>
      </w:r>
    </w:p>
    <w:p w:rsidR="00252869" w:rsidRPr="001B4EC1" w:rsidRDefault="00252869">
      <w:pPr>
        <w:pStyle w:val="CitatIndrag"/>
      </w:pPr>
      <w:r w:rsidRPr="001B4EC1">
        <w:t>a) besluta om åtgärder för att fastställa höga kvalitets- och säkerhet</w:t>
      </w:r>
      <w:r w:rsidRPr="001B4EC1">
        <w:t>s</w:t>
      </w:r>
      <w:r w:rsidRPr="001B4EC1">
        <w:t>standarder i fråga om organ och ämnen av mänskligt ursprung, blod och blodderivat; dessa åtgärder skall inte hindra någon medlemsstat från att up</w:t>
      </w:r>
      <w:r w:rsidRPr="001B4EC1">
        <w:t>p</w:t>
      </w:r>
      <w:r w:rsidRPr="001B4EC1">
        <w:t xml:space="preserve">rätthålla eller införa strängare skyddsåtgärder, </w:t>
      </w:r>
    </w:p>
    <w:p w:rsidR="00252869" w:rsidRPr="001B4EC1" w:rsidRDefault="00252869">
      <w:pPr>
        <w:pStyle w:val="CitatIndrag"/>
      </w:pPr>
      <w:r w:rsidRPr="001B4EC1">
        <w:rPr>
          <w:sz w:val="20"/>
        </w:rPr>
        <w:t>b) med undantag från artikel 37 besluta om sådana åtgärder på v</w:t>
      </w:r>
      <w:r w:rsidRPr="001B4EC1">
        <w:rPr>
          <w:sz w:val="20"/>
        </w:rPr>
        <w:t>e</w:t>
      </w:r>
      <w:r w:rsidRPr="001B4EC1">
        <w:rPr>
          <w:sz w:val="20"/>
        </w:rPr>
        <w:t xml:space="preserve">terinär- </w:t>
      </w:r>
      <w:r w:rsidRPr="001B4EC1">
        <w:t>och</w:t>
      </w:r>
      <w:r w:rsidRPr="001B4EC1">
        <w:rPr>
          <w:sz w:val="20"/>
        </w:rPr>
        <w:t xml:space="preserve"> </w:t>
      </w:r>
      <w:r w:rsidRPr="001B4EC1">
        <w:t>växtskydds</w:t>
      </w:r>
      <w:r w:rsidRPr="001B4EC1">
        <w:softHyphen/>
        <w:t>området</w:t>
      </w:r>
      <w:r w:rsidRPr="001B4EC1">
        <w:rPr>
          <w:sz w:val="20"/>
        </w:rPr>
        <w:t xml:space="preserve"> som direkt syftar till att skydda fol</w:t>
      </w:r>
      <w:r w:rsidRPr="001B4EC1">
        <w:rPr>
          <w:sz w:val="20"/>
        </w:rPr>
        <w:t>k</w:t>
      </w:r>
      <w:r w:rsidRPr="001B4EC1">
        <w:rPr>
          <w:sz w:val="20"/>
        </w:rPr>
        <w:t xml:space="preserve">hälsan, </w:t>
      </w:r>
    </w:p>
    <w:p w:rsidR="00252869" w:rsidRPr="001B4EC1" w:rsidRDefault="00252869">
      <w:pPr>
        <w:pStyle w:val="CitatIndrag"/>
      </w:pPr>
      <w:r w:rsidRPr="001B4EC1">
        <w:t>c) besluta om stimulansåtgärder som är utformade för att skydda och förbättra människors hälsa, dock utan att dessa åtgärder får omfatta n</w:t>
      </w:r>
      <w:r w:rsidRPr="001B4EC1">
        <w:t>å</w:t>
      </w:r>
      <w:r w:rsidRPr="001B4EC1">
        <w:t>gon harmonisering av medlemsstaternas lagar eller andra förfat</w:t>
      </w:r>
      <w:r w:rsidRPr="001B4EC1">
        <w:t>t</w:t>
      </w:r>
      <w:r w:rsidRPr="001B4EC1">
        <w:t xml:space="preserve">ningar. </w:t>
      </w:r>
    </w:p>
    <w:p w:rsidR="00252869" w:rsidRPr="001B4EC1" w:rsidRDefault="00252869">
      <w:pPr>
        <w:pStyle w:val="CitatIndrag"/>
      </w:pPr>
      <w:r w:rsidRPr="001B4EC1">
        <w:t>Rådet kan också med kvalificerad majoritet på förslag av kommissi</w:t>
      </w:r>
      <w:r w:rsidRPr="001B4EC1">
        <w:t>o</w:t>
      </w:r>
      <w:r w:rsidRPr="001B4EC1">
        <w:t>nen anta rekom</w:t>
      </w:r>
      <w:r w:rsidRPr="001B4EC1">
        <w:softHyphen/>
        <w:t>mendationer för de syften som anges i denna art</w:t>
      </w:r>
      <w:r w:rsidRPr="001B4EC1">
        <w:t>i</w:t>
      </w:r>
      <w:r w:rsidRPr="001B4EC1">
        <w:t xml:space="preserve">kel. </w:t>
      </w:r>
    </w:p>
    <w:p w:rsidR="00252869" w:rsidRPr="001B4EC1" w:rsidRDefault="00252869">
      <w:pPr>
        <w:pStyle w:val="CitatIndrag"/>
      </w:pPr>
    </w:p>
    <w:p w:rsidR="00252869" w:rsidRPr="001B4EC1" w:rsidRDefault="00252869">
      <w:pPr>
        <w:pStyle w:val="CitatIndrag"/>
      </w:pPr>
      <w:r w:rsidRPr="001B4EC1">
        <w:t>5. När gemenskapen handlar på folkhälsoområdet skall den fullt ut respektera medlems</w:t>
      </w:r>
      <w:r w:rsidRPr="001B4EC1">
        <w:softHyphen/>
        <w:t>staternas ansvar för att organisera och ge hälso- och sjukvård. Särskilt får inte de åtgärder som avses i punkt 4 a påverka n</w:t>
      </w:r>
      <w:r w:rsidRPr="001B4EC1">
        <w:t>a</w:t>
      </w:r>
      <w:r w:rsidRPr="001B4EC1">
        <w:t>tionella bestämmelser om donation eller medicinsk an</w:t>
      </w:r>
      <w:r w:rsidRPr="001B4EC1">
        <w:softHyphen/>
        <w:t xml:space="preserve">vändning av organ och blod. </w:t>
      </w:r>
    </w:p>
    <w:p w:rsidR="00252869" w:rsidRPr="001B4EC1" w:rsidRDefault="00252869">
      <w:pPr>
        <w:pStyle w:val="R4"/>
      </w:pPr>
      <w:r w:rsidRPr="001B4EC1">
        <w:t xml:space="preserve">EU-nämnden </w:t>
      </w:r>
    </w:p>
    <w:p w:rsidR="00252869" w:rsidRPr="001B4EC1" w:rsidRDefault="00252869">
      <w:r w:rsidRPr="001B4EC1">
        <w:t>Förslaget till rekommendation berördes vid EU-nämndens sammanträden den 20 juni och den 29 november 2002</w:t>
      </w:r>
      <w:r w:rsidRPr="001B4EC1">
        <w:rPr>
          <w:i/>
        </w:rPr>
        <w:t>.</w:t>
      </w:r>
      <w:r w:rsidRPr="001B4EC1">
        <w:t xml:space="preserve"> </w:t>
      </w:r>
    </w:p>
    <w:p w:rsidR="00252869" w:rsidRPr="001B4EC1" w:rsidRDefault="00252869">
      <w:pPr>
        <w:pStyle w:val="Normaltindrag"/>
      </w:pPr>
      <w:r w:rsidRPr="001B4EC1">
        <w:t>Vid samråd i EU-nämnden den 20 juni 2002</w:t>
      </w:r>
      <w:r w:rsidRPr="001B4EC1">
        <w:rPr>
          <w:rStyle w:val="Fotnotsreferens"/>
        </w:rPr>
        <w:footnoteReference w:id="38"/>
      </w:r>
      <w:r w:rsidRPr="001B4EC1">
        <w:t xml:space="preserve"> nämnde socialminister Lars Engqvist att en redovisning skulle lämnas av arbetet med att förbereda en särskild rådsrekommendation om förebyggande insatser på narkotikaområdet. Han bedömde att det fanns formuleringar som Sverige mycket bestämt skulle komma att vara emot, även om det var väldigt mycket som var bra. De fo</w:t>
      </w:r>
      <w:r w:rsidRPr="001B4EC1">
        <w:t>r</w:t>
      </w:r>
      <w:r w:rsidRPr="001B4EC1">
        <w:t>muleringar man kunde vara tveksam till gällde bl.a. sprututbyte. Han framhöll också att det var ett förslag till rekommendation och att inga formuleringar var binda</w:t>
      </w:r>
      <w:r w:rsidRPr="001B4EC1">
        <w:t>n</w:t>
      </w:r>
      <w:r w:rsidRPr="001B4EC1">
        <w:t xml:space="preserve">de. </w:t>
      </w:r>
    </w:p>
    <w:p w:rsidR="00252869" w:rsidRPr="001B4EC1" w:rsidRDefault="00252869">
      <w:pPr>
        <w:pStyle w:val="Normaltindrag"/>
      </w:pPr>
      <w:r w:rsidRPr="001B4EC1">
        <w:t xml:space="preserve">I Regeringskansliets </w:t>
      </w:r>
      <w:r w:rsidRPr="001B4EC1">
        <w:t>ministerrådspromemoria inför möte med det s.k. hä</w:t>
      </w:r>
      <w:r w:rsidRPr="001B4EC1">
        <w:t>l</w:t>
      </w:r>
      <w:r w:rsidRPr="001B4EC1">
        <w:t>sorådet (EPSCO) den 2 december 2002 angavs att samförstånd i princip up</w:t>
      </w:r>
      <w:r w:rsidRPr="001B4EC1">
        <w:t>p</w:t>
      </w:r>
      <w:r w:rsidRPr="001B4EC1">
        <w:t>nåtts om textförslaget och att inför Coreperbehandlingen kvarstod en utest</w:t>
      </w:r>
      <w:r w:rsidRPr="001B4EC1">
        <w:t>å</w:t>
      </w:r>
      <w:r w:rsidRPr="001B4EC1">
        <w:t xml:space="preserve">ende fråga, gällande hänvisning till s.k. sprutrum. Som svensk inställning angavs att vi kunde acceptera rekommendationen i föreliggande form men att vi helt motsatte oss förslag att hänvisa till sprutrum i den. </w:t>
      </w:r>
    </w:p>
    <w:p w:rsidR="00252869" w:rsidRPr="001B4EC1" w:rsidRDefault="00252869">
      <w:pPr>
        <w:pStyle w:val="Normaltindrag"/>
      </w:pPr>
      <w:r w:rsidRPr="001B4EC1">
        <w:t>Vid samråd i EU-nämnden den 29 november 2002</w:t>
      </w:r>
      <w:r w:rsidRPr="001B4EC1">
        <w:rPr>
          <w:rStyle w:val="Fotnotsreferens"/>
        </w:rPr>
        <w:footnoteReference w:id="39"/>
      </w:r>
      <w:r w:rsidRPr="001B4EC1">
        <w:t xml:space="preserve"> inför det nämnda rådsmötet framhöll statsrådet Morgan Johansson att frågan om förebyggande och behandling av missbrukare var full av konflikter i Europa och att varje ord nästan måste vägas på guldvåg. Den preliminära överenskommelsen som fanns ansåg han ha i det rådande läget acceptabla skrivningar som uppfyllde svenska krav. Han påpekade att förhandlingsläget inte varit enkelt och ville nämna en sak, som kunde komma upp på rådsmötet, nämligen frågan om sprutrum, där han ansåg sig notera olika utveckling </w:t>
      </w:r>
      <w:r w:rsidRPr="001B4EC1">
        <w:t xml:space="preserve">i Danmark och Norge. </w:t>
      </w:r>
    </w:p>
    <w:p w:rsidR="00252869" w:rsidRPr="001B4EC1" w:rsidRDefault="00252869">
      <w:pPr>
        <w:pStyle w:val="Normaltindrag"/>
      </w:pPr>
      <w:r w:rsidRPr="001B4EC1">
        <w:t>Från olika ledamöters sida framhölls att alla former av sprutrum borde a</w:t>
      </w:r>
      <w:r w:rsidRPr="001B4EC1">
        <w:t>v</w:t>
      </w:r>
      <w:r w:rsidRPr="001B4EC1">
        <w:t>visas och även att Sverige inte borde gå med på rekommendationen. Morgan Johansson uttalade att det varit viktigt att säga att vi tar avstånd från narkotika men inte från narkomanerna. Sådana förhandlingar som det var fråga om blev enligt statsrådet till syvende och sist alltid en fråga om att försöka vaska fram den minsta gemensamma nämnaren och samtidigt se till att flytta fram sina egna positioner, vilket inte alla gånger var alldeles enkelt. Han ansåg att det gick att stå för den lösning som man dittil</w:t>
      </w:r>
      <w:r w:rsidRPr="001B4EC1">
        <w:t>ls hade lyckats få fram, utan hänvi</w:t>
      </w:r>
      <w:r w:rsidRPr="001B4EC1">
        <w:t>s</w:t>
      </w:r>
      <w:r w:rsidRPr="001B4EC1">
        <w:t xml:space="preserve">ningar till bl.a. sprutrum, och att den svenska ståndpunkten uppfylldes. Vi vandrade inte på någon legaliseringslinje. </w:t>
      </w:r>
    </w:p>
    <w:p w:rsidR="00252869" w:rsidRPr="001B4EC1" w:rsidRDefault="00252869">
      <w:pPr>
        <w:pStyle w:val="Normaltindrag"/>
      </w:pPr>
      <w:r w:rsidRPr="001B4EC1">
        <w:t>Ordföranden konstaterade sammanfattningsvis att det fanns majoritet för regeringens ståndpunkt i ärendet.</w:t>
      </w:r>
    </w:p>
    <w:p w:rsidR="00252869" w:rsidRPr="001B4EC1" w:rsidRDefault="00252869">
      <w:pPr>
        <w:pStyle w:val="Normaltindrag"/>
      </w:pPr>
      <w:r w:rsidRPr="001B4EC1">
        <w:t xml:space="preserve">Enligt återrapporten från rådsmötet den 2 december 2002 betonade Sverige vid mötet att landet bestämt tog avstånd från vissa typer av skadereducerande insatser, t.ex. injektionsrum, eftersom dessa bedömdes som kontraproduktiva. Av rapporten framgår att ordföranden konstaterade att det fanns bred samsyn på den ”nuvarande” texten. </w:t>
      </w:r>
    </w:p>
    <w:p w:rsidR="00252869" w:rsidRPr="001B4EC1" w:rsidRDefault="00252869">
      <w:pPr>
        <w:pStyle w:val="Rubrik3"/>
        <w:rPr>
          <w:noProof w:val="0"/>
        </w:rPr>
      </w:pPr>
      <w:bookmarkStart w:id="61" w:name="_Toc72648492"/>
      <w:r w:rsidRPr="001B4EC1">
        <w:rPr>
          <w:noProof w:val="0"/>
        </w:rPr>
        <w:t>Uppgifter från Regeringskansliet</w:t>
      </w:r>
      <w:bookmarkEnd w:id="61"/>
      <w:r w:rsidRPr="001B4EC1">
        <w:rPr>
          <w:noProof w:val="0"/>
        </w:rPr>
        <w:t xml:space="preserve"> </w:t>
      </w:r>
    </w:p>
    <w:p w:rsidR="00252869" w:rsidRPr="001B4EC1" w:rsidRDefault="00252869">
      <w:r w:rsidRPr="001B4EC1">
        <w:t xml:space="preserve">Utskottet har  i en skrivelse till Regeringskansliet begärt kommentarer till uppgifterna i anmälan och en redovisning av de händelser som anmälan avser. </w:t>
      </w:r>
    </w:p>
    <w:p w:rsidR="00252869" w:rsidRPr="001B4EC1" w:rsidRDefault="00252869">
      <w:pPr>
        <w:pStyle w:val="Normaltindrag"/>
      </w:pPr>
      <w:r w:rsidRPr="001B4EC1">
        <w:t>I svar har hänvisats till en inom Regeringskansliet upprättad promemoria den 9 mars 2004. I promemorian framhålls att den aktuella rättsakten grundar sig på artikel 152 i EG-fördraget, vars övergripande syfte är att gemenskapen skall komplettera medlemsstaternas insatser för att minska narkotikarelater</w:t>
      </w:r>
      <w:r w:rsidRPr="001B4EC1">
        <w:t>a</w:t>
      </w:r>
      <w:r w:rsidRPr="001B4EC1">
        <w:t>de hälsoskador. I paragraf 4 c i artikeln anges uttryckligen att någon harmon</w:t>
      </w:r>
      <w:r w:rsidRPr="001B4EC1">
        <w:t>i</w:t>
      </w:r>
      <w:r w:rsidRPr="001B4EC1">
        <w:t>sering av medlemsstaternas lagar eller andra författningar inte får förekomma. Däremot fastslås att rådet med kvalificerad majoritet på förslag av kommi</w:t>
      </w:r>
      <w:r w:rsidRPr="001B4EC1">
        <w:t>s</w:t>
      </w:r>
      <w:r w:rsidRPr="001B4EC1">
        <w:t>sionen kan anta rekommendationer, vilka per definition inte är rättsligt bi</w:t>
      </w:r>
      <w:r w:rsidRPr="001B4EC1">
        <w:t>n</w:t>
      </w:r>
      <w:r w:rsidRPr="001B4EC1">
        <w:t xml:space="preserve">dande, för syftena som anges i artikeln (jfr artikel 249 i EG-fördraget). </w:t>
      </w:r>
    </w:p>
    <w:p w:rsidR="00252869" w:rsidRPr="001B4EC1" w:rsidRDefault="00252869">
      <w:pPr>
        <w:pStyle w:val="Normaltindrag"/>
      </w:pPr>
      <w:r w:rsidRPr="001B4EC1">
        <w:t>I det aktuella fallet hade kommissionen alltså mot bakgrund av artikel 152 föreslagit en rekommendation som handlar om förebyggan</w:t>
      </w:r>
      <w:r w:rsidRPr="001B4EC1">
        <w:t>de och begränsning av skador i samband med narkotikamissbruk och i vilken en utav de föresla</w:t>
      </w:r>
      <w:r w:rsidRPr="001B4EC1">
        <w:t>g</w:t>
      </w:r>
      <w:r w:rsidRPr="001B4EC1">
        <w:t xml:space="preserve">na åtgärderna berör sprututbytesverksamhet. Den aktuella skrivningen </w:t>
      </w:r>
      <w:r w:rsidRPr="001B4EC1">
        <w:br/>
        <w:t xml:space="preserve">(p. 2.10) gör gällande att medlemsstaterna </w:t>
      </w:r>
      <w:r w:rsidRPr="001B4EC1">
        <w:rPr>
          <w:i/>
        </w:rPr>
        <w:t>”med beaktande av den allmänna målsättningen som i första hand är att förhindra narkotikamissbruk, bör erbjuda, när så är lämpligt, tillgång till distribution av kondomer och injic</w:t>
      </w:r>
      <w:r w:rsidRPr="001B4EC1">
        <w:rPr>
          <w:i/>
        </w:rPr>
        <w:t>e</w:t>
      </w:r>
      <w:r w:rsidRPr="001B4EC1">
        <w:rPr>
          <w:i/>
        </w:rPr>
        <w:t>ringsverktyg samt till program och ställen för utbyte av dessa”</w:t>
      </w:r>
      <w:r w:rsidRPr="001B4EC1">
        <w:t xml:space="preserve">.  </w:t>
      </w:r>
    </w:p>
    <w:p w:rsidR="00252869" w:rsidRPr="001B4EC1" w:rsidRDefault="00252869">
      <w:pPr>
        <w:pStyle w:val="Normaltindrag"/>
      </w:pPr>
      <w:r w:rsidRPr="001B4EC1">
        <w:t>Påståendet i anmälan att Sverige i och med accepterandet a</w:t>
      </w:r>
      <w:r w:rsidRPr="001B4EC1">
        <w:t>v rekomme</w:t>
      </w:r>
      <w:r w:rsidRPr="001B4EC1">
        <w:t>n</w:t>
      </w:r>
      <w:r w:rsidRPr="001B4EC1">
        <w:t>dationen tvingas att införa permanenta sprututbytesprogram är enligt prom</w:t>
      </w:r>
      <w:r w:rsidRPr="001B4EC1">
        <w:t>e</w:t>
      </w:r>
      <w:r w:rsidRPr="001B4EC1">
        <w:t>morian juridiskt helt grundlöst, eftersom artikel 152 inte ger stöd för en ha</w:t>
      </w:r>
      <w:r w:rsidRPr="001B4EC1">
        <w:t>r</w:t>
      </w:r>
      <w:r w:rsidRPr="001B4EC1">
        <w:t xml:space="preserve">monisering av ländernas lagstiftning. Med andra ord har EU på grundval av den nämnda rekommendationen inget mandat att tvinga Sverige eller någon annan medlemsstat att införa vare sig sprututbytesprogram eller någon annan av de åtgärder som nämnts i rekommendationen. </w:t>
      </w:r>
    </w:p>
    <w:p w:rsidR="00252869" w:rsidRPr="001B4EC1" w:rsidRDefault="00252869">
      <w:pPr>
        <w:pStyle w:val="Normaltindrag"/>
      </w:pPr>
      <w:r w:rsidRPr="001B4EC1">
        <w:t>För att tydliggöra att Sverige inte kunde acceptera en rättsakt där det u</w:t>
      </w:r>
      <w:r w:rsidRPr="001B4EC1">
        <w:t>t</w:t>
      </w:r>
      <w:r w:rsidRPr="001B4EC1">
        <w:t xml:space="preserve">tryckligen rekommenderas att medlemsstaterna inför sprututbytesprogram, vilket angavs i den ursprungliga versionen av rekommendationen, infördes efter svenska påtryckningar tillägget </w:t>
      </w:r>
      <w:r w:rsidRPr="001B4EC1">
        <w:rPr>
          <w:i/>
        </w:rPr>
        <w:t>”när så är lämpligt”</w:t>
      </w:r>
      <w:r w:rsidRPr="001B4EC1">
        <w:t xml:space="preserve"> under förhandlin</w:t>
      </w:r>
      <w:r w:rsidRPr="001B4EC1">
        <w:t>g</w:t>
      </w:r>
      <w:r w:rsidRPr="001B4EC1">
        <w:t>arna om rekommendationen i rådet. Trots att artikel 152 som sådan respekt</w:t>
      </w:r>
      <w:r w:rsidRPr="001B4EC1">
        <w:t>e</w:t>
      </w:r>
      <w:r w:rsidRPr="001B4EC1">
        <w:t>rar subsidiaritetsprincipen blev den principen dessutom än tydligare efter nämnda svenska tillägg, eftersom den ger medlemsstaterna tolkningsutrymme att avgöra huruvida åtgärden de facto anses lämplig eller ej. Vidar</w:t>
      </w:r>
      <w:r w:rsidRPr="001B4EC1">
        <w:t xml:space="preserve">e tillades på svensk begäran i inledningen till paragraf 2 meningen: </w:t>
      </w:r>
      <w:r w:rsidRPr="001B4EC1">
        <w:rPr>
          <w:i/>
        </w:rPr>
        <w:t>”med beaktande av den allmänna målsättningen som i första hand är att förhindra narkotik</w:t>
      </w:r>
      <w:r w:rsidRPr="001B4EC1">
        <w:rPr>
          <w:i/>
        </w:rPr>
        <w:t>a</w:t>
      </w:r>
      <w:r w:rsidRPr="001B4EC1">
        <w:rPr>
          <w:i/>
        </w:rPr>
        <w:t>missbruk”</w:t>
      </w:r>
      <w:r w:rsidRPr="001B4EC1">
        <w:t xml:space="preserve"> i syfte att ytterligare förstärka vikten av att dylika åtgärder alltid måste vidtas inom ramen för det övergripande målet att förhindra narkotik</w:t>
      </w:r>
      <w:r w:rsidRPr="001B4EC1">
        <w:t>a</w:t>
      </w:r>
      <w:r w:rsidRPr="001B4EC1">
        <w:t>missbruk. Sverige kunde ställa sig bakom rekommendationen endast under föru</w:t>
      </w:r>
      <w:r w:rsidRPr="001B4EC1">
        <w:t>t</w:t>
      </w:r>
      <w:r w:rsidRPr="001B4EC1">
        <w:t xml:space="preserve">sättning att dessa två tillägg gjordes. </w:t>
      </w:r>
    </w:p>
    <w:p w:rsidR="00252869" w:rsidRPr="001B4EC1" w:rsidRDefault="00252869">
      <w:pPr>
        <w:pStyle w:val="Normaltindrag"/>
      </w:pPr>
      <w:r w:rsidRPr="001B4EC1">
        <w:t>Sammanfattningsvis konstateras i promemorian att regeringen på intet sätt accepter</w:t>
      </w:r>
      <w:r w:rsidRPr="001B4EC1">
        <w:t xml:space="preserve">at någon rättsakt som innebär att Sverige tvingas införa permanenta sprututbytesprogram. Artikel 152 skulle heller inte ge möjlighet till detta, eftersom den uttryckligen förbjuder överstatlighet när det gäller sättet på vilket medlemsstaterna organiserar sin hälso- och sjukvård. Vad Sverige har accepterat är endast en rådsrekommendation där medlemsstaterna </w:t>
      </w:r>
      <w:r w:rsidRPr="001B4EC1">
        <w:rPr>
          <w:i/>
        </w:rPr>
        <w:t>rekomme</w:t>
      </w:r>
      <w:r w:rsidRPr="001B4EC1">
        <w:rPr>
          <w:i/>
        </w:rPr>
        <w:t>n</w:t>
      </w:r>
      <w:r w:rsidRPr="001B4EC1">
        <w:rPr>
          <w:i/>
        </w:rPr>
        <w:t>deras</w:t>
      </w:r>
      <w:r w:rsidRPr="001B4EC1">
        <w:t xml:space="preserve"> att bland andra åtgärder och </w:t>
      </w:r>
      <w:r w:rsidRPr="001B4EC1">
        <w:rPr>
          <w:i/>
        </w:rPr>
        <w:t>när så är lämpligt</w:t>
      </w:r>
      <w:r w:rsidRPr="001B4EC1">
        <w:t xml:space="preserve"> införa sprututbytespr</w:t>
      </w:r>
      <w:r w:rsidRPr="001B4EC1">
        <w:t>o</w:t>
      </w:r>
      <w:r w:rsidRPr="001B4EC1">
        <w:t>gram som en av flera andra åtgärder och mot bakgrund av det generell</w:t>
      </w:r>
      <w:r w:rsidRPr="001B4EC1">
        <w:t xml:space="preserve">a målet att förhindra att narkotikamissbruk uppkommer över huvud taget. </w:t>
      </w:r>
    </w:p>
    <w:p w:rsidR="00252869" w:rsidRPr="001B4EC1" w:rsidRDefault="00252869">
      <w:pPr>
        <w:pStyle w:val="Normaltindrag"/>
      </w:pPr>
      <w:r w:rsidRPr="001B4EC1">
        <w:t>I promemorian framhålls att vid EU-nämnden den 29 november 2002 både Lars Engqvist och Morgan Johansson deltog. Johansson, som i enlighet med förordnande enligt 7 kap. 5 § regeringsformen alltsedan den 21 oktober 2002 är ansvarig för narkotikapolitiken, informerade då nämnden om rekomme</w:t>
      </w:r>
      <w:r w:rsidRPr="001B4EC1">
        <w:t>n</w:t>
      </w:r>
      <w:r w:rsidRPr="001B4EC1">
        <w:t xml:space="preserve">dationen och sade bl.a. att regeringen ansåg att rekommendationen innehåller </w:t>
      </w:r>
      <w:r w:rsidRPr="001B4EC1">
        <w:rPr>
          <w:i/>
        </w:rPr>
        <w:t>”… acceptabla skrivningar som uppfyller de krav vi har på det här omr</w:t>
      </w:r>
      <w:r w:rsidRPr="001B4EC1">
        <w:rPr>
          <w:i/>
        </w:rPr>
        <w:t>å</w:t>
      </w:r>
      <w:r w:rsidRPr="001B4EC1">
        <w:rPr>
          <w:i/>
        </w:rPr>
        <w:t>det.”</w:t>
      </w:r>
      <w:r w:rsidRPr="001B4EC1">
        <w:t xml:space="preserve">. Han tillade att vi från Sveriges sida är </w:t>
      </w:r>
      <w:r w:rsidRPr="001B4EC1">
        <w:rPr>
          <w:i/>
        </w:rPr>
        <w:t>”… välkända för att ha en myc</w:t>
      </w:r>
      <w:r w:rsidRPr="001B4EC1">
        <w:rPr>
          <w:i/>
        </w:rPr>
        <w:t>k</w:t>
      </w:r>
      <w:r w:rsidRPr="001B4EC1">
        <w:rPr>
          <w:i/>
        </w:rPr>
        <w:t>et restriktiv syn på narkotikapolitiken”.</w:t>
      </w:r>
      <w:r w:rsidRPr="001B4EC1">
        <w:t xml:space="preserve"> (EUN 2002/03:8 anf. 289). </w:t>
      </w:r>
    </w:p>
    <w:p w:rsidR="00252869" w:rsidRPr="001B4EC1" w:rsidRDefault="00252869">
      <w:r w:rsidRPr="001B4EC1">
        <w:t xml:space="preserve">Promemorian från Regeringskansliet finns intagen som </w:t>
      </w:r>
      <w:r w:rsidRPr="001B4EC1">
        <w:rPr>
          <w:i/>
        </w:rPr>
        <w:t>bilaga A 1.6.4</w:t>
      </w:r>
      <w:r w:rsidRPr="001B4EC1">
        <w:t>.</w:t>
      </w:r>
    </w:p>
    <w:p w:rsidR="00252869" w:rsidRPr="001B4EC1" w:rsidRDefault="00252869">
      <w:pPr>
        <w:pStyle w:val="Rubrik3"/>
        <w:rPr>
          <w:noProof w:val="0"/>
        </w:rPr>
      </w:pPr>
      <w:bookmarkStart w:id="62" w:name="_Toc72648493"/>
      <w:r w:rsidRPr="001B4EC1">
        <w:rPr>
          <w:noProof w:val="0"/>
        </w:rPr>
        <w:t>Utskottets ställningstagande</w:t>
      </w:r>
      <w:bookmarkEnd w:id="62"/>
      <w:r w:rsidRPr="001B4EC1">
        <w:rPr>
          <w:noProof w:val="0"/>
        </w:rPr>
        <w:t xml:space="preserve"> </w:t>
      </w:r>
    </w:p>
    <w:p w:rsidR="00252869" w:rsidRPr="001B4EC1" w:rsidRDefault="00252869">
      <w:r w:rsidRPr="001B4EC1">
        <w:t xml:space="preserve">Granskningen föranleder inte något uttalande av utskottet. </w:t>
      </w:r>
    </w:p>
    <w:p w:rsidR="00252869" w:rsidRPr="001B4EC1" w:rsidRDefault="00252869">
      <w:pPr>
        <w:pStyle w:val="Rubrik2"/>
      </w:pPr>
      <w:bookmarkStart w:id="63" w:name="_Toc72648494"/>
      <w:r w:rsidRPr="001B4EC1">
        <w:t>1.8 Informationen till EU-nämnden om Sveriges agerande i fråga om s.k. asylz</w:t>
      </w:r>
      <w:r w:rsidRPr="001B4EC1">
        <w:t>o</w:t>
      </w:r>
      <w:r w:rsidRPr="001B4EC1">
        <w:t>ner</w:t>
      </w:r>
      <w:bookmarkEnd w:id="63"/>
    </w:p>
    <w:p w:rsidR="00252869" w:rsidRPr="001B4EC1" w:rsidRDefault="00252869">
      <w:pPr>
        <w:pStyle w:val="Rubrik3"/>
        <w:spacing w:before="235"/>
        <w:rPr>
          <w:noProof w:val="0"/>
        </w:rPr>
      </w:pPr>
      <w:bookmarkStart w:id="64" w:name="_Toc72648495"/>
      <w:r w:rsidRPr="001B4EC1">
        <w:rPr>
          <w:noProof w:val="0"/>
        </w:rPr>
        <w:t>Anmälan</w:t>
      </w:r>
      <w:bookmarkEnd w:id="64"/>
      <w:r w:rsidRPr="001B4EC1">
        <w:rPr>
          <w:noProof w:val="0"/>
        </w:rPr>
        <w:t xml:space="preserve"> </w:t>
      </w:r>
    </w:p>
    <w:p w:rsidR="00252869" w:rsidRPr="001B4EC1" w:rsidRDefault="00252869">
      <w:r w:rsidRPr="001B4EC1">
        <w:t xml:space="preserve">I en anmälan till konstitutionsutskottet den 3 juni 2003, </w:t>
      </w:r>
      <w:r w:rsidRPr="001B4EC1">
        <w:rPr>
          <w:i/>
        </w:rPr>
        <w:t>bilaga A 1.8.1</w:t>
      </w:r>
      <w:r w:rsidRPr="001B4EC1">
        <w:t>, begärs att utskottet skall granska statsrådet Jan O. Karlsson i fråga om den inform</w:t>
      </w:r>
      <w:r w:rsidRPr="001B4EC1">
        <w:t>a</w:t>
      </w:r>
      <w:r w:rsidRPr="001B4EC1">
        <w:t xml:space="preserve">tion han lämnat EU-nämnden om hur Sverige agerat i förhållande till ett brittiskt förslag om upprättande av s.k. skyddszoner för asylsökande utanför Europeiska unionen. Den lämnade informationen är enligt anmälan sannolikt felaktig. </w:t>
      </w:r>
    </w:p>
    <w:p w:rsidR="00252869" w:rsidRPr="001B4EC1" w:rsidRDefault="00252869">
      <w:pPr>
        <w:pStyle w:val="Normaltindrag"/>
      </w:pPr>
      <w:r w:rsidRPr="001B4EC1">
        <w:t>Anmälan gäller uppgifter om Karlssons agerande vid ett informellt råd</w:t>
      </w:r>
      <w:r w:rsidRPr="001B4EC1">
        <w:t>s</w:t>
      </w:r>
      <w:r w:rsidRPr="001B4EC1">
        <w:t xml:space="preserve">möte för rättsliga och inrikes frågor i Veria den 28–29 mars 2003. Anmälaren jämför Karlssons muntliga återrapport till EU-nämnden den 28 april 2003 med uppgifter i Regeringskansliets skriftliga återrapport den 2 april 2003 från mötet, vilka båda återges i anmälan. </w:t>
      </w:r>
    </w:p>
    <w:p w:rsidR="00252869" w:rsidRPr="001B4EC1" w:rsidRDefault="00252869">
      <w:pPr>
        <w:pStyle w:val="Rubrik3"/>
        <w:rPr>
          <w:noProof w:val="0"/>
        </w:rPr>
      </w:pPr>
      <w:bookmarkStart w:id="65" w:name="_Toc72648496"/>
      <w:r w:rsidRPr="001B4EC1">
        <w:rPr>
          <w:noProof w:val="0"/>
        </w:rPr>
        <w:t>Bakgrund</w:t>
      </w:r>
      <w:bookmarkEnd w:id="65"/>
      <w:r w:rsidRPr="001B4EC1">
        <w:rPr>
          <w:noProof w:val="0"/>
        </w:rPr>
        <w:t xml:space="preserve"> </w:t>
      </w:r>
    </w:p>
    <w:p w:rsidR="00252869" w:rsidRPr="001B4EC1" w:rsidRDefault="00252869">
      <w:pPr>
        <w:pStyle w:val="R4"/>
      </w:pPr>
      <w:r w:rsidRPr="001B4EC1">
        <w:t>Det brittiska initiativet</w:t>
      </w:r>
      <w:r w:rsidRPr="001B4EC1">
        <w:rPr>
          <w:rStyle w:val="Fotnotsreferens"/>
        </w:rPr>
        <w:footnoteReference w:id="40"/>
      </w:r>
      <w:r w:rsidRPr="001B4EC1">
        <w:t xml:space="preserve"> </w:t>
      </w:r>
    </w:p>
    <w:p w:rsidR="00252869" w:rsidRPr="001B4EC1" w:rsidRDefault="00252869">
      <w:r w:rsidRPr="001B4EC1">
        <w:t xml:space="preserve">Den brittiske premiärministern begärde i ett brev den 10 mars 2003 till EU:s ordförandeskap att frågan om en bättre hantering av asylförfarandet skulle föras upp på dagordningen för Europeiska rådets möte i Bryssel den 20–21 mars. Brevet åtföljdes av ett arbetsdokument med ett antal idéer om hur man bäst kan tillmötesgå behovet av en ny asylstrategi. </w:t>
      </w:r>
    </w:p>
    <w:p w:rsidR="00252869" w:rsidRPr="001B4EC1" w:rsidRDefault="00252869">
      <w:pPr>
        <w:pStyle w:val="Normaltindrag"/>
      </w:pPr>
      <w:r w:rsidRPr="001B4EC1">
        <w:t xml:space="preserve">Arbetsdokumentet – </w:t>
      </w:r>
      <w:r w:rsidRPr="001B4EC1">
        <w:rPr>
          <w:i/>
        </w:rPr>
        <w:t>New International approaches to asylum processing and pro</w:t>
      </w:r>
      <w:r w:rsidRPr="001B4EC1">
        <w:rPr>
          <w:i/>
        </w:rPr>
        <w:softHyphen/>
        <w:t>tection</w:t>
      </w:r>
      <w:r w:rsidRPr="001B4EC1">
        <w:t xml:space="preserve"> – består av två delar: dels en analys, dels förslag på två nya met</w:t>
      </w:r>
      <w:r w:rsidRPr="001B4EC1">
        <w:t>o</w:t>
      </w:r>
      <w:r w:rsidRPr="001B4EC1">
        <w:t xml:space="preserve">der för att bättre administrera den internationella skyddsordningen. </w:t>
      </w:r>
    </w:p>
    <w:p w:rsidR="00252869" w:rsidRPr="001B4EC1" w:rsidRDefault="00252869">
      <w:pPr>
        <w:pStyle w:val="Normaltindrag"/>
      </w:pPr>
      <w:r w:rsidRPr="001B4EC1">
        <w:t xml:space="preserve">I </w:t>
      </w:r>
      <w:r w:rsidRPr="001B4EC1">
        <w:rPr>
          <w:i/>
        </w:rPr>
        <w:t>analysdelen</w:t>
      </w:r>
      <w:r w:rsidRPr="001B4EC1">
        <w:t xml:space="preserve"> anges fyra faktorer som underminerar asylsystemets trovä</w:t>
      </w:r>
      <w:r w:rsidRPr="001B4EC1">
        <w:t>r</w:t>
      </w:r>
      <w:r w:rsidRPr="001B4EC1">
        <w:t>dig</w:t>
      </w:r>
      <w:r w:rsidRPr="001B4EC1">
        <w:softHyphen/>
        <w:t xml:space="preserve">het, integritet, effektivitet och allmänhetens stöd för det. Faktorerna som anges är följande. </w:t>
      </w:r>
    </w:p>
    <w:p w:rsidR="00252869" w:rsidRPr="001B4EC1" w:rsidRDefault="00252869">
      <w:pPr>
        <w:pStyle w:val="Normaltindrag"/>
        <w:numPr>
          <w:ilvl w:val="0"/>
          <w:numId w:val="25"/>
        </w:numPr>
      </w:pPr>
      <w:r w:rsidRPr="001B4EC1">
        <w:t xml:space="preserve">Det ekonomiska stödet till flyktingar är dåligt fördelat. </w:t>
      </w:r>
    </w:p>
    <w:p w:rsidR="00252869" w:rsidRPr="001B4EC1" w:rsidRDefault="00252869">
      <w:pPr>
        <w:pStyle w:val="Normaltindrag"/>
        <w:numPr>
          <w:ilvl w:val="0"/>
          <w:numId w:val="25"/>
        </w:numPr>
      </w:pPr>
      <w:r w:rsidRPr="001B4EC1">
        <w:t>Det nuvarande asylsystemet innebär att de som flyr från förföljelse måste resa in olagligt i EU med hjälp av människosmugglare medan en majori</w:t>
      </w:r>
      <w:r w:rsidRPr="001B4EC1">
        <w:softHyphen/>
        <w:t xml:space="preserve">tet av flyktingarna, inklusive de som förmodligen är mest sårbara, stannar i dåligt utrustade flyktingläger i tredje länder. </w:t>
      </w:r>
    </w:p>
    <w:p w:rsidR="00252869" w:rsidRPr="001B4EC1" w:rsidRDefault="00252869">
      <w:pPr>
        <w:pStyle w:val="Normaltindrag"/>
        <w:numPr>
          <w:ilvl w:val="0"/>
          <w:numId w:val="25"/>
        </w:numPr>
      </w:pPr>
      <w:r w:rsidRPr="001B4EC1">
        <w:t>En majoritet av de asylsökande i EU uppfyller inte villkoren för fly</w:t>
      </w:r>
      <w:r w:rsidRPr="001B4EC1">
        <w:t>k</w:t>
      </w:r>
      <w:r w:rsidRPr="001B4EC1">
        <w:t>ting</w:t>
      </w:r>
      <w:r w:rsidRPr="001B4EC1">
        <w:softHyphen/>
        <w:t xml:space="preserve">status eller subsidiärt skydd. </w:t>
      </w:r>
    </w:p>
    <w:p w:rsidR="00252869" w:rsidRPr="001B4EC1" w:rsidRDefault="00252869">
      <w:pPr>
        <w:pStyle w:val="Normaltindrag"/>
        <w:numPr>
          <w:ilvl w:val="0"/>
          <w:numId w:val="25"/>
        </w:numPr>
      </w:pPr>
      <w:r w:rsidRPr="001B4EC1">
        <w:t xml:space="preserve">Personer som inte anses behöva internationellt skydd återsänds inte till ursprungsländer. </w:t>
      </w:r>
    </w:p>
    <w:p w:rsidR="00252869" w:rsidRPr="001B4EC1" w:rsidRDefault="00252869">
      <w:pPr>
        <w:pStyle w:val="Normaltindrag"/>
        <w:spacing w:before="625"/>
      </w:pPr>
      <w:r w:rsidRPr="001B4EC1">
        <w:t xml:space="preserve">I </w:t>
      </w:r>
      <w:r w:rsidRPr="001B4EC1">
        <w:rPr>
          <w:i/>
        </w:rPr>
        <w:t>förslagsdelen</w:t>
      </w:r>
      <w:r w:rsidRPr="001B4EC1">
        <w:t xml:space="preserve"> presenteras två nya metoder, nämligen följande. </w:t>
      </w:r>
    </w:p>
    <w:p w:rsidR="00252869" w:rsidRPr="001B4EC1" w:rsidRDefault="00252869">
      <w:pPr>
        <w:pStyle w:val="Normaltindrag"/>
        <w:numPr>
          <w:ilvl w:val="0"/>
          <w:numId w:val="25"/>
        </w:numPr>
      </w:pPr>
      <w:r w:rsidRPr="001B4EC1">
        <w:t>Regionala skyddsområden i ursprungsregionerna, dit det skulle vara möj</w:t>
      </w:r>
      <w:r w:rsidRPr="001B4EC1">
        <w:softHyphen/>
        <w:t>ligt att återsända asylsökande som kommit till Europa och som fått avslag på sin ansökan om flyktingstatus och inte omedelbart kan återvända till ursprung</w:t>
      </w:r>
      <w:r w:rsidRPr="001B4EC1">
        <w:t>s</w:t>
      </w:r>
      <w:r w:rsidRPr="001B4EC1">
        <w:t xml:space="preserve">landet. </w:t>
      </w:r>
    </w:p>
    <w:p w:rsidR="00252869" w:rsidRPr="001B4EC1" w:rsidRDefault="00252869">
      <w:pPr>
        <w:pStyle w:val="Normaltindrag"/>
        <w:numPr>
          <w:ilvl w:val="0"/>
          <w:numId w:val="25"/>
        </w:numPr>
      </w:pPr>
      <w:r w:rsidRPr="001B4EC1">
        <w:t>Skyddade zoner i tredje länder – transithandläggningscentrum – dit de som kommer till EU-stater och ansöker om asyl kan överföras för att få sina a</w:t>
      </w:r>
      <w:r w:rsidRPr="001B4EC1">
        <w:t>n</w:t>
      </w:r>
      <w:r w:rsidRPr="001B4EC1">
        <w:t xml:space="preserve">sökningar behandlade. </w:t>
      </w:r>
    </w:p>
    <w:p w:rsidR="00252869" w:rsidRPr="001B4EC1" w:rsidRDefault="00252869">
      <w:pPr>
        <w:pStyle w:val="R4"/>
      </w:pPr>
      <w:r w:rsidRPr="001B4EC1">
        <w:t xml:space="preserve">Hantering inom EU </w:t>
      </w:r>
    </w:p>
    <w:p w:rsidR="00252869" w:rsidRPr="001B4EC1" w:rsidRDefault="00252869">
      <w:r w:rsidRPr="001B4EC1">
        <w:t xml:space="preserve">Vid </w:t>
      </w:r>
      <w:r w:rsidRPr="001B4EC1">
        <w:rPr>
          <w:i/>
        </w:rPr>
        <w:t xml:space="preserve">Europeiska rådets möte den 20–21 mars </w:t>
      </w:r>
      <w:r w:rsidRPr="001B4EC1">
        <w:t>i Bryssel uppmanades kommi</w:t>
      </w:r>
      <w:r w:rsidRPr="001B4EC1">
        <w:t>s</w:t>
      </w:r>
      <w:r w:rsidRPr="001B4EC1">
        <w:t>sio</w:t>
      </w:r>
      <w:r w:rsidRPr="001B4EC1">
        <w:softHyphen/>
        <w:t>nen att vi</w:t>
      </w:r>
      <w:r w:rsidRPr="001B4EC1">
        <w:softHyphen/>
        <w:t>dare utforska idéerna i brevet, särskilt tillsammans med FN:s flyktingkom</w:t>
      </w:r>
      <w:r w:rsidRPr="001B4EC1">
        <w:softHyphen/>
        <w:t xml:space="preserve">missariat och genom rådet lägga fram en rapport vid Europeiska rådets möte i juni 2003. </w:t>
      </w:r>
    </w:p>
    <w:p w:rsidR="00252869" w:rsidRPr="001B4EC1" w:rsidRDefault="00252869">
      <w:pPr>
        <w:pStyle w:val="Normaltindrag"/>
      </w:pPr>
      <w:r w:rsidRPr="001B4EC1">
        <w:rPr>
          <w:i/>
        </w:rPr>
        <w:t>Kommissionens rapport</w:t>
      </w:r>
      <w:r w:rsidRPr="001B4EC1">
        <w:t xml:space="preserve"> är daterad den 3 juni 2003, dvs. långt senare än Veriamötet och de med anmälan avsedda händelserna, och sändes till rådet den 4 juni</w:t>
      </w:r>
      <w:r w:rsidRPr="001B4EC1">
        <w:rPr>
          <w:rStyle w:val="Fotnotsreferens"/>
        </w:rPr>
        <w:footnoteReference w:id="41"/>
      </w:r>
      <w:r w:rsidRPr="001B4EC1">
        <w:t>. Vid RIF-rådets möte i Bryssel den 5-6 juni hade rådet – efter före</w:t>
      </w:r>
      <w:r w:rsidRPr="001B4EC1">
        <w:softHyphen/>
        <w:t>dragning av kommissionen – en inledande diskussion och anmodade Coreper att fortsätta sin behandling inför Europeiska rådets möte i Thessal</w:t>
      </w:r>
      <w:r w:rsidRPr="001B4EC1">
        <w:t>o</w:t>
      </w:r>
      <w:r w:rsidRPr="001B4EC1">
        <w:t>niki</w:t>
      </w:r>
      <w:r w:rsidRPr="001B4EC1">
        <w:rPr>
          <w:rStyle w:val="Fotnotsreferens"/>
        </w:rPr>
        <w:footnoteReference w:id="42"/>
      </w:r>
      <w:r w:rsidRPr="001B4EC1">
        <w:t xml:space="preserve">.  </w:t>
      </w:r>
    </w:p>
    <w:p w:rsidR="00252869" w:rsidRPr="001B4EC1" w:rsidRDefault="00252869">
      <w:pPr>
        <w:pStyle w:val="Normaltindrag"/>
      </w:pPr>
      <w:r w:rsidRPr="001B4EC1">
        <w:t>Kommissionen hänvisar i rapporten till relevanta rättsliga och politiska ramar inom EU och internationellt, bl.a. Genèvekonventionen om flyktingars rättsl</w:t>
      </w:r>
      <w:r w:rsidRPr="001B4EC1">
        <w:t>i</w:t>
      </w:r>
      <w:r w:rsidRPr="001B4EC1">
        <w:t>ga ställning och två initiativ från UNHCR: dels Agendan för interna</w:t>
      </w:r>
      <w:r w:rsidRPr="001B4EC1">
        <w:softHyphen/>
        <w:t>tionellt skydd, dels Convention+ samt till ramar angivna inom EU. Kom</w:t>
      </w:r>
      <w:r w:rsidRPr="001B4EC1">
        <w:softHyphen/>
        <w:t>missionen redogör också för synpunkter från UNHCR och från icke-statliga organisati</w:t>
      </w:r>
      <w:r w:rsidRPr="001B4EC1">
        <w:t>o</w:t>
      </w:r>
      <w:r w:rsidRPr="001B4EC1">
        <w:t>ner, särskilt Amnesty International och Europeiska rådet för flyk</w:t>
      </w:r>
      <w:r w:rsidRPr="001B4EC1">
        <w:softHyphen/>
        <w:t>tingar och fördrivna (ECRE) i samarbete med USA:s flyktingkommitté. EU måste enligt kommissionen fortsätta att driva en konstruktiv, tydlig och öp</w:t>
      </w:r>
      <w:r w:rsidRPr="001B4EC1">
        <w:softHyphen/>
        <w:t xml:space="preserve">pen dialog med de olika aktörerna på området, inklusive företrädare för det </w:t>
      </w:r>
      <w:r w:rsidRPr="001B4EC1">
        <w:t>civila samhället, i den viktiga frågan om nya strategier för att administrera asyls</w:t>
      </w:r>
      <w:r w:rsidRPr="001B4EC1">
        <w:t>y</w:t>
      </w:r>
      <w:r w:rsidRPr="001B4EC1">
        <w:t xml:space="preserve">stemen. </w:t>
      </w:r>
    </w:p>
    <w:p w:rsidR="00252869" w:rsidRPr="001B4EC1" w:rsidRDefault="00252869">
      <w:pPr>
        <w:pStyle w:val="Normaltindrag"/>
      </w:pPr>
      <w:r w:rsidRPr="001B4EC1">
        <w:t>Vidare anger kommissionen grundförutsättningar för nya strategier för den internationella skyddsordningen, politiska mål och strategier för mer tillgäng</w:t>
      </w:r>
      <w:r w:rsidRPr="001B4EC1">
        <w:softHyphen/>
        <w:t>liga, rättvisa och väladministrerade asylsystem samt börde- och ansvarsfö</w:t>
      </w:r>
      <w:r w:rsidRPr="001B4EC1">
        <w:t>r</w:t>
      </w:r>
      <w:r w:rsidRPr="001B4EC1">
        <w:t>del</w:t>
      </w:r>
      <w:r w:rsidRPr="001B4EC1">
        <w:softHyphen/>
        <w:t xml:space="preserve">ning såväl inom EU som med ursprungsregionerna. </w:t>
      </w:r>
    </w:p>
    <w:p w:rsidR="00252869" w:rsidRPr="001B4EC1" w:rsidRDefault="00252869">
      <w:pPr>
        <w:pStyle w:val="Normaltindrag"/>
      </w:pPr>
      <w:r w:rsidRPr="001B4EC1">
        <w:t>Slutsatsvis förklarar kommissionen att ”vi står vid ett vägskäl när det gäller utvecklingen av ett gemensamt europeiskt asylsystem som – – – börjar nå sin kritiska massa”. Om det brittiska förslaget sägs att det kommer ”mycket läg</w:t>
      </w:r>
      <w:r w:rsidRPr="001B4EC1">
        <w:softHyphen/>
        <w:t>ligt, också eftersom det anknyter väl till den allmänna utveckling som initiati</w:t>
      </w:r>
      <w:r w:rsidRPr="001B4EC1">
        <w:softHyphen/>
        <w:t>ven Agenda för internationellt skydd och Convention+</w:t>
      </w:r>
      <w:r w:rsidRPr="001B4EC1">
        <w:rPr>
          <w:rStyle w:val="Fotnotsreferens"/>
        </w:rPr>
        <w:footnoteReference w:id="43"/>
      </w:r>
      <w:r w:rsidRPr="001B4EC1">
        <w:t xml:space="preserve"> dragit i gång. Vidare innehåller det brittiska arbetsdokumentet en riktig analys av bristerna i den nuvarande ordningen för internationellt skydd och ställer de rätta frågorna, och bidrar på så sätt att möta de utmaningar som EU:s asylsystem står inför.” Kommissionen framhåller det nödvändiga i att vara försiktig i en process som kommer att ha mycket stor betydelse på en rad politikområden. </w:t>
      </w:r>
    </w:p>
    <w:p w:rsidR="00252869" w:rsidRPr="001B4EC1" w:rsidRDefault="00252869">
      <w:pPr>
        <w:pStyle w:val="Normaltindrag"/>
      </w:pPr>
      <w:r w:rsidRPr="001B4EC1">
        <w:t>Kommissionen föreslår att man för asylpolitiken bör överväga en strat</w:t>
      </w:r>
      <w:r w:rsidRPr="001B4EC1">
        <w:t>e</w:t>
      </w:r>
      <w:r w:rsidRPr="001B4EC1">
        <w:t>gisk användning av förfaranden för skyddad inresa och vidarebosättningspr</w:t>
      </w:r>
      <w:r w:rsidRPr="001B4EC1">
        <w:t>o</w:t>
      </w:r>
      <w:r w:rsidRPr="001B4EC1">
        <w:t>gram som en del av agendan. Vidare är det enligt kommissionen viktigt att över</w:t>
      </w:r>
      <w:r w:rsidRPr="001B4EC1">
        <w:softHyphen/>
        <w:t>väga fortsatta lagstiftningsåtgärder, förfina asylförfarandena så att de bidrar till en bättre hantering av asylsystemen och bibehålla möjligheten till asyl för dem som uppfyller kraven. Nya strategier när det gäller ordningen för inter</w:t>
      </w:r>
      <w:r w:rsidRPr="001B4EC1">
        <w:softHyphen/>
        <w:t>nationellt skydd bör inte först och främst resultera i en omfördelning, utan i en verklig delning av asylbördan. Kommissi</w:t>
      </w:r>
      <w:r w:rsidRPr="001B4EC1">
        <w:t>onen föreslår därför att man fort</w:t>
      </w:r>
      <w:r w:rsidRPr="001B4EC1">
        <w:softHyphen/>
        <w:t>sätter överväga att ge betydande hjälp till ursprungsregionerna på olika sätt för att förbättra skyddskapaciteten och hjälpa dem att klara av det stora ansvar de för närvarande har. Slutligen rekommenderar kommissionen att erfaren</w:t>
      </w:r>
      <w:r w:rsidRPr="001B4EC1">
        <w:softHyphen/>
        <w:t>heterna från tidigare projekt och nuvarande initiativ, som återvä</w:t>
      </w:r>
      <w:r w:rsidRPr="001B4EC1">
        <w:t>n</w:t>
      </w:r>
      <w:r w:rsidRPr="001B4EC1">
        <w:t>dande</w:t>
      </w:r>
      <w:r w:rsidRPr="001B4EC1">
        <w:softHyphen/>
        <w:t>planen för Afghanistan, tas till vara för informationsändamål och vid utform</w:t>
      </w:r>
      <w:r w:rsidRPr="001B4EC1">
        <w:softHyphen/>
        <w:t xml:space="preserve">ningen av uppföljningsstrategier.  </w:t>
      </w:r>
    </w:p>
    <w:p w:rsidR="00252869" w:rsidRPr="001B4EC1" w:rsidRDefault="00252869">
      <w:pPr>
        <w:pStyle w:val="Normaltindrag"/>
      </w:pPr>
      <w:r w:rsidRPr="001B4EC1">
        <w:t xml:space="preserve">Vid </w:t>
      </w:r>
      <w:r w:rsidRPr="001B4EC1">
        <w:rPr>
          <w:i/>
        </w:rPr>
        <w:t>Thessalonikimötet den 19–20 juni 2003</w:t>
      </w:r>
      <w:r w:rsidRPr="001B4EC1">
        <w:t xml:space="preserve"> noterade Europeiska rådet kommissio</w:t>
      </w:r>
      <w:r w:rsidRPr="001B4EC1">
        <w:softHyphen/>
        <w:t>nens meddelande och uppmanade kommissionen att utforska alla parametrar för att säkerställa en mer reglerad och styrd inresa till EU för personer i be</w:t>
      </w:r>
      <w:r w:rsidRPr="001B4EC1">
        <w:softHyphen/>
        <w:t>hov av internationellt skydd och att undersöka sätt att öka u</w:t>
      </w:r>
      <w:r w:rsidRPr="001B4EC1">
        <w:t>r</w:t>
      </w:r>
      <w:r w:rsidRPr="001B4EC1">
        <w:t>sprungsregio</w:t>
      </w:r>
      <w:r w:rsidRPr="001B4EC1">
        <w:softHyphen/>
        <w:t>nernas skyddskapacitet med syftet att före juni 2004 förelägga rådet en över</w:t>
      </w:r>
      <w:r w:rsidRPr="001B4EC1">
        <w:softHyphen/>
        <w:t>gripande rapport med förslag till åtgärder, inklusive rättsliga konsekvenser. Som en del av denna process noterade Europeiska rådet att</w:t>
      </w:r>
      <w:r w:rsidRPr="001B4EC1">
        <w:t xml:space="preserve"> ett antal med</w:t>
      </w:r>
      <w:r w:rsidRPr="001B4EC1">
        <w:softHyphen/>
        <w:t>lemsstater planerade att utforska olika sätt att ge bättre skydd åt flyktingarna i deras ursprungsregion i samråd med UNHCR. Detta arbete skulle komma att genomföras i fullt partnerskap med berörda länder på grundval av re</w:t>
      </w:r>
      <w:r w:rsidRPr="001B4EC1">
        <w:softHyphen/>
        <w:t>kommendationer från UNHCR.</w:t>
      </w:r>
      <w:r w:rsidRPr="001B4EC1">
        <w:rPr>
          <w:rStyle w:val="Fotnotsreferens"/>
        </w:rPr>
        <w:footnoteReference w:id="44"/>
      </w:r>
      <w:r w:rsidRPr="001B4EC1">
        <w:t xml:space="preserve"> </w:t>
      </w:r>
    </w:p>
    <w:p w:rsidR="00252869" w:rsidRPr="001B4EC1" w:rsidRDefault="00252869">
      <w:pPr>
        <w:pStyle w:val="R4"/>
      </w:pPr>
      <w:r w:rsidRPr="001B4EC1">
        <w:t>Uttalanden m.m. i riksdagen i frågan</w:t>
      </w:r>
    </w:p>
    <w:p w:rsidR="00252869" w:rsidRPr="001B4EC1" w:rsidRDefault="00252869">
      <w:pPr>
        <w:pStyle w:val="Rubrik5"/>
        <w:spacing w:before="110"/>
        <w:rPr>
          <w:noProof w:val="0"/>
        </w:rPr>
      </w:pPr>
      <w:r w:rsidRPr="001B4EC1">
        <w:rPr>
          <w:noProof w:val="0"/>
        </w:rPr>
        <w:t>Veriamötet i EU-nämnden</w:t>
      </w:r>
    </w:p>
    <w:p w:rsidR="00252869" w:rsidRPr="001B4EC1" w:rsidRDefault="00252869">
      <w:r w:rsidRPr="001B4EC1">
        <w:t xml:space="preserve">I </w:t>
      </w:r>
      <w:r w:rsidRPr="001B4EC1">
        <w:rPr>
          <w:i/>
        </w:rPr>
        <w:t>Regeringskansliets rapport den 2 april 2003</w:t>
      </w:r>
      <w:r w:rsidRPr="001B4EC1">
        <w:t xml:space="preserve"> från det informella rådsmötet för rätts</w:t>
      </w:r>
      <w:r w:rsidRPr="001B4EC1">
        <w:softHyphen/>
        <w:t>liga och inrikes frågor i Veria den 28–29 mars 2003 finns, som fra</w:t>
      </w:r>
      <w:r w:rsidRPr="001B4EC1">
        <w:t>m</w:t>
      </w:r>
      <w:r w:rsidRPr="001B4EC1">
        <w:t xml:space="preserve">går av anmälan, ett avsnitt som rör det brittiska initiativet. I fråga om den svenska inställningen anges följande. </w:t>
      </w:r>
    </w:p>
    <w:p w:rsidR="00252869" w:rsidRPr="001B4EC1" w:rsidRDefault="00252869">
      <w:pPr>
        <w:pStyle w:val="Citat"/>
        <w:spacing w:before="125"/>
      </w:pPr>
      <w:r w:rsidRPr="001B4EC1">
        <w:rPr>
          <w:b/>
        </w:rPr>
        <w:t>S</w:t>
      </w:r>
      <w:r w:rsidRPr="001B4EC1">
        <w:t xml:space="preserve"> höll med UK om att åtgärder måste vidtas med anledning av att en så stor andel asylsökande egentligen saknar asylskäl. S ansåg det angeläget att förslaget vidareutvecklas i samarbete med UNHCR. Vidare fram</w:t>
      </w:r>
      <w:r w:rsidRPr="001B4EC1">
        <w:softHyphen/>
        <w:t>höll S vikten av att angripa grundproblemen genom stöd till ur</w:t>
      </w:r>
      <w:r w:rsidRPr="001B4EC1">
        <w:softHyphen/>
        <w:t>sprungs</w:t>
      </w:r>
      <w:r w:rsidRPr="001B4EC1">
        <w:softHyphen/>
        <w:t>länderna men även nödvändigheten av att omforma transit</w:t>
      </w:r>
      <w:r w:rsidRPr="001B4EC1">
        <w:softHyphen/>
        <w:t>länder till säkra första asylländer. S pekade även på problemen med att avlägsnandebeslut verkställs i allt för låg utsträckning och att vi har ett gemensamt ansvar för att se ti</w:t>
      </w:r>
      <w:r w:rsidRPr="001B4EC1">
        <w:t xml:space="preserve">ll att det sker förbättring på den punkten. </w:t>
      </w:r>
    </w:p>
    <w:p w:rsidR="00252869" w:rsidRPr="001B4EC1" w:rsidRDefault="00252869">
      <w:pPr>
        <w:pStyle w:val="CitatIndrag"/>
      </w:pPr>
      <w:r w:rsidRPr="001B4EC1">
        <w:t xml:space="preserve">Avslutningsvis tog S upp harmoniseringsfrågan i ett vidare perspektiv och hänvisade till att vi trots en gemensam arbetsmarknad ännu inte lyckats skapa en gemensam migrationspolitik, något som vi alltså måste arbeta aktivt för att råda bot mot. </w:t>
      </w:r>
    </w:p>
    <w:p w:rsidR="00252869" w:rsidRPr="001B4EC1" w:rsidRDefault="00252869">
      <w:r w:rsidRPr="001B4EC1">
        <w:t xml:space="preserve">Vid </w:t>
      </w:r>
      <w:r w:rsidRPr="001B4EC1">
        <w:rPr>
          <w:i/>
        </w:rPr>
        <w:t>EU-nämndens sammanträde den 28 april 2003</w:t>
      </w:r>
      <w:r w:rsidRPr="001B4EC1">
        <w:t xml:space="preserve"> sade statsrådet Jan O. Karlsson i sin rapport från Veriamötet bl.a. följande</w:t>
      </w:r>
      <w:r w:rsidRPr="001B4EC1">
        <w:rPr>
          <w:rStyle w:val="Fotnotsreferens"/>
        </w:rPr>
        <w:footnoteReference w:id="45"/>
      </w:r>
      <w:r w:rsidRPr="001B4EC1">
        <w:t xml:space="preserve">. </w:t>
      </w:r>
    </w:p>
    <w:p w:rsidR="00252869" w:rsidRPr="001B4EC1" w:rsidRDefault="00252869">
      <w:pPr>
        <w:pStyle w:val="Citat"/>
        <w:spacing w:before="125"/>
      </w:pPr>
      <w:r w:rsidRPr="001B4EC1">
        <w:t xml:space="preserve">Det var flera stater som ställde frågor om både praktiska och rättsliga komplikationer i det brittiska förslaget. Från svensk sida framhöll jag tre saker. </w:t>
      </w:r>
    </w:p>
    <w:p w:rsidR="00252869" w:rsidRPr="001B4EC1" w:rsidRDefault="00252869">
      <w:pPr>
        <w:pStyle w:val="CitatIndrag"/>
      </w:pPr>
      <w:r w:rsidRPr="001B4EC1">
        <w:t xml:space="preserve">– – – </w:t>
      </w:r>
    </w:p>
    <w:p w:rsidR="00252869" w:rsidRPr="001B4EC1" w:rsidRDefault="00252869">
      <w:pPr>
        <w:pStyle w:val="CitatIndrag"/>
      </w:pPr>
      <w:r w:rsidRPr="001B4EC1">
        <w:t>För det andra: Vi säger nej till tanken att man inte ska få söka asyl i det land man kommer till utan hänvisas någon annanstans. Har man kom</w:t>
      </w:r>
      <w:r w:rsidRPr="001B4EC1">
        <w:softHyphen/>
        <w:t>mit till ett land måste man få söka asyl. Det har diskuterats huruvida detta strider mot Genèvekonventionen eller inte. Därom finns olika bud, men jag har för Sveriges del – och där känner jag starkt stöd av hela vår op</w:t>
      </w:r>
      <w:r w:rsidRPr="001B4EC1">
        <w:t>i</w:t>
      </w:r>
      <w:r w:rsidRPr="001B4EC1">
        <w:t xml:space="preserve">nion och alla partier – sagt att vi är mot förslaget oavsett om det till äventyrs inte skulle strida mot Genèvekonventionen. </w:t>
      </w:r>
    </w:p>
    <w:p w:rsidR="00252869" w:rsidRPr="001B4EC1" w:rsidRDefault="00252869">
      <w:pPr>
        <w:pStyle w:val="CitatIndrag"/>
      </w:pPr>
      <w:r w:rsidRPr="001B4EC1">
        <w:t xml:space="preserve">– – – </w:t>
      </w:r>
    </w:p>
    <w:p w:rsidR="00252869" w:rsidRPr="001B4EC1" w:rsidRDefault="00252869">
      <w:pPr>
        <w:pStyle w:val="Rubrik5"/>
        <w:spacing w:before="235"/>
        <w:rPr>
          <w:noProof w:val="0"/>
        </w:rPr>
      </w:pPr>
      <w:r w:rsidRPr="001B4EC1">
        <w:rPr>
          <w:noProof w:val="0"/>
        </w:rPr>
        <w:t xml:space="preserve">Andra uttalanden i riksdagen av Jan O. Karlsson </w:t>
      </w:r>
    </w:p>
    <w:p w:rsidR="00252869" w:rsidRPr="001B4EC1" w:rsidRDefault="00252869">
      <w:r w:rsidRPr="001B4EC1">
        <w:rPr>
          <w:i/>
        </w:rPr>
        <w:t>Den 10 april</w:t>
      </w:r>
      <w:r w:rsidRPr="001B4EC1">
        <w:t xml:space="preserve"> debatterades socialförsäkringsutskottets betänkande 2002/03: SfU8 Migration och asylpolitik</w:t>
      </w:r>
      <w:r w:rsidRPr="001B4EC1">
        <w:rPr>
          <w:rStyle w:val="Fotnotsreferens"/>
        </w:rPr>
        <w:footnoteReference w:id="46"/>
      </w:r>
      <w:r w:rsidRPr="001B4EC1">
        <w:t>. Erik Ullenhag tog upp frågan om det bri</w:t>
      </w:r>
      <w:r w:rsidRPr="001B4EC1">
        <w:t>t</w:t>
      </w:r>
      <w:r w:rsidRPr="001B4EC1">
        <w:t>tiska förslaget. Karlsson uttalade att det finns inslag i det som vi tar avstånd från, framför allt att man inte skulle ha rätt att söka asyl i det land som man kommer till samtidigt som han ville understryka att flykting</w:t>
      </w:r>
      <w:r w:rsidRPr="001B4EC1">
        <w:softHyphen/>
        <w:t>kommissarien vid det senaste RIF-rådet ”på fullaste allvar” tog upp de stora möjligheter som förslaget innebär att vidareutveckla stödet till de internatio</w:t>
      </w:r>
      <w:r w:rsidRPr="001B4EC1">
        <w:softHyphen/>
        <w:t>nella organisati</w:t>
      </w:r>
      <w:r w:rsidRPr="001B4EC1">
        <w:t>o</w:t>
      </w:r>
      <w:r w:rsidRPr="001B4EC1">
        <w:t>nerna på flyktingområdet att ge stöd till de miljontals flyk</w:t>
      </w:r>
      <w:r w:rsidRPr="001B4EC1">
        <w:softHyphen/>
        <w:t>tingar som bef</w:t>
      </w:r>
      <w:r w:rsidRPr="001B4EC1">
        <w:t>inner sig nära sitt ursprungsland. Vidare uttalade han att hans inlägg i diskussionen skall ses mot bakgrund av en dialog som han under en lång tid haft med en</w:t>
      </w:r>
      <w:r w:rsidRPr="001B4EC1">
        <w:t>g</w:t>
      </w:r>
      <w:r w:rsidRPr="001B4EC1">
        <w:t>elsmännen, där han gjort alldeles klart att statsministerns avståndstagande från den del av förslaget som innebär att man inte har rätt att söka asyl står fast, samt att han när det gäller ”safe zones” inte tror att den utformning som engelsmännen hittills skisserat har någon som helst framtid, men att flyktin</w:t>
      </w:r>
      <w:r w:rsidRPr="001B4EC1">
        <w:t>g</w:t>
      </w:r>
      <w:r w:rsidRPr="001B4EC1">
        <w:t>kommissarien bett att få möjlighet att v</w:t>
      </w:r>
      <w:r w:rsidRPr="001B4EC1">
        <w:t xml:space="preserve">idareutveckla den idén och att han understött den avsikten. </w:t>
      </w:r>
    </w:p>
    <w:p w:rsidR="00252869" w:rsidRPr="001B4EC1" w:rsidRDefault="00252869">
      <w:pPr>
        <w:pStyle w:val="Normaltindrag"/>
      </w:pPr>
      <w:r w:rsidRPr="001B4EC1">
        <w:rPr>
          <w:i/>
        </w:rPr>
        <w:t>Den 17 april</w:t>
      </w:r>
      <w:r w:rsidRPr="001B4EC1">
        <w:t xml:space="preserve"> svarade Karlsson skriftligt på fråga 2002/03:767. Han fra</w:t>
      </w:r>
      <w:r w:rsidRPr="001B4EC1">
        <w:t>m</w:t>
      </w:r>
      <w:r w:rsidRPr="001B4EC1">
        <w:t>höll bl.a. att ”det för närvarande inte finns något formellt förslag från Sto</w:t>
      </w:r>
      <w:r w:rsidRPr="001B4EC1">
        <w:t>r</w:t>
      </w:r>
      <w:r w:rsidRPr="001B4EC1">
        <w:t>britan</w:t>
      </w:r>
      <w:r w:rsidRPr="001B4EC1">
        <w:softHyphen/>
        <w:t>nien att ta ställning till”. Avslutningsvis ville han säga att han hade för avsikt att delta aktivt i diskussioner som skulle komma att föregå ministe</w:t>
      </w:r>
      <w:r w:rsidRPr="001B4EC1">
        <w:t>r</w:t>
      </w:r>
      <w:r w:rsidRPr="001B4EC1">
        <w:t>rådsmötet och toppmötet i Thessaloniki i juni. Han skulle komma att fra</w:t>
      </w:r>
      <w:r w:rsidRPr="001B4EC1">
        <w:t>m</w:t>
      </w:r>
      <w:r w:rsidRPr="001B4EC1">
        <w:t>hålla att han helhjärtat stöder de delar av förslagen som syftar till konfliktf</w:t>
      </w:r>
      <w:r w:rsidRPr="001B4EC1">
        <w:t>ö</w:t>
      </w:r>
      <w:r w:rsidRPr="001B4EC1">
        <w:t>rebyggande insatser i ursprungsländerna och ökat skydd för flykti</w:t>
      </w:r>
      <w:r w:rsidRPr="001B4EC1">
        <w:t>ngar i nä</w:t>
      </w:r>
      <w:r w:rsidRPr="001B4EC1">
        <w:t>r</w:t>
      </w:r>
      <w:r w:rsidRPr="001B4EC1">
        <w:t>området samt ta avstånd från tanken att inrätta särskilda zoner där asylsöka</w:t>
      </w:r>
      <w:r w:rsidRPr="001B4EC1">
        <w:t>n</w:t>
      </w:r>
      <w:r w:rsidRPr="001B4EC1">
        <w:t xml:space="preserve">de skall få sin ansökan prövad. </w:t>
      </w:r>
    </w:p>
    <w:p w:rsidR="00252869" w:rsidRPr="001B4EC1" w:rsidRDefault="00252869">
      <w:pPr>
        <w:pStyle w:val="Normaltindrag"/>
      </w:pPr>
      <w:r w:rsidRPr="001B4EC1">
        <w:rPr>
          <w:i/>
        </w:rPr>
        <w:t>Den 27 maj</w:t>
      </w:r>
      <w:r w:rsidRPr="001B4EC1">
        <w:t xml:space="preserve"> hölls en debatt om interpellation 2002/03:330 av Erik Ulle</w:t>
      </w:r>
      <w:r w:rsidRPr="001B4EC1">
        <w:t>n</w:t>
      </w:r>
      <w:r w:rsidRPr="001B4EC1">
        <w:t>hag</w:t>
      </w:r>
      <w:r w:rsidRPr="001B4EC1">
        <w:rPr>
          <w:rStyle w:val="Fotnotsreferens"/>
        </w:rPr>
        <w:footnoteReference w:id="47"/>
      </w:r>
      <w:r w:rsidRPr="001B4EC1">
        <w:t>. Interpellationen avsåg skyddszoner för asylsökande. Karlsson sade där bl.a. att han i Veria gjort alldeles klart att det inte finns något stöd för den aktuella tanken hos oss och att han vid ett tillfälle för den brittiske biträdande migra</w:t>
      </w:r>
      <w:r w:rsidRPr="001B4EC1">
        <w:softHyphen/>
        <w:t>tionsministern citerat statsminister Göran Perssons uttryck ”a silly pr</w:t>
      </w:r>
      <w:r w:rsidRPr="001B4EC1">
        <w:t>o</w:t>
      </w:r>
      <w:r w:rsidRPr="001B4EC1">
        <w:t xml:space="preserve">posal” om förslaget. </w:t>
      </w:r>
    </w:p>
    <w:p w:rsidR="00252869" w:rsidRPr="001B4EC1" w:rsidRDefault="00252869">
      <w:pPr>
        <w:pStyle w:val="Rubrik5"/>
        <w:rPr>
          <w:noProof w:val="0"/>
        </w:rPr>
      </w:pPr>
      <w:r w:rsidRPr="001B4EC1">
        <w:rPr>
          <w:noProof w:val="0"/>
        </w:rPr>
        <w:t xml:space="preserve">Samråd med EUN inför andra rådsmöten och möten med Europeiska rådet </w:t>
      </w:r>
    </w:p>
    <w:p w:rsidR="00252869" w:rsidRPr="001B4EC1" w:rsidRDefault="00252869">
      <w:r w:rsidRPr="001B4EC1">
        <w:t>Inför Europeiska rådets möte den 20–21 mars 2003, dvs. det möte där ko</w:t>
      </w:r>
      <w:r w:rsidRPr="001B4EC1">
        <w:t>m</w:t>
      </w:r>
      <w:r w:rsidRPr="001B4EC1">
        <w:t xml:space="preserve">missionen fick i uppdrag att lägga fram en rapport om idéerna i det brittiska brevet, hölls samråd i EU-nämnden, dels med utrikesminister Anna Lindh </w:t>
      </w:r>
      <w:r w:rsidRPr="001B4EC1">
        <w:rPr>
          <w:i/>
        </w:rPr>
        <w:t>den 14 mars</w:t>
      </w:r>
      <w:r w:rsidRPr="001B4EC1">
        <w:t xml:space="preserve">, dels med statsminister Göran Persson </w:t>
      </w:r>
      <w:r w:rsidRPr="001B4EC1">
        <w:rPr>
          <w:i/>
        </w:rPr>
        <w:t>den 19 mars</w:t>
      </w:r>
      <w:r w:rsidRPr="001B4EC1">
        <w:t>. Statsministern sade den 19 mars som svar på frågor att ”de brittiska förslagen om något slags anläggningar för att ta emot stora flykting</w:t>
      </w:r>
      <w:r w:rsidRPr="001B4EC1">
        <w:softHyphen/>
        <w:t>strömmar tror jag inte ens är akt</w:t>
      </w:r>
      <w:r w:rsidRPr="001B4EC1">
        <w:t>u</w:t>
      </w:r>
      <w:r w:rsidRPr="001B4EC1">
        <w:t xml:space="preserve">ella att läggas fram”. </w:t>
      </w:r>
    </w:p>
    <w:p w:rsidR="00252869" w:rsidRPr="001B4EC1" w:rsidRDefault="00252869">
      <w:pPr>
        <w:pStyle w:val="Normaltindrag"/>
      </w:pPr>
      <w:r w:rsidRPr="001B4EC1">
        <w:t>Veriamötet den 28–29 mars var som nämnts ett informellt ministerråd</w:t>
      </w:r>
      <w:r w:rsidRPr="001B4EC1">
        <w:t>s</w:t>
      </w:r>
      <w:r w:rsidRPr="001B4EC1">
        <w:t xml:space="preserve">möte, och något samråd med EU-nämnden förekom inte inför mötet. </w:t>
      </w:r>
    </w:p>
    <w:p w:rsidR="00252869" w:rsidRPr="001B4EC1" w:rsidRDefault="00252869">
      <w:pPr>
        <w:pStyle w:val="Normaltindrag"/>
      </w:pPr>
      <w:r w:rsidRPr="001B4EC1">
        <w:t xml:space="preserve">Inför möte med RIF-rådet den 5 och 6 juni hölls samråd med nämnden </w:t>
      </w:r>
      <w:r w:rsidRPr="001B4EC1">
        <w:rPr>
          <w:i/>
        </w:rPr>
        <w:t>den 3 juni</w:t>
      </w:r>
      <w:r w:rsidRPr="001B4EC1">
        <w:rPr>
          <w:rStyle w:val="Fotnotsreferens"/>
        </w:rPr>
        <w:footnoteReference w:id="48"/>
      </w:r>
      <w:r w:rsidRPr="001B4EC1">
        <w:t>. Statssekreterare Charlotte Svensson förklarade där att kommissi</w:t>
      </w:r>
      <w:r w:rsidRPr="001B4EC1">
        <w:t>o</w:t>
      </w:r>
      <w:r w:rsidRPr="001B4EC1">
        <w:t>nens begärda rapport ännu inte lagts fram. Hon uppgav vidare som svar på frågor att Sverige markerat sin inställning och att man skulle komma att gå igenom vilka åtgärder som behövde göras efter det att kommissionen lagt fram sitt medd</w:t>
      </w:r>
      <w:r w:rsidRPr="001B4EC1">
        <w:t>e</w:t>
      </w:r>
      <w:r w:rsidRPr="001B4EC1">
        <w:t xml:space="preserve">lande. </w:t>
      </w:r>
    </w:p>
    <w:p w:rsidR="00252869" w:rsidRPr="001B4EC1" w:rsidRDefault="00252869">
      <w:pPr>
        <w:pStyle w:val="Normaltindrag"/>
      </w:pPr>
      <w:r w:rsidRPr="001B4EC1">
        <w:t xml:space="preserve">Vid ett möte med EU-nämnden </w:t>
      </w:r>
      <w:r w:rsidRPr="001B4EC1">
        <w:rPr>
          <w:i/>
        </w:rPr>
        <w:t>den 12 juni</w:t>
      </w:r>
      <w:r w:rsidRPr="001B4EC1">
        <w:rPr>
          <w:rStyle w:val="Fotnotsreferens"/>
        </w:rPr>
        <w:footnoteReference w:id="49"/>
      </w:r>
      <w:r w:rsidRPr="001B4EC1">
        <w:t xml:space="preserve"> tog statsrådet Jan O. Karlsson som övrig fråga upp att kommissionens meddelande som byggde på bl.a. ”de tankegångar som från början kom från England” hade diskuterats i senaste RIF-rådet. Han förklarade då att någon ”vid något tillfälle uppfattat att rege</w:t>
      </w:r>
      <w:r w:rsidRPr="001B4EC1">
        <w:t>r</w:t>
      </w:r>
      <w:r w:rsidRPr="001B4EC1">
        <w:t>ingen har haft en annan ståndpunkt än vi oavbrutet har gett uttryck åt”. Detta kunde enligt statsrådet möjligen hänga samman med att de diskussioner som förts vid olika tillfällen i ministerrådet gällt många olika frågor och inte en enda fråga; det som ka</w:t>
      </w:r>
      <w:r w:rsidRPr="001B4EC1">
        <w:t xml:space="preserve">llats de brittiska tankegångarna var ett helt komplex av problem. </w:t>
      </w:r>
    </w:p>
    <w:p w:rsidR="00252869" w:rsidRPr="001B4EC1" w:rsidRDefault="00252869">
      <w:pPr>
        <w:pStyle w:val="Normaltindrag"/>
      </w:pPr>
      <w:r w:rsidRPr="001B4EC1">
        <w:t xml:space="preserve">Inför Europeiska rådets möte den 19–20 juni 2003 i Thessaloniki hölls samråd med nämnden </w:t>
      </w:r>
      <w:r w:rsidRPr="001B4EC1">
        <w:rPr>
          <w:i/>
        </w:rPr>
        <w:t>den 18 juni</w:t>
      </w:r>
      <w:r w:rsidRPr="001B4EC1">
        <w:rPr>
          <w:rStyle w:val="Fotnotsreferens"/>
        </w:rPr>
        <w:footnoteReference w:id="50"/>
      </w:r>
      <w:r w:rsidRPr="001B4EC1">
        <w:t>. Statsminister Göran Persson förklarade bl.a. att regeringen från för</w:t>
      </w:r>
      <w:r w:rsidRPr="001B4EC1">
        <w:softHyphen/>
        <w:t>sta början markerat sitt starka motstånd till försl</w:t>
      </w:r>
      <w:r w:rsidRPr="001B4EC1">
        <w:t>a</w:t>
      </w:r>
      <w:r w:rsidRPr="001B4EC1">
        <w:t>get om s.k. säkra asylzoner. Att etablera sådana zoner var enligt statsministern inte bara inhumant utan bidrog också till att skapa ett oklart läge i förhållande till gällande inte</w:t>
      </w:r>
      <w:r w:rsidRPr="001B4EC1">
        <w:t>r</w:t>
      </w:r>
      <w:r w:rsidRPr="001B4EC1">
        <w:t>natio</w:t>
      </w:r>
      <w:r w:rsidRPr="001B4EC1">
        <w:softHyphen/>
        <w:t>nella konventioner. Han sade vidare:</w:t>
      </w:r>
    </w:p>
    <w:p w:rsidR="00252869" w:rsidRPr="001B4EC1" w:rsidRDefault="00252869">
      <w:pPr>
        <w:pStyle w:val="Citat"/>
        <w:spacing w:before="125"/>
      </w:pPr>
      <w:r w:rsidRPr="001B4EC1">
        <w:t>Diskussionen handlar nu om att man ska tillåta att detta förslag prövas i så kallade pilotprojekt som sedan utvärderas av kommissionen. Vi kan inte hindra att enski</w:t>
      </w:r>
      <w:r w:rsidRPr="001B4EC1">
        <w:t>lda medlemsländer bestämmer sig för att göra för</w:t>
      </w:r>
      <w:r w:rsidRPr="001B4EC1">
        <w:softHyphen/>
        <w:t>sök med skyddszoner. Men vi kommer att fortsätta att motsätta oss att EU-finansiering används för projekt som inte uppfyller grundläggande krav på humanitet och står i förenlighet med gällande konventioner på omr</w:t>
      </w:r>
      <w:r w:rsidRPr="001B4EC1">
        <w:t>å</w:t>
      </w:r>
      <w:r w:rsidRPr="001B4EC1">
        <w:t xml:space="preserve">det. </w:t>
      </w:r>
    </w:p>
    <w:p w:rsidR="00252869" w:rsidRPr="001B4EC1" w:rsidRDefault="00252869">
      <w:pPr>
        <w:pStyle w:val="R4"/>
      </w:pPr>
      <w:r w:rsidRPr="001B4EC1">
        <w:t>Pressklipp</w:t>
      </w:r>
    </w:p>
    <w:p w:rsidR="00252869" w:rsidRPr="001B4EC1" w:rsidRDefault="00252869">
      <w:r w:rsidRPr="001B4EC1">
        <w:t xml:space="preserve">I den brittiska tidningen Independent fanns den 29 mars 2003 en artikel om det europeiska mottagandet av de brittiska planerna om mottagningscentrum i länder som Albanien och Ukraina för asylsökande och inrättande av säkra tillflyktsorter </w:t>
      </w:r>
      <w:r w:rsidRPr="001B4EC1">
        <w:rPr>
          <w:i/>
        </w:rPr>
        <w:t>(safe havens)</w:t>
      </w:r>
      <w:r w:rsidRPr="001B4EC1">
        <w:t xml:space="preserve"> där flyktingar kunde stanna tills de kunde åte</w:t>
      </w:r>
      <w:r w:rsidRPr="001B4EC1">
        <w:t>r</w:t>
      </w:r>
      <w:r w:rsidRPr="001B4EC1">
        <w:t xml:space="preserve">vända till sina hem. </w:t>
      </w:r>
    </w:p>
    <w:p w:rsidR="00252869" w:rsidRPr="001B4EC1" w:rsidRDefault="00252869">
      <w:pPr>
        <w:pStyle w:val="Normaltindrag"/>
      </w:pPr>
      <w:r w:rsidRPr="001B4EC1">
        <w:t>Mottagandet beskrivs som ljummet. Tyskland  uppges ha motsatt sig fö</w:t>
      </w:r>
      <w:r w:rsidRPr="001B4EC1">
        <w:t>r</w:t>
      </w:r>
      <w:r w:rsidRPr="001B4EC1">
        <w:t>slaget. Den brittiske inrikesministern, som lagt fram utkastet, sägs ha fått stöd från Spanien, Nederländerna, Sverige, Finland och Italien, medan andra n</w:t>
      </w:r>
      <w:r w:rsidRPr="001B4EC1">
        <w:t>a</w:t>
      </w:r>
      <w:r w:rsidRPr="001B4EC1">
        <w:t xml:space="preserve">tioner var skeptiska mot </w:t>
      </w:r>
      <w:r w:rsidRPr="001B4EC1">
        <w:rPr>
          <w:i/>
        </w:rPr>
        <w:t>”the detail”</w:t>
      </w:r>
      <w:r w:rsidRPr="001B4EC1">
        <w:t xml:space="preserve">, och Frankrike inte angav sin position. </w:t>
      </w:r>
    </w:p>
    <w:p w:rsidR="00252869" w:rsidRPr="001B4EC1" w:rsidRDefault="00252869">
      <w:pPr>
        <w:pStyle w:val="Rubrik3"/>
        <w:rPr>
          <w:noProof w:val="0"/>
        </w:rPr>
      </w:pPr>
      <w:bookmarkStart w:id="66" w:name="_Toc72648497"/>
      <w:r w:rsidRPr="001B4EC1">
        <w:rPr>
          <w:noProof w:val="0"/>
        </w:rPr>
        <w:t>Uppgifter från Regeringskansliet och vid utfrågning</w:t>
      </w:r>
      <w:bookmarkEnd w:id="66"/>
      <w:r w:rsidRPr="001B4EC1">
        <w:rPr>
          <w:noProof w:val="0"/>
        </w:rPr>
        <w:t xml:space="preserve"> </w:t>
      </w:r>
    </w:p>
    <w:p w:rsidR="00252869" w:rsidRPr="001B4EC1" w:rsidRDefault="00252869">
      <w:pPr>
        <w:pStyle w:val="Rubrik4"/>
        <w:spacing w:before="125"/>
        <w:rPr>
          <w:noProof w:val="0"/>
        </w:rPr>
      </w:pPr>
      <w:bookmarkStart w:id="67" w:name="_Toc72648498"/>
      <w:r w:rsidRPr="001B4EC1">
        <w:rPr>
          <w:noProof w:val="0"/>
        </w:rPr>
        <w:t>Uppgifter från Regeringskansliet</w:t>
      </w:r>
      <w:bookmarkEnd w:id="67"/>
      <w:r w:rsidRPr="001B4EC1">
        <w:rPr>
          <w:noProof w:val="0"/>
        </w:rPr>
        <w:t xml:space="preserve"> </w:t>
      </w:r>
    </w:p>
    <w:p w:rsidR="00252869" w:rsidRPr="001B4EC1" w:rsidRDefault="00252869">
      <w:r w:rsidRPr="001B4EC1">
        <w:t xml:space="preserve">Utskottet har från Regeringskansliet begärt kommentarer till de uppgifter som anförs i anmälan. </w:t>
      </w:r>
    </w:p>
    <w:p w:rsidR="00252869" w:rsidRPr="001B4EC1" w:rsidRDefault="00252869">
      <w:pPr>
        <w:pStyle w:val="Normaltindrag"/>
      </w:pPr>
      <w:r w:rsidRPr="001B4EC1">
        <w:t>I en promemoria den 5 december 2003 har från Utrikesdepartementet a</w:t>
      </w:r>
      <w:r w:rsidRPr="001B4EC1">
        <w:t>n</w:t>
      </w:r>
      <w:r w:rsidRPr="001B4EC1">
        <w:t xml:space="preserve">förts bl.a. </w:t>
      </w:r>
    </w:p>
    <w:p w:rsidR="00252869" w:rsidRPr="001B4EC1" w:rsidRDefault="00252869">
      <w:pPr>
        <w:pStyle w:val="Citat"/>
        <w:spacing w:before="125"/>
      </w:pPr>
      <w:r w:rsidRPr="001B4EC1">
        <w:t>Vid tidpunkten för det informella ministermötet fanns inte något förslag från Europeiska kommissionen att ta ställning till. Det brittiska initiativet hade dock tagits upp vid samråd med EU-nämnden den 14 respektive den 19 mars. Utrikesministern framförde t.ex. den 14 mars att det brittiska initiativet var orealistiskt. Utrikesministern uttryckte således redan i mi</w:t>
      </w:r>
      <w:r w:rsidRPr="001B4EC1">
        <w:t>t</w:t>
      </w:r>
      <w:r w:rsidRPr="001B4EC1">
        <w:t>ten av mars uppfattningen att det är orealistiskt att bygga upp geme</w:t>
      </w:r>
      <w:r w:rsidRPr="001B4EC1">
        <w:t>n</w:t>
      </w:r>
      <w:r w:rsidRPr="001B4EC1">
        <w:t>samma flyktingmot</w:t>
      </w:r>
      <w:r w:rsidRPr="001B4EC1">
        <w:softHyphen/>
        <w:t xml:space="preserve">tagningar utanför gränserna där personer som söker asyl kan vistas i väntan på att utredning pågår. </w:t>
      </w:r>
    </w:p>
    <w:p w:rsidR="00252869" w:rsidRPr="001B4EC1" w:rsidRDefault="00252869">
      <w:pPr>
        <w:pStyle w:val="CitatIndrag"/>
      </w:pPr>
      <w:r w:rsidRPr="001B4EC1">
        <w:t>Anledningen till att det av Regeringskansliets rapport daterad den 2 april 2003 inte framgår att migrationsminister Jan O. Karlsson vid m</w:t>
      </w:r>
      <w:r w:rsidRPr="001B4EC1">
        <w:t>i</w:t>
      </w:r>
      <w:r w:rsidRPr="001B4EC1">
        <w:t>nistermötet den 28–29 mars 2003 tog avstånd från det aktuella förslaget är att det inte gjordes vid själva sammanträdet; migrationsministern di</w:t>
      </w:r>
      <w:r w:rsidRPr="001B4EC1">
        <w:t>s</w:t>
      </w:r>
      <w:r w:rsidRPr="001B4EC1">
        <w:t>kuterade frågan enskilt med britterna i anslutning till mötet. Migration</w:t>
      </w:r>
      <w:r w:rsidRPr="001B4EC1">
        <w:t>s</w:t>
      </w:r>
      <w:r w:rsidRPr="001B4EC1">
        <w:t>ministern framförde att Sverige säger nej till tanken att en person inte skall få söka asyl i det land han eller hon anländer till, utan hänvisas n</w:t>
      </w:r>
      <w:r w:rsidRPr="001B4EC1">
        <w:t>å</w:t>
      </w:r>
      <w:r w:rsidRPr="001B4EC1">
        <w:t>gon a</w:t>
      </w:r>
      <w:r w:rsidRPr="001B4EC1">
        <w:t>n</w:t>
      </w:r>
      <w:r w:rsidRPr="001B4EC1">
        <w:t xml:space="preserve">nanstans. </w:t>
      </w:r>
    </w:p>
    <w:p w:rsidR="00252869" w:rsidRPr="001B4EC1" w:rsidRDefault="00252869">
      <w:pPr>
        <w:pStyle w:val="CitatIndrag"/>
      </w:pPr>
      <w:r w:rsidRPr="001B4EC1">
        <w:t>Orsaken till att budskapet inte framfördes vid själva sammanträdet var att migrationsministern, i det läge då det inte fanns någo</w:t>
      </w:r>
      <w:r w:rsidRPr="001B4EC1">
        <w:t>t formellt förslag att ta ställning till, ville framföra den svenska inställningen enbart till den brittiska delegationen; Storbritannien är en för Sverige viktig allierad s</w:t>
      </w:r>
      <w:r w:rsidRPr="001B4EC1">
        <w:t>å</w:t>
      </w:r>
      <w:r w:rsidRPr="001B4EC1">
        <w:t>väl i andra frågor inom politikområdet som i det övriga EU-arbetet. Det föreföll i detta läge därför naturligare att framföra den svenska instäl</w:t>
      </w:r>
      <w:r w:rsidRPr="001B4EC1">
        <w:t>l</w:t>
      </w:r>
      <w:r w:rsidRPr="001B4EC1">
        <w:t>ningen bilateralt istället för vid själva sammanträdet. Härigenom bedö</w:t>
      </w:r>
      <w:r w:rsidRPr="001B4EC1">
        <w:t>m</w:t>
      </w:r>
      <w:r w:rsidRPr="001B4EC1">
        <w:t>des förutsättningarna öka för att Storbritannien skulle ta tillbaka sitt init</w:t>
      </w:r>
      <w:r w:rsidRPr="001B4EC1">
        <w:t>i</w:t>
      </w:r>
      <w:r w:rsidRPr="001B4EC1">
        <w:t xml:space="preserve">ativ. </w:t>
      </w:r>
    </w:p>
    <w:p w:rsidR="00252869" w:rsidRPr="001B4EC1" w:rsidRDefault="00252869">
      <w:pPr>
        <w:pStyle w:val="CitatIndrag"/>
      </w:pPr>
      <w:r w:rsidRPr="001B4EC1">
        <w:t>I sammanhanget skall framhållas att m</w:t>
      </w:r>
      <w:r w:rsidRPr="001B4EC1">
        <w:t>ötet den 28–29 mars inte var ett formellt ministerrådsmöte utan den typ av informellt möte som hålls bland justitie- och inrikesministrarna en gång under varje ordföra</w:t>
      </w:r>
      <w:r w:rsidRPr="001B4EC1">
        <w:t>n</w:t>
      </w:r>
      <w:r w:rsidRPr="001B4EC1">
        <w:t>deskapsperiod. Dessa möten har tillkommit just i syfte att ge ministrarna möjlighet att diskutera aktuella frågor på ett mer informellt sätt.</w:t>
      </w:r>
    </w:p>
    <w:p w:rsidR="00252869" w:rsidRPr="001B4EC1" w:rsidRDefault="00252869">
      <w:pPr>
        <w:pStyle w:val="CitatIndrag"/>
      </w:pPr>
      <w:r w:rsidRPr="001B4EC1">
        <w:t>Vid rådsmötet den 5–6 juni lade kommissionen fram ett konkret fö</w:t>
      </w:r>
      <w:r w:rsidRPr="001B4EC1">
        <w:t>r</w:t>
      </w:r>
      <w:r w:rsidRPr="001B4EC1">
        <w:t>slag med anledning av det brittiska initiativet, varvid migrationsministern under själva sammanträdet tog tydligt avstånd från förslaget. Migr</w:t>
      </w:r>
      <w:r w:rsidRPr="001B4EC1">
        <w:t>a</w:t>
      </w:r>
      <w:r w:rsidRPr="001B4EC1">
        <w:t xml:space="preserve">tionsministern kritiserade samtidigt FN:s flyktingkommissarie (UNHCR) för det stöd man gett förslaget. </w:t>
      </w:r>
    </w:p>
    <w:p w:rsidR="00252869" w:rsidRPr="001B4EC1" w:rsidRDefault="00252869">
      <w:pPr>
        <w:pStyle w:val="CitatIndrag"/>
      </w:pPr>
      <w:r w:rsidRPr="001B4EC1">
        <w:t xml:space="preserve">Sverige tog sammanfattningsvis avstånd från förslaget både före och i samband med att ett konkret förslag förelåg från kommissionens sida. </w:t>
      </w:r>
    </w:p>
    <w:p w:rsidR="00252869" w:rsidRPr="001B4EC1" w:rsidRDefault="00252869">
      <w:r w:rsidRPr="001B4EC1">
        <w:t>I ett kompletterande svar den 12 februari 2004 på frågor från utskottet anfö</w:t>
      </w:r>
      <w:r w:rsidRPr="001B4EC1">
        <w:t>r</w:t>
      </w:r>
      <w:r w:rsidRPr="001B4EC1">
        <w:t>des från Utrikesdepa</w:t>
      </w:r>
      <w:r w:rsidRPr="001B4EC1">
        <w:t>r</w:t>
      </w:r>
      <w:r w:rsidRPr="001B4EC1">
        <w:t xml:space="preserve">tementet följande. </w:t>
      </w:r>
    </w:p>
    <w:p w:rsidR="00252869" w:rsidRPr="001B4EC1" w:rsidRDefault="00252869">
      <w:pPr>
        <w:pStyle w:val="Citat"/>
        <w:spacing w:before="125"/>
      </w:pPr>
      <w:r w:rsidRPr="001B4EC1">
        <w:t>Vad avser frågan om hur migrationsministerns uppgivna kontakter med de brittiska företrädarna gått till kan uppges att migrationsministern i en paus tog kontakt med den brittiska delegationen för att personligen fra</w:t>
      </w:r>
      <w:r w:rsidRPr="001B4EC1">
        <w:t>m</w:t>
      </w:r>
      <w:r w:rsidRPr="001B4EC1">
        <w:t xml:space="preserve">föra till Lord Filkin att Sverige säger nej till tanken på att personer inte skall få söka asyl i det land de anländer till, utan hänvisas till någon form av center. Såsom framförts i tidigare promemoria föreföll det i det läget naturligare att framföra den svenska inställningen bilateralt istället för vid själva sammanträdet, eftersom förutsättningarna för att Storbritannien skulle ta tillbaka sitt initiativ härigenom bedömdes öka. </w:t>
      </w:r>
    </w:p>
    <w:p w:rsidR="00252869" w:rsidRPr="001B4EC1" w:rsidRDefault="00252869">
      <w:pPr>
        <w:pStyle w:val="CitatIndrag"/>
      </w:pPr>
      <w:r w:rsidRPr="001B4EC1">
        <w:t>Anledningen till att migrationsministern inte tydliggjorde för EU-nämnden</w:t>
      </w:r>
      <w:r w:rsidRPr="001B4EC1">
        <w:t xml:space="preserve"> att avståndstagandet framförts till britterna i en paus och inte vid själva mötet är att ministern, mot bakgrund av att det rörde sig om ett informellt möte, bedömde det viktiga vara </w:t>
      </w:r>
      <w:r w:rsidRPr="001B4EC1">
        <w:rPr>
          <w:i/>
        </w:rPr>
        <w:t>att</w:t>
      </w:r>
      <w:r w:rsidRPr="001B4EC1">
        <w:t xml:space="preserve"> han tagit avstånd från init</w:t>
      </w:r>
      <w:r w:rsidRPr="001B4EC1">
        <w:t>i</w:t>
      </w:r>
      <w:r w:rsidRPr="001B4EC1">
        <w:t xml:space="preserve">ativet, inte </w:t>
      </w:r>
      <w:r w:rsidRPr="001B4EC1">
        <w:rPr>
          <w:i/>
        </w:rPr>
        <w:t>hur</w:t>
      </w:r>
      <w:r w:rsidRPr="001B4EC1">
        <w:t xml:space="preserve"> han gjort det. Såsom framgår av beskrivningen i tidigare promemoria förs diskussionerna mellan ministrarna på ett informellt sätt vid dessa möten. Mötena resulterar varken i beslut eller i officiella prot</w:t>
      </w:r>
      <w:r w:rsidRPr="001B4EC1">
        <w:t>o</w:t>
      </w:r>
      <w:r w:rsidRPr="001B4EC1">
        <w:t xml:space="preserve">koll. </w:t>
      </w:r>
    </w:p>
    <w:p w:rsidR="00252869" w:rsidRPr="001B4EC1" w:rsidRDefault="00252869">
      <w:r w:rsidRPr="001B4EC1">
        <w:t xml:space="preserve">Promemoriorna från Utrikesdepartementet finns intagna som </w:t>
      </w:r>
      <w:r w:rsidRPr="001B4EC1">
        <w:rPr>
          <w:i/>
        </w:rPr>
        <w:t xml:space="preserve">bilagorna A 1.8.2 </w:t>
      </w:r>
      <w:r w:rsidRPr="001B4EC1">
        <w:t>och</w:t>
      </w:r>
      <w:r w:rsidRPr="001B4EC1">
        <w:rPr>
          <w:i/>
        </w:rPr>
        <w:t xml:space="preserve"> A 1.8.3</w:t>
      </w:r>
      <w:r w:rsidRPr="001B4EC1">
        <w:t xml:space="preserve">. </w:t>
      </w:r>
    </w:p>
    <w:p w:rsidR="00252869" w:rsidRPr="001B4EC1" w:rsidRDefault="00252869">
      <w:pPr>
        <w:pStyle w:val="Rubrik4"/>
        <w:rPr>
          <w:noProof w:val="0"/>
        </w:rPr>
      </w:pPr>
      <w:bookmarkStart w:id="68" w:name="_Toc72648499"/>
      <w:r w:rsidRPr="001B4EC1">
        <w:rPr>
          <w:noProof w:val="0"/>
        </w:rPr>
        <w:t>Uppgifter vid utfrågning med Jan O. Karlsson</w:t>
      </w:r>
      <w:bookmarkEnd w:id="68"/>
      <w:r w:rsidRPr="001B4EC1">
        <w:rPr>
          <w:noProof w:val="0"/>
        </w:rPr>
        <w:t xml:space="preserve"> </w:t>
      </w:r>
    </w:p>
    <w:p w:rsidR="00252869" w:rsidRPr="001B4EC1" w:rsidRDefault="00252869">
      <w:r w:rsidRPr="001B4EC1">
        <w:t xml:space="preserve">Utskottet höll den 25 mars 2004 en offentlig utfrågning med Jan O. Karlsson, </w:t>
      </w:r>
      <w:r w:rsidRPr="001B4EC1">
        <w:rPr>
          <w:i/>
        </w:rPr>
        <w:t>bilaga B2</w:t>
      </w:r>
      <w:r w:rsidRPr="001B4EC1">
        <w:t>, som då avgått från statsrådsämbetet, i bl.a. detta ärende. Karlssons svar är av samma innebörd som framgått av tidigare svar från Regeringskan</w:t>
      </w:r>
      <w:r w:rsidRPr="001B4EC1">
        <w:t>s</w:t>
      </w:r>
      <w:r w:rsidRPr="001B4EC1">
        <w:t xml:space="preserve">liet. </w:t>
      </w:r>
    </w:p>
    <w:p w:rsidR="00252869" w:rsidRPr="001B4EC1" w:rsidRDefault="00252869">
      <w:pPr>
        <w:pStyle w:val="Normaltindrag"/>
      </w:pPr>
      <w:r w:rsidRPr="001B4EC1">
        <w:t>På särskild fråga uppgav Karlsson att nedteckningen från Veriamötet att Sverige höll med Storbritannien om att åtgärder måste vidtas med anledning av att en så stor andel asylsökande egentligen saknar asylskäl hänför sig till ett inlägg där en allmän beskrivning av de problem som förelåg diskuterades. Där var Sverige överens om att ett av de problem</w:t>
      </w:r>
      <w:r w:rsidRPr="001B4EC1">
        <w:t xml:space="preserve"> som då diskuterades var att många av de asylsökande visade sig sakna asylskäl. </w:t>
      </w:r>
    </w:p>
    <w:p w:rsidR="00252869" w:rsidRPr="001B4EC1" w:rsidRDefault="00252869">
      <w:pPr>
        <w:pStyle w:val="Normaltindrag"/>
      </w:pPr>
      <w:r w:rsidRPr="001B4EC1">
        <w:t>På särskild fråga uppgav Karlsson också att uppgiften i Independent om stöd från bl.a. Sver</w:t>
      </w:r>
      <w:r w:rsidRPr="001B4EC1">
        <w:t>i</w:t>
      </w:r>
      <w:r w:rsidRPr="001B4EC1">
        <w:t xml:space="preserve">ge är felaktig. </w:t>
      </w:r>
    </w:p>
    <w:p w:rsidR="00252869" w:rsidRPr="001B4EC1" w:rsidRDefault="00252869">
      <w:pPr>
        <w:pStyle w:val="Normaltindrag"/>
      </w:pPr>
      <w:r w:rsidRPr="001B4EC1">
        <w:t xml:space="preserve">Vidare uppgav han att han inte tror att den svenska inställningen kunde missförstås av övriga deltagande vid mötet, och han hänvisade till situationen av internationell förhandling. På dagordningen fanns andra ärenden där han bedömde att det fanns anledning att försöka utverka stöd från engelsmännen gentemot andra länder. Han ville inte vid detta informella möte i onödan äventyra stödet i andra frågor genom att genera Lord Filkin som förde talan för Storbritannien. </w:t>
      </w:r>
    </w:p>
    <w:p w:rsidR="00252869" w:rsidRPr="001B4EC1" w:rsidRDefault="00252869">
      <w:pPr>
        <w:pStyle w:val="Rubrik3"/>
        <w:rPr>
          <w:noProof w:val="0"/>
        </w:rPr>
      </w:pPr>
      <w:bookmarkStart w:id="69" w:name="_Toc72648500"/>
      <w:r w:rsidRPr="001B4EC1">
        <w:rPr>
          <w:noProof w:val="0"/>
        </w:rPr>
        <w:t>Utskottets ställningstagande</w:t>
      </w:r>
      <w:bookmarkEnd w:id="69"/>
      <w:r w:rsidRPr="001B4EC1">
        <w:rPr>
          <w:noProof w:val="0"/>
        </w:rPr>
        <w:t xml:space="preserve"> </w:t>
      </w:r>
    </w:p>
    <w:p w:rsidR="00252869" w:rsidRPr="001B4EC1" w:rsidRDefault="00252869">
      <w:r w:rsidRPr="001B4EC1">
        <w:t>Dåvarande statsrådet Jan O. Karlssons återrapport från det informella råd</w:t>
      </w:r>
      <w:r w:rsidRPr="001B4EC1">
        <w:t>s</w:t>
      </w:r>
      <w:r w:rsidRPr="001B4EC1">
        <w:t>mötet i Veria gav intryck av att hans avståndstagande från tankarna i den brittiske premiärministerns brev gjordes vid sittande sammanträdesbord under mötet. Så var emellertid inte fallet, enligt vad Jan O. Karlsson senare red</w:t>
      </w:r>
      <w:r w:rsidRPr="001B4EC1">
        <w:t>o</w:t>
      </w:r>
      <w:r w:rsidRPr="001B4EC1">
        <w:t>gjort för, utan i stället talade han utanför sammanträdet med sin brittiske kollega om den svenska inställningen. Förfarandet, liksom rapporteringen från mötet, kunde ge anledning till tveksamhet om den svenska inställningen. Utskottet ser det självfallet som viktigt att återrapporte</w:t>
      </w:r>
      <w:r w:rsidRPr="001B4EC1">
        <w:t xml:space="preserve">ringen från rådsmöten är korrekt och tydlig. </w:t>
      </w:r>
    </w:p>
    <w:p w:rsidR="00252869" w:rsidRPr="001B4EC1" w:rsidRDefault="00252869">
      <w:pPr>
        <w:pStyle w:val="Normaltindrag"/>
      </w:pPr>
      <w:r w:rsidRPr="001B4EC1">
        <w:t xml:space="preserve">Granskningen föranleder inte i övrigt något uttalande från utskottets sida. </w:t>
      </w:r>
    </w:p>
    <w:p w:rsidR="00252869" w:rsidRPr="001B4EC1" w:rsidRDefault="00252869">
      <w:pPr>
        <w:pStyle w:val="Rubrik2"/>
      </w:pPr>
      <w:bookmarkStart w:id="70" w:name="_Toc72648501"/>
      <w:r w:rsidRPr="001B4EC1">
        <w:t>1.9 Fråga om hinder att besvara en interpellation</w:t>
      </w:r>
      <w:bookmarkEnd w:id="70"/>
    </w:p>
    <w:p w:rsidR="00252869" w:rsidRPr="001B4EC1" w:rsidRDefault="00252869">
      <w:pPr>
        <w:pStyle w:val="Rubrik3"/>
        <w:rPr>
          <w:noProof w:val="0"/>
        </w:rPr>
      </w:pPr>
      <w:bookmarkStart w:id="71" w:name="_Toc72648502"/>
      <w:r w:rsidRPr="001B4EC1">
        <w:rPr>
          <w:noProof w:val="0"/>
        </w:rPr>
        <w:t>Anmälan m.m.</w:t>
      </w:r>
      <w:bookmarkEnd w:id="71"/>
    </w:p>
    <w:p w:rsidR="00252869" w:rsidRPr="001B4EC1" w:rsidRDefault="00252869">
      <w:r w:rsidRPr="001B4EC1">
        <w:t xml:space="preserve">I en anmälan till konstitutionsutskottet den 16 maj 2003, </w:t>
      </w:r>
      <w:r w:rsidRPr="001B4EC1">
        <w:rPr>
          <w:i/>
        </w:rPr>
        <w:t>bilaga A 1.9.1</w:t>
      </w:r>
      <w:r w:rsidRPr="001B4EC1">
        <w:t>, b</w:t>
      </w:r>
      <w:r w:rsidRPr="001B4EC1">
        <w:t>e</w:t>
      </w:r>
      <w:r w:rsidRPr="001B4EC1">
        <w:t>gärs att utskottet skall granska statsrådet Jan O. Karlsson på grund av hans vägran att besvara interpellation 2002/03:417 om fly</w:t>
      </w:r>
      <w:r w:rsidRPr="001B4EC1">
        <w:t>k</w:t>
      </w:r>
      <w:r w:rsidRPr="001B4EC1">
        <w:t>ting</w:t>
      </w:r>
      <w:r w:rsidRPr="001B4EC1">
        <w:softHyphen/>
        <w:t xml:space="preserve">mottagandet. </w:t>
      </w:r>
    </w:p>
    <w:p w:rsidR="00252869" w:rsidRPr="001B4EC1" w:rsidRDefault="00252869">
      <w:pPr>
        <w:pStyle w:val="Normaltindrag"/>
      </w:pPr>
      <w:r w:rsidRPr="001B4EC1">
        <w:t>Interpellationen ställdes mot bakgrund av Sveriges tele</w:t>
      </w:r>
      <w:r w:rsidRPr="001B4EC1">
        <w:softHyphen/>
        <w:t>visions rapportering om missförhållanden på vissa av landets friskolor och gällde frågan vilka åtgärder stats</w:t>
      </w:r>
      <w:r w:rsidRPr="001B4EC1">
        <w:softHyphen/>
        <w:t>rådet avsåg att vidta för att de som kommer till vårt land redan vid fly</w:t>
      </w:r>
      <w:r w:rsidRPr="001B4EC1">
        <w:t>k</w:t>
      </w:r>
      <w:r w:rsidRPr="001B4EC1">
        <w:t>ting</w:t>
      </w:r>
      <w:r w:rsidRPr="001B4EC1">
        <w:softHyphen/>
        <w:t xml:space="preserve">mottagandet tillförs svenska lagar och normer. </w:t>
      </w:r>
    </w:p>
    <w:p w:rsidR="00252869" w:rsidRPr="001B4EC1" w:rsidRDefault="00252869">
      <w:pPr>
        <w:pStyle w:val="Normaltindrag"/>
      </w:pPr>
      <w:r w:rsidRPr="001B4EC1">
        <w:t>Enligt anmälan lämnades interpellationen till kammarkansliet den 12 maj 2003. I ett meddelande som kom in till kammarkansliet den 15 maj 2003 meddelade statsrådet att interpellationen inte skulle komma att besvaras av det skälet att han inte hade möjlighet att besvara den fö</w:t>
      </w:r>
      <w:r w:rsidRPr="001B4EC1">
        <w:t xml:space="preserve">re sommaruppehållet på grund av resor och andra engagemang. </w:t>
      </w:r>
    </w:p>
    <w:p w:rsidR="00252869" w:rsidRPr="001B4EC1" w:rsidRDefault="00252869">
      <w:r w:rsidRPr="001B4EC1">
        <w:t>Interpellationen kom senare att besvaras i kammaren den 27 maj 2003 (prot. 2002/03:112, 23 §). Under debatten bad statsrådet Karlsson om förståelse för att interpellations</w:t>
      </w:r>
      <w:r w:rsidRPr="001B4EC1">
        <w:softHyphen/>
        <w:t>svaret, i den ursprungliga planeringen av riksdagens arbete, kom att sammanfalla med att han skulle uppvakta en person som i 15 år a</w:t>
      </w:r>
      <w:r w:rsidRPr="001B4EC1">
        <w:t>r</w:t>
      </w:r>
      <w:r w:rsidRPr="001B4EC1">
        <w:t>betat som tjänsteman och chef för Migrationsverket. Han ansåg att han av hänsyn till en person som gjort så stora samhälls</w:t>
      </w:r>
      <w:r w:rsidRPr="001B4EC1">
        <w:softHyphen/>
        <w:t>insatser som ansvarigt stat</w:t>
      </w:r>
      <w:r w:rsidRPr="001B4EC1">
        <w:t>s</w:t>
      </w:r>
      <w:r w:rsidRPr="001B4EC1">
        <w:t xml:space="preserve">råd borde hålla ett avskedsanförande. </w:t>
      </w:r>
    </w:p>
    <w:p w:rsidR="00252869" w:rsidRPr="001B4EC1" w:rsidRDefault="00252869">
      <w:pPr>
        <w:pStyle w:val="Rubrik3"/>
        <w:rPr>
          <w:noProof w:val="0"/>
        </w:rPr>
      </w:pPr>
      <w:bookmarkStart w:id="72" w:name="_Toc72648503"/>
      <w:r w:rsidRPr="001B4EC1">
        <w:rPr>
          <w:noProof w:val="0"/>
        </w:rPr>
        <w:t>Uppgifter från kammarkansliet</w:t>
      </w:r>
      <w:bookmarkEnd w:id="72"/>
      <w:r w:rsidRPr="001B4EC1">
        <w:rPr>
          <w:noProof w:val="0"/>
        </w:rPr>
        <w:t xml:space="preserve"> </w:t>
      </w:r>
    </w:p>
    <w:p w:rsidR="00252869" w:rsidRPr="001B4EC1" w:rsidRDefault="00252869">
      <w:r w:rsidRPr="001B4EC1">
        <w:t xml:space="preserve">I ett svar från kammarkansliet på fråga av utskottet har upplysts följande om hanteringen av interpellationen. </w:t>
      </w:r>
    </w:p>
    <w:p w:rsidR="00252869" w:rsidRPr="001B4EC1" w:rsidRDefault="00252869">
      <w:pPr>
        <w:pStyle w:val="Normaltindrag"/>
      </w:pPr>
      <w:r w:rsidRPr="001B4EC1">
        <w:t>Kammarkansliet erhöll den 15 maj 2003 skriftliga meddelanden från stat</w:t>
      </w:r>
      <w:r w:rsidRPr="001B4EC1">
        <w:t>s</w:t>
      </w:r>
      <w:r w:rsidRPr="001B4EC1">
        <w:t>rådet Jan O. Karlsson att sex interpellationer inte skulle komma att besvaras. De sex interpellationerna hade lämnats in den 8 maj, den 9 maj respektive den 12 maj (tre stycken). Det skäl som angavs var i samtliga fall att statsrådet på grund av resor och andra engagemang inte hade möjlighet att besvara inte</w:t>
      </w:r>
      <w:r w:rsidRPr="001B4EC1">
        <w:t>r</w:t>
      </w:r>
      <w:r w:rsidRPr="001B4EC1">
        <w:t xml:space="preserve">pellationerna före sommaruppehållet. </w:t>
      </w:r>
    </w:p>
    <w:p w:rsidR="00252869" w:rsidRPr="001B4EC1" w:rsidRDefault="00252869">
      <w:pPr>
        <w:pStyle w:val="Normaltindrag"/>
      </w:pPr>
      <w:r w:rsidRPr="001B4EC1">
        <w:t>Sedan besvikelse framförts till kammarkansliet från flera av interpellante</w:t>
      </w:r>
      <w:r w:rsidRPr="001B4EC1">
        <w:t>r</w:t>
      </w:r>
      <w:r w:rsidRPr="001B4EC1">
        <w:t>na, kontaktade kammarkansliet på uppdrag av talmannen Regeringskansliet med budskapet att det skulle vara mycket uppskattat om statsrådet Karlsson ändå kunde finna utrymme för att besvara interpellationerna. Från kamma</w:t>
      </w:r>
      <w:r w:rsidRPr="001B4EC1">
        <w:t>r</w:t>
      </w:r>
      <w:r w:rsidRPr="001B4EC1">
        <w:t>kansliets sida skulle i så fall göras vad som kunde göras för att placera in interpellationsdebatterna i det vid det laget rätt fulltecknade kammarpr</w:t>
      </w:r>
      <w:r w:rsidRPr="001B4EC1">
        <w:t>o</w:t>
      </w:r>
      <w:r w:rsidRPr="001B4EC1">
        <w:t xml:space="preserve">grammet. </w:t>
      </w:r>
    </w:p>
    <w:p w:rsidR="00252869" w:rsidRPr="001B4EC1" w:rsidRDefault="00252869">
      <w:pPr>
        <w:pStyle w:val="Normaltindrag"/>
      </w:pPr>
      <w:r w:rsidRPr="001B4EC1">
        <w:t>Statsrådet Karlssons medarbetare kontaktade därefter kammarkansliet och meddelade att man lyckats skapa utrymme för besvarande av in</w:t>
      </w:r>
      <w:r w:rsidRPr="001B4EC1">
        <w:t>terpellatione</w:t>
      </w:r>
      <w:r w:rsidRPr="001B4EC1">
        <w:t>r</w:t>
      </w:r>
      <w:r w:rsidRPr="001B4EC1">
        <w:t xml:space="preserve">na tisdagen den 27 maj. Samtliga de sex interpellationsdebatterna placerades också in på detta datum, trots att det innebar att plenum skulle komma att pågå betydligt längre än som ursprungligen planerats och dess senare del därför sammanfalla med vissa partianknutna aktiviteter. </w:t>
      </w:r>
    </w:p>
    <w:p w:rsidR="00252869" w:rsidRPr="001B4EC1" w:rsidRDefault="00252869">
      <w:r w:rsidRPr="001B4EC1">
        <w:t xml:space="preserve">Svaret från Kammarkansliet finns intaget som </w:t>
      </w:r>
      <w:r w:rsidRPr="001B4EC1">
        <w:rPr>
          <w:i/>
        </w:rPr>
        <w:t>bilaga A 1.9.2</w:t>
      </w:r>
      <w:r w:rsidRPr="001B4EC1">
        <w:t>.</w:t>
      </w:r>
    </w:p>
    <w:p w:rsidR="00252869" w:rsidRPr="001B4EC1" w:rsidRDefault="00252869">
      <w:pPr>
        <w:pStyle w:val="Rubrik3"/>
        <w:rPr>
          <w:noProof w:val="0"/>
        </w:rPr>
      </w:pPr>
      <w:bookmarkStart w:id="73" w:name="_Toc72648504"/>
      <w:r w:rsidRPr="001B4EC1">
        <w:rPr>
          <w:noProof w:val="0"/>
        </w:rPr>
        <w:t>Promemoria från Statsrådsberedningen</w:t>
      </w:r>
      <w:bookmarkEnd w:id="73"/>
      <w:r w:rsidRPr="001B4EC1">
        <w:rPr>
          <w:noProof w:val="0"/>
        </w:rPr>
        <w:t xml:space="preserve"> </w:t>
      </w:r>
    </w:p>
    <w:p w:rsidR="00252869" w:rsidRPr="001B4EC1" w:rsidRDefault="00252869">
      <w:r w:rsidRPr="001B4EC1">
        <w:t xml:space="preserve">Utskottet har från Regeringskansliet begärt ett yttrande över anmälan. I en promemoria den 2 februari 2004 har från Utrikesdepartementet uppgivits bl.a. följande. </w:t>
      </w:r>
    </w:p>
    <w:p w:rsidR="00252869" w:rsidRPr="001B4EC1" w:rsidRDefault="00252869">
      <w:pPr>
        <w:pStyle w:val="Normaltindrag"/>
      </w:pPr>
      <w:r w:rsidRPr="001B4EC1">
        <w:t>Interpellationen översändes från riksdagen till Utrikesdepartementet den 12 maj 2003. Efter en noggrann genomgång av statsrådets kalender och mö</w:t>
      </w:r>
      <w:r w:rsidRPr="001B4EC1">
        <w:t>j</w:t>
      </w:r>
      <w:r w:rsidRPr="001B4EC1">
        <w:t>ligheter till ändringar i relation till de svarsdatum som fanns tillgängliga i riksdagen bedömdes att det inte var möjligt för statsrådet att besvara inte</w:t>
      </w:r>
      <w:r w:rsidRPr="001B4EC1">
        <w:t>r</w:t>
      </w:r>
      <w:r w:rsidRPr="001B4EC1">
        <w:t xml:space="preserve">pellationen före sommaruppehållet. Ett meddelande om att interpellationssvar uteblir lämnades till riksdagen den 15 maj 2003 i enlighet med de rutiner som gäller. Med formuleringen att interpellationen inte skulle komma att besvaras uttalade sig statsrådet enligt promemorian endast om möjligheten att besvara interpellationen före sommaruppehållet. </w:t>
      </w:r>
    </w:p>
    <w:p w:rsidR="00252869" w:rsidRPr="001B4EC1" w:rsidRDefault="00252869">
      <w:pPr>
        <w:pStyle w:val="Normaltindrag"/>
      </w:pPr>
      <w:r w:rsidRPr="001B4EC1">
        <w:t>Stats</w:t>
      </w:r>
      <w:r w:rsidRPr="001B4EC1">
        <w:t>rådet hade enligt promemorian under senare delen av maj månad och början av juni 2003 många arrangemang och resor inplanerade. Det begräns</w:t>
      </w:r>
      <w:r w:rsidRPr="001B4EC1">
        <w:t>a</w:t>
      </w:r>
      <w:r w:rsidRPr="001B4EC1">
        <w:t>de utrymmet i kalendern ledde fram till bedömningen att interpellationen inte skulle kunna besvaras före sommaruppehållet. Sedermera uppstod ändringar i programmet som inte kunde förutses, vilket möjliggjorde att statsrådet besv</w:t>
      </w:r>
      <w:r w:rsidRPr="001B4EC1">
        <w:t>a</w:t>
      </w:r>
      <w:r w:rsidRPr="001B4EC1">
        <w:t>rade interpellati</w:t>
      </w:r>
      <w:r w:rsidRPr="001B4EC1">
        <w:t>o</w:t>
      </w:r>
      <w:r w:rsidRPr="001B4EC1">
        <w:t xml:space="preserve">nen sent tisdagen den 27 maj 2003. </w:t>
      </w:r>
    </w:p>
    <w:p w:rsidR="00252869" w:rsidRPr="001B4EC1" w:rsidRDefault="00252869">
      <w:pPr>
        <w:pStyle w:val="Normaltindrag"/>
      </w:pPr>
      <w:r w:rsidRPr="001B4EC1">
        <w:t>Därutöver har i promemorian nämnts att statsrådet under riksmötet 2002/03 besvarade samman</w:t>
      </w:r>
      <w:r w:rsidRPr="001B4EC1">
        <w:t xml:space="preserve">lagt 24 interpellationer och 108 skriftliga frågor. </w:t>
      </w:r>
    </w:p>
    <w:p w:rsidR="00252869" w:rsidRPr="001B4EC1" w:rsidRDefault="00252869">
      <w:r w:rsidRPr="001B4EC1">
        <w:t xml:space="preserve">Promemorian från Regeringskansliet finns intagen som </w:t>
      </w:r>
      <w:r w:rsidRPr="001B4EC1">
        <w:rPr>
          <w:i/>
        </w:rPr>
        <w:t>bilaga A 1.9.3</w:t>
      </w:r>
      <w:r w:rsidRPr="001B4EC1">
        <w:t>.</w:t>
      </w:r>
    </w:p>
    <w:p w:rsidR="00252869" w:rsidRPr="001B4EC1" w:rsidRDefault="00252869">
      <w:pPr>
        <w:pStyle w:val="R4"/>
      </w:pPr>
      <w:r w:rsidRPr="001B4EC1">
        <w:t xml:space="preserve">Gällande bestämmelser m.m. </w:t>
      </w:r>
    </w:p>
    <w:p w:rsidR="00252869" w:rsidRPr="001B4EC1" w:rsidRDefault="00252869">
      <w:r w:rsidRPr="001B4EC1">
        <w:t>Enligt 12 kap. 5 § regeringsformen får en riksdagsledamot enligt bestämme</w:t>
      </w:r>
      <w:r w:rsidRPr="001B4EC1">
        <w:t>l</w:t>
      </w:r>
      <w:r w:rsidRPr="001B4EC1">
        <w:t>ser i riksdagsordningen framställa interpellationer eller frågor till stats</w:t>
      </w:r>
      <w:r w:rsidRPr="001B4EC1">
        <w:softHyphen/>
        <w:t xml:space="preserve">råd i angelägenheter som angår statsrådets tjänsteutövning. Interpellationsinstitutet utgör ett led i riksdagens kontrollmakt. </w:t>
      </w:r>
    </w:p>
    <w:p w:rsidR="00252869" w:rsidRPr="001B4EC1" w:rsidRDefault="00252869">
      <w:pPr>
        <w:pStyle w:val="Normaltindrag"/>
      </w:pPr>
      <w:r w:rsidRPr="001B4EC1">
        <w:t>Närmare bestämmelser om interpellationer finns i 6 kap. 1 § riksdags</w:t>
      </w:r>
      <w:r w:rsidRPr="001B4EC1">
        <w:softHyphen/>
        <w:t>ordningen med tilläggsbestämmelser. En interpellation skall ha bestämt inn</w:t>
      </w:r>
      <w:r w:rsidRPr="001B4EC1">
        <w:t>e</w:t>
      </w:r>
      <w:r w:rsidRPr="001B4EC1">
        <w:t>håll och vara försedd med motivering. Den skall besvaras inom två veckor från det att den getts in. Om kammaren gör ett uppehåll i sitt arbete under tvåveckorsperioden, förlängs tiden med vad som motsvarar uppe</w:t>
      </w:r>
      <w:r w:rsidRPr="001B4EC1">
        <w:softHyphen/>
        <w:t xml:space="preserve">hållet. Om svar inte lämnas inom den angivna tiden skall statsrådet meddela riksdagen varför svar uteblir eller anstår. En interpellation förfaller om den inte har besvarats vid det riksmöte då den väckts. </w:t>
      </w:r>
    </w:p>
    <w:p w:rsidR="00252869" w:rsidRPr="001B4EC1" w:rsidRDefault="00252869">
      <w:pPr>
        <w:pStyle w:val="Normaltindrag"/>
      </w:pPr>
      <w:r w:rsidRPr="001B4EC1">
        <w:t>I tilläggsbestämme</w:t>
      </w:r>
      <w:r w:rsidRPr="001B4EC1">
        <w:t>lserna föreskrivs att en interpellation ges in till kammar</w:t>
      </w:r>
      <w:r w:rsidRPr="001B4EC1">
        <w:softHyphen/>
        <w:t>kansliet. Talmannen låter utan dröjsmål statsrådet få del av interpellationen och anmäler den vid närmast följande sammanträde med kammaren. Tal</w:t>
      </w:r>
      <w:r w:rsidRPr="001B4EC1">
        <w:softHyphen/>
        <w:t>mannen bestämmer också efter samråd med statsrådet vid vilket samman</w:t>
      </w:r>
      <w:r w:rsidRPr="001B4EC1">
        <w:softHyphen/>
        <w:t xml:space="preserve">träde svaret skall lämnas. </w:t>
      </w:r>
    </w:p>
    <w:p w:rsidR="00252869" w:rsidRPr="001B4EC1" w:rsidRDefault="00252869">
      <w:pPr>
        <w:pStyle w:val="Normaltindrag"/>
      </w:pPr>
      <w:r w:rsidRPr="001B4EC1">
        <w:t>Den dag under ett riksmöte då interpellationer senast får ges in till ka</w:t>
      </w:r>
      <w:r w:rsidRPr="001B4EC1">
        <w:t>m</w:t>
      </w:r>
      <w:r w:rsidRPr="001B4EC1">
        <w:t>mar</w:t>
      </w:r>
      <w:r w:rsidRPr="001B4EC1">
        <w:softHyphen/>
        <w:t>kansliet fastställs av talmannen efter samråd med de särskilda företräda</w:t>
      </w:r>
      <w:r w:rsidRPr="001B4EC1">
        <w:t>r</w:t>
      </w:r>
      <w:r w:rsidRPr="001B4EC1">
        <w:t xml:space="preserve">na för partigrupperna. Om det finns särskilda skäl får dock talmannen medge att en interpellation får framställas även om den getts in efter denna dag. </w:t>
      </w:r>
    </w:p>
    <w:p w:rsidR="00252869" w:rsidRPr="001B4EC1" w:rsidRDefault="00252869">
      <w:pPr>
        <w:pStyle w:val="Normaltindrag"/>
      </w:pPr>
      <w:r w:rsidRPr="001B4EC1">
        <w:t>Den sista tidpunkten för att lämna in interpellationer under riksmötet 2002/03 hade enligt meddelande den 16 april 2003 fastställts till måndagen den 12 maj kl. 12.00 (prot. 2002/03:92, 3 §). Riksmötets sista dag före so</w:t>
      </w:r>
      <w:r w:rsidRPr="001B4EC1">
        <w:t>m</w:t>
      </w:r>
      <w:r w:rsidRPr="001B4EC1">
        <w:t xml:space="preserve">maruppehållet var fredagen den 13 juni 2003. </w:t>
      </w:r>
    </w:p>
    <w:p w:rsidR="00252869" w:rsidRPr="001B4EC1" w:rsidRDefault="00252869">
      <w:pPr>
        <w:pStyle w:val="Normaltindrag"/>
      </w:pPr>
      <w:r w:rsidRPr="001B4EC1">
        <w:t>Från kammarkansliet har inhämtats att när en interpellation har lämnats in, sänds den samma dag eller senast dagen efter över till Regeringskansliet. Därefter avvaktas besked från statsrådet om vid vilket kammarsammanträde för interpellationsdebatter inom den föreskrivna tvåveckorsfristen som han eller hon kan besvara interpellationen. När beskedet har kommit in, lämnas det till interpellanten. En interpellant förväntas vara beredd att ta emot svaret vid de sam</w:t>
      </w:r>
      <w:r w:rsidRPr="001B4EC1">
        <w:t xml:space="preserve">manträden som ligger inom tvåveckorsfristen. </w:t>
      </w:r>
    </w:p>
    <w:p w:rsidR="00252869" w:rsidRPr="001B4EC1" w:rsidRDefault="00252869">
      <w:pPr>
        <w:pStyle w:val="R3"/>
      </w:pPr>
      <w:r w:rsidRPr="001B4EC1">
        <w:t>Tidigare utskottsuttalanden om interpellationsbesvarande</w:t>
      </w:r>
    </w:p>
    <w:p w:rsidR="00252869" w:rsidRPr="001B4EC1" w:rsidRDefault="00252869">
      <w:r w:rsidRPr="001B4EC1">
        <w:t>I betänkande 1998/99:KU20 Riksdagens arbetsformer behandlade utskottet utifrån ett antal motioner frågan om besvarande av interpellationer. I sin bedömning anförde utskottet att interpellationer är ett viktigt instrument i riksdagens kontroll av regeringen. Även om det inte finns en lagstadgad sky</w:t>
      </w:r>
      <w:r w:rsidRPr="001B4EC1">
        <w:t>l</w:t>
      </w:r>
      <w:r w:rsidRPr="001B4EC1">
        <w:t>dighet för statsråden att besvara interpellationer var det utskottets be</w:t>
      </w:r>
      <w:r w:rsidRPr="001B4EC1">
        <w:softHyphen/>
        <w:t>stämda uppfattning att ett statsråd endast i undantagsfall och om synner</w:t>
      </w:r>
      <w:r w:rsidRPr="001B4EC1">
        <w:softHyphen/>
        <w:t>liga skäl förelåg borde kunna avstå från att besvara en interpellation. Ut</w:t>
      </w:r>
      <w:r w:rsidRPr="001B4EC1">
        <w:softHyphen/>
        <w:t>skottet utgick från att regeringen framgent skulle beakta vad utskottet anfört och fann därför inte någon anledning att föreslå en skärpning av bestämmel</w:t>
      </w:r>
      <w:r w:rsidRPr="001B4EC1">
        <w:softHyphen/>
        <w:t>serna i riksdag</w:t>
      </w:r>
      <w:r w:rsidRPr="001B4EC1">
        <w:t>s</w:t>
      </w:r>
      <w:r w:rsidRPr="001B4EC1">
        <w:t>ordningen. Någon skärpning av bestämmelserna gjordes inte heller i samband med att riksdagsordningen moderniserades unde</w:t>
      </w:r>
      <w:r w:rsidRPr="001B4EC1">
        <w:t xml:space="preserve">r riksmötet 2002/03 (se bet. 2002/03:KU15). </w:t>
      </w:r>
    </w:p>
    <w:p w:rsidR="00252869" w:rsidRPr="001B4EC1" w:rsidRDefault="00252869">
      <w:pPr>
        <w:pStyle w:val="Normaltindrag"/>
      </w:pPr>
      <w:r w:rsidRPr="001B4EC1">
        <w:t>Statsråds besvarande av interpellationer behandlades i utskottets båda grans</w:t>
      </w:r>
      <w:r w:rsidRPr="001B4EC1">
        <w:t>k</w:t>
      </w:r>
      <w:r w:rsidRPr="001B4EC1">
        <w:t xml:space="preserve">ningsbetänkanden under riksmötet 2001/02. </w:t>
      </w:r>
    </w:p>
    <w:p w:rsidR="00252869" w:rsidRPr="001B4EC1" w:rsidRDefault="00252869">
      <w:pPr>
        <w:pStyle w:val="Normaltindrag"/>
      </w:pPr>
      <w:r w:rsidRPr="001B4EC1">
        <w:t>I betänkande 2001/02:KU10 avsnitt 5 behandlades en anmälan enligt vi</w:t>
      </w:r>
      <w:r w:rsidRPr="001B4EC1">
        <w:t>l</w:t>
      </w:r>
      <w:r w:rsidRPr="001B4EC1">
        <w:t>ken stats</w:t>
      </w:r>
      <w:r w:rsidRPr="001B4EC1">
        <w:softHyphen/>
        <w:t>råden regelmässigt bröt mot riksdagsordningens regel om att inte</w:t>
      </w:r>
      <w:r w:rsidRPr="001B4EC1">
        <w:t>r</w:t>
      </w:r>
      <w:r w:rsidRPr="001B4EC1">
        <w:t xml:space="preserve">pellationer skall besvaras inom två veckor. </w:t>
      </w:r>
    </w:p>
    <w:p w:rsidR="00252869" w:rsidRPr="001B4EC1" w:rsidRDefault="00252869">
      <w:pPr>
        <w:pStyle w:val="Normaltindrag"/>
      </w:pPr>
      <w:r w:rsidRPr="001B4EC1">
        <w:t>I sin bedömning hänvisade utskottet till att riksdagsledamöternas möjlighet att framställa interpellationer till statsråd är en del av kontrollmakten som ger riksdagens ledamöter insyn i regeringens politiska arbete. Utskottet framhöll att huvudregeln är att en interpellation skall besvaras inom två veckor från det att den getts in och konstaterade att bestämmelsen åsidosatts i fråga om m</w:t>
      </w:r>
      <w:r w:rsidRPr="001B4EC1">
        <w:t>er än hälften av alla interpellationer. Utskottet ansåg att detta var anmärkning</w:t>
      </w:r>
      <w:r w:rsidRPr="001B4EC1">
        <w:t>s</w:t>
      </w:r>
      <w:r w:rsidRPr="001B4EC1">
        <w:t xml:space="preserve">värt samt att regeringen inte kunde undgå kritik för detta. </w:t>
      </w:r>
    </w:p>
    <w:p w:rsidR="00252869" w:rsidRPr="001B4EC1" w:rsidRDefault="00252869">
      <w:pPr>
        <w:pStyle w:val="Normaltindrag"/>
      </w:pPr>
      <w:r w:rsidRPr="001B4EC1">
        <w:t>I betänkande 2001/02:KU20 avsnitt 1.2 granskade utskottet statsrådet Ingegerd Wärnerssons vägran att besvara interpellationer av det skälet att hon inom kort skulle avgå som statsråd. Utskottet hänvisade till sin tidigare b</w:t>
      </w:r>
      <w:r w:rsidRPr="001B4EC1">
        <w:t>e</w:t>
      </w:r>
      <w:r w:rsidRPr="001B4EC1">
        <w:t>döm</w:t>
      </w:r>
      <w:r w:rsidRPr="001B4EC1">
        <w:softHyphen/>
        <w:t>ning av interpellationer som ett viktigt instrument i riksdagens kontroll av regeringen. Utskottet ville också understryka att ett statsråd som har aviserat sin avgång ändå har att fullfölja sina förpliktelser som statsråd fram till av</w:t>
      </w:r>
      <w:r w:rsidRPr="001B4EC1">
        <w:softHyphen/>
        <w:t>gången. Granskningen föranledde i övrigt inte något uttalande från utskot</w:t>
      </w:r>
      <w:r w:rsidRPr="001B4EC1">
        <w:softHyphen/>
        <w:t xml:space="preserve">tets sida. </w:t>
      </w:r>
    </w:p>
    <w:p w:rsidR="00252869" w:rsidRPr="001B4EC1" w:rsidRDefault="00252869">
      <w:pPr>
        <w:pStyle w:val="Rubrik3"/>
        <w:rPr>
          <w:noProof w:val="0"/>
        </w:rPr>
      </w:pPr>
      <w:bookmarkStart w:id="74" w:name="_Toc72648505"/>
      <w:r w:rsidRPr="001B4EC1">
        <w:rPr>
          <w:noProof w:val="0"/>
        </w:rPr>
        <w:t>Utskottets ställningstagande</w:t>
      </w:r>
      <w:bookmarkEnd w:id="74"/>
      <w:r w:rsidRPr="001B4EC1">
        <w:rPr>
          <w:noProof w:val="0"/>
        </w:rPr>
        <w:t xml:space="preserve"> </w:t>
      </w:r>
    </w:p>
    <w:p w:rsidR="00252869" w:rsidRPr="001B4EC1" w:rsidRDefault="00252869">
      <w:r w:rsidRPr="001B4EC1">
        <w:t>Som utskottet tidigare framhållit är möjligheten att framställa interpellationer till statsråd ett viktigt instrument i riksdagens kontroll av regeringen, och ett statsråd bör endast i undantagsfall och om synner</w:t>
      </w:r>
      <w:r w:rsidRPr="001B4EC1">
        <w:softHyphen/>
        <w:t xml:space="preserve">liga skäl föreligger kunna avstå från att besvara en interpellation. </w:t>
      </w:r>
    </w:p>
    <w:p w:rsidR="00252869" w:rsidRPr="001B4EC1" w:rsidRDefault="00252869">
      <w:pPr>
        <w:pStyle w:val="Normaltindrag"/>
      </w:pPr>
      <w:r w:rsidRPr="001B4EC1">
        <w:t xml:space="preserve">I det nu aktuella fallet löstes de svårigheter som fanns att få till stånd en interpellationsdebatt. </w:t>
      </w:r>
    </w:p>
    <w:p w:rsidR="00252869" w:rsidRPr="001B4EC1" w:rsidRDefault="00252869">
      <w:pPr>
        <w:pStyle w:val="Normaltindrag"/>
      </w:pPr>
      <w:r w:rsidRPr="001B4EC1">
        <w:t xml:space="preserve">Anmälningen föranleder inte utskottet till något ytterligare uttalande. </w:t>
      </w:r>
    </w:p>
    <w:p w:rsidR="00252869" w:rsidRPr="001B4EC1" w:rsidRDefault="00252869"/>
    <w:p w:rsidR="00252869" w:rsidRPr="001B4EC1" w:rsidRDefault="00252869">
      <w:pPr>
        <w:pStyle w:val="Normaltindrag"/>
        <w:sectPr w:rsidR="00000000" w:rsidRPr="001B4EC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52869" w:rsidRPr="001B4EC1" w:rsidRDefault="00252869">
      <w:pPr>
        <w:pStyle w:val="Rubrik1"/>
        <w:rPr>
          <w:noProof w:val="0"/>
        </w:rPr>
      </w:pPr>
      <w:bookmarkStart w:id="75" w:name="_Toc72648506"/>
      <w:r w:rsidRPr="001B4EC1">
        <w:rPr>
          <w:noProof w:val="0"/>
        </w:rPr>
        <w:t>2 Vissa frågor med anknytning till statsbudgeten</w:t>
      </w:r>
      <w:bookmarkEnd w:id="75"/>
    </w:p>
    <w:p w:rsidR="00252869" w:rsidRPr="001B4EC1" w:rsidRDefault="00252869">
      <w:pPr>
        <w:pStyle w:val="Rubrik2"/>
        <w:spacing w:before="0"/>
      </w:pPr>
      <w:bookmarkStart w:id="76" w:name="_Toc72648507"/>
      <w:r w:rsidRPr="001B4EC1">
        <w:t>2.1 Regeringens redovisning av statens inkomster och utgifter m.m.</w:t>
      </w:r>
      <w:bookmarkEnd w:id="76"/>
    </w:p>
    <w:p w:rsidR="00252869" w:rsidRPr="001B4EC1" w:rsidRDefault="00252869">
      <w:pPr>
        <w:pStyle w:val="Rubrik3"/>
        <w:rPr>
          <w:noProof w:val="0"/>
        </w:rPr>
      </w:pPr>
      <w:bookmarkStart w:id="77" w:name="_Toc72648508"/>
      <w:r w:rsidRPr="001B4EC1">
        <w:rPr>
          <w:noProof w:val="0"/>
        </w:rPr>
        <w:t>Anmälan</w:t>
      </w:r>
      <w:bookmarkEnd w:id="77"/>
    </w:p>
    <w:p w:rsidR="00252869" w:rsidRPr="001B4EC1" w:rsidRDefault="00252869">
      <w:r w:rsidRPr="001B4EC1">
        <w:t xml:space="preserve">I en anmälan till konstitutionsutskottet den 3 februari 2004, </w:t>
      </w:r>
      <w:r w:rsidRPr="001B4EC1">
        <w:rPr>
          <w:i/>
        </w:rPr>
        <w:t>bilaga A2.1.1</w:t>
      </w:r>
      <w:r w:rsidRPr="001B4EC1">
        <w:t>,  begärs att konstitutionsutskottet granskar finansminister Bosse Ringholms redovisning av statens inkomster och utgifter i budgetpropositionen samt hans hantering av utgiftst</w:t>
      </w:r>
      <w:r w:rsidRPr="001B4EC1">
        <w:t>a</w:t>
      </w:r>
      <w:r w:rsidRPr="001B4EC1">
        <w:t xml:space="preserve">ken i statsbudgeten. </w:t>
      </w:r>
    </w:p>
    <w:p w:rsidR="00252869" w:rsidRPr="001B4EC1" w:rsidRDefault="00252869">
      <w:pPr>
        <w:pStyle w:val="Normaltindrag"/>
      </w:pPr>
      <w:r w:rsidRPr="001B4EC1">
        <w:t>I anmälan anförs att regeringen satt i system att omvandla olika utgifter i statsbudgeten till inkomstminskningar (kostnaderna för allmänt anställning</w:t>
      </w:r>
      <w:r w:rsidRPr="001B4EC1">
        <w:t>s</w:t>
      </w:r>
      <w:r w:rsidRPr="001B4EC1">
        <w:t>stöd, förstärkt anställningsstöd, särskilt anställningsstöd, bidrag till OSA, dvs. stödet till skyddat arbete hos offentliga arbetsgivare, stöd till bredbandsi</w:t>
      </w:r>
      <w:r w:rsidRPr="001B4EC1">
        <w:t>n</w:t>
      </w:r>
      <w:r w:rsidRPr="001B4EC1">
        <w:t>stallation, sjöfartsstöd, sysselsättningsstöd till kommuner och landsting samt stödet till byggande av smålägenheter) trots bestämmelsen i 17 § första styc</w:t>
      </w:r>
      <w:r w:rsidRPr="001B4EC1">
        <w:t>k</w:t>
      </w:r>
      <w:r w:rsidRPr="001B4EC1">
        <w:t>et budgetlagen om bruttoredovisning. Vidare anförs att regeringen i budge</w:t>
      </w:r>
      <w:r w:rsidRPr="001B4EC1">
        <w:t>t</w:t>
      </w:r>
      <w:r w:rsidRPr="001B4EC1">
        <w:t>propositionen valt att nettobudgetera vissa kostnader (kostnader för det s.k. friåret), trots bestämmelsen i 17 § andra s</w:t>
      </w:r>
      <w:r w:rsidRPr="001B4EC1">
        <w:t>tycket budgetlagen om att utgifterna på ett statsbudgetanslag får redovisas netto bara om inkomsterna endast bidrar till att täcka verksamhetens utgifter. I anmälan anförs också att regeringen manipulerar regelverket i 10 § budgetlagen genom att skjuta på betalningen av EU-avgiften över årsskiftet och därigenom åsidosätter Sveriges mella</w:t>
      </w:r>
      <w:r w:rsidRPr="001B4EC1">
        <w:t>n</w:t>
      </w:r>
      <w:r w:rsidRPr="001B4EC1">
        <w:t xml:space="preserve">statliga och fördragsfästa förpliktelser. I anmälan nämns härvidlag också manipulering av betalningsrutinerna när det gäller utbetalningar av EU-medel till jordbruket. Det </w:t>
      </w:r>
      <w:r w:rsidRPr="001B4EC1">
        <w:t>finns även enligt anmälan skäl att granska regeringens ämbetsutövning i andra budgethänseenden än de ovan nämnda. Dessa är utebliven nedjustering av utgiftstaket i samband med införandet av s.k. elce</w:t>
      </w:r>
      <w:r w:rsidRPr="001B4EC1">
        <w:t>r</w:t>
      </w:r>
      <w:r w:rsidRPr="001B4EC1">
        <w:t>tifikat, tillskapande av konto i riksgälden i syfte att slussa pengar från vinstg</w:t>
      </w:r>
      <w:r w:rsidRPr="001B4EC1">
        <w:t>i</w:t>
      </w:r>
      <w:r w:rsidRPr="001B4EC1">
        <w:t>vande (bl.a. Vattenfall AB och Vin &amp; Sprit AB) till förlustbringande statliga företag (SJ) samt medvetna och upprepade underbudgeteringar av vissa kos</w:t>
      </w:r>
      <w:r w:rsidRPr="001B4EC1">
        <w:t>t</w:t>
      </w:r>
      <w:r w:rsidRPr="001B4EC1">
        <w:t>nad.</w:t>
      </w:r>
    </w:p>
    <w:p w:rsidR="00252869" w:rsidRPr="001B4EC1" w:rsidRDefault="00252869">
      <w:pPr>
        <w:pStyle w:val="Normaltindrag"/>
      </w:pPr>
      <w:r w:rsidRPr="001B4EC1">
        <w:t>Anmälaren önskar att granskningen särskilt inriktas på potentiella brott m</w:t>
      </w:r>
      <w:r w:rsidRPr="001B4EC1">
        <w:t>ot gällande budgetordning i följande hänseenden.</w:t>
      </w:r>
    </w:p>
    <w:p w:rsidR="00252869" w:rsidRPr="001B4EC1" w:rsidRDefault="00252869">
      <w:pPr>
        <w:numPr>
          <w:ilvl w:val="0"/>
          <w:numId w:val="38"/>
        </w:numPr>
        <w:spacing w:before="0"/>
      </w:pPr>
      <w:r w:rsidRPr="001B4EC1">
        <w:t>Skenbar omvandling av faktiska statsutgifter till budgeterade inkoms</w:t>
      </w:r>
      <w:r w:rsidRPr="001B4EC1">
        <w:t>t</w:t>
      </w:r>
      <w:r w:rsidRPr="001B4EC1">
        <w:t>minskningar</w:t>
      </w:r>
    </w:p>
    <w:p w:rsidR="00252869" w:rsidRPr="001B4EC1" w:rsidRDefault="00252869">
      <w:pPr>
        <w:numPr>
          <w:ilvl w:val="0"/>
          <w:numId w:val="38"/>
        </w:numPr>
      </w:pPr>
      <w:r w:rsidRPr="001B4EC1">
        <w:t>Förekomst av otillåten nettobudgetering</w:t>
      </w:r>
    </w:p>
    <w:p w:rsidR="00252869" w:rsidRPr="001B4EC1" w:rsidRDefault="00252869">
      <w:pPr>
        <w:numPr>
          <w:ilvl w:val="0"/>
          <w:numId w:val="38"/>
        </w:numPr>
      </w:pPr>
      <w:r w:rsidRPr="001B4EC1">
        <w:t>Förskjutning i tiden av statliga betalningar i syfte att kringgå utgiftstaket</w:t>
      </w:r>
    </w:p>
    <w:p w:rsidR="00252869" w:rsidRPr="001B4EC1" w:rsidRDefault="00252869">
      <w:pPr>
        <w:numPr>
          <w:ilvl w:val="0"/>
          <w:numId w:val="38"/>
        </w:numPr>
      </w:pPr>
      <w:r w:rsidRPr="001B4EC1">
        <w:t>Regeringens hantering av systemet med elcertifikat</w:t>
      </w:r>
    </w:p>
    <w:p w:rsidR="00252869" w:rsidRPr="001B4EC1" w:rsidRDefault="00252869">
      <w:pPr>
        <w:numPr>
          <w:ilvl w:val="0"/>
          <w:numId w:val="29"/>
        </w:numPr>
      </w:pPr>
      <w:r w:rsidRPr="001B4EC1">
        <w:t>Kringgåendet av statbudgeten genom inrättandet av ett koncernkonto i riksgälden</w:t>
      </w:r>
    </w:p>
    <w:p w:rsidR="00252869" w:rsidRPr="001B4EC1" w:rsidRDefault="00252869">
      <w:pPr>
        <w:numPr>
          <w:ilvl w:val="0"/>
          <w:numId w:val="29"/>
        </w:numPr>
      </w:pPr>
      <w:r w:rsidRPr="001B4EC1">
        <w:t>Medveten underbudgetering av vissa statsutgifter</w:t>
      </w:r>
    </w:p>
    <w:p w:rsidR="00252869" w:rsidRPr="001B4EC1" w:rsidRDefault="00252869">
      <w:pPr>
        <w:pStyle w:val="Rubrik3"/>
        <w:spacing w:before="235"/>
        <w:rPr>
          <w:noProof w:val="0"/>
        </w:rPr>
      </w:pPr>
      <w:bookmarkStart w:id="78" w:name="_Toc72648509"/>
      <w:r w:rsidRPr="001B4EC1">
        <w:rPr>
          <w:noProof w:val="0"/>
        </w:rPr>
        <w:t>Bakgrund</w:t>
      </w:r>
      <w:bookmarkEnd w:id="78"/>
    </w:p>
    <w:p w:rsidR="00252869" w:rsidRPr="001B4EC1" w:rsidRDefault="00252869">
      <w:pPr>
        <w:pStyle w:val="R4"/>
        <w:spacing w:before="125"/>
      </w:pPr>
      <w:r w:rsidRPr="001B4EC1">
        <w:t>Budgetordningen i vissa avseenden</w:t>
      </w:r>
    </w:p>
    <w:p w:rsidR="00252869" w:rsidRPr="001B4EC1" w:rsidRDefault="00252869">
      <w:r w:rsidRPr="001B4EC1">
        <w:t>Grundläggande bestämmelser om riksdagens och regeringens befogenheter och skyldigheter i fråga om regleringen av statsbudgeten finns i regering</w:t>
      </w:r>
      <w:r w:rsidRPr="001B4EC1">
        <w:t>s</w:t>
      </w:r>
      <w:r w:rsidRPr="001B4EC1">
        <w:t>formen och riksdagsordningen. I lagen (1996:1059) om statsbudgeten, den s.k. budgetlagen, finns ytterligare bestämmelser.</w:t>
      </w:r>
    </w:p>
    <w:p w:rsidR="00252869" w:rsidRPr="001B4EC1" w:rsidRDefault="00252869">
      <w:pPr>
        <w:pStyle w:val="Rubrik5"/>
        <w:rPr>
          <w:noProof w:val="0"/>
        </w:rPr>
      </w:pPr>
      <w:r w:rsidRPr="001B4EC1">
        <w:rPr>
          <w:noProof w:val="0"/>
        </w:rPr>
        <w:t>Bruttoredovisning</w:t>
      </w:r>
    </w:p>
    <w:p w:rsidR="00252869" w:rsidRPr="001B4EC1" w:rsidRDefault="00252869">
      <w:r w:rsidRPr="001B4EC1">
        <w:t xml:space="preserve">En grundläggande princip i budgetlagen är </w:t>
      </w:r>
      <w:r w:rsidRPr="001B4EC1">
        <w:rPr>
          <w:i/>
        </w:rPr>
        <w:t>bruttoprincipen</w:t>
      </w:r>
      <w:r w:rsidRPr="001B4EC1">
        <w:t>. Den innebär att statens inkomster och utgifter skall tas upp var för sig i statsbudgeten. I</w:t>
      </w:r>
      <w:r w:rsidRPr="001B4EC1">
        <w:t>n</w:t>
      </w:r>
      <w:r w:rsidRPr="001B4EC1">
        <w:t>komsterna får inte minskas med utgifter och utgifter får inte minskas med inkomster.</w:t>
      </w:r>
    </w:p>
    <w:p w:rsidR="00252869" w:rsidRPr="001B4EC1" w:rsidRDefault="00252869">
      <w:pPr>
        <w:pStyle w:val="Normaltindrag"/>
      </w:pPr>
      <w:r w:rsidRPr="001B4EC1">
        <w:t>Enligt 16 § skall regeringens förslag till statsbudget omfatta alla inkomster och utgifter, med de undantag som anges i 17 § andra stycket och 18 §, samt andra betalningar som påverkar statens lånebehov. Enligt 17 § skall statens inkomster och utgifter budgeteras och redovisas brutto på statsbudgeten (fö</w:t>
      </w:r>
      <w:r w:rsidRPr="001B4EC1">
        <w:t>r</w:t>
      </w:r>
      <w:r w:rsidRPr="001B4EC1">
        <w:t>sta stycket). Undantag från denna bestämmelse gäller om inkomsterna från en verksamhet endast bidrar till att täcka verksamhetens kostnader. Utgifterna får då redovisas netto på anslag (andra stycket), vilket innebär att anslaget avrä</w:t>
      </w:r>
      <w:r w:rsidRPr="001B4EC1">
        <w:t>k</w:t>
      </w:r>
      <w:r w:rsidRPr="001B4EC1">
        <w:t>nas med nettoutgifter, dvs. skillnaden mellan en verksamhets utgifter och dess inkomster. Verksamheter med krav på full kostnadstäckning, dvs. för vilka statens kostnader helt skall täckas med verksamhetens intäkter, skall inte budgeteras och redovisas på statsbudgeten (18 §)</w:t>
      </w:r>
      <w:r w:rsidRPr="001B4EC1">
        <w:t>. Beträffande inkomster som redovisas mot inkomsttitlar finns det inget undantag från bruttoprincipen.</w:t>
      </w:r>
      <w:r w:rsidRPr="001B4EC1">
        <w:rPr>
          <w:rStyle w:val="Fotnotsreferens"/>
        </w:rPr>
        <w:footnoteReference w:id="51"/>
      </w:r>
      <w:r w:rsidRPr="001B4EC1">
        <w:t xml:space="preserve"> Sådana inkomster skall därför alltid budgeteras och redovisas brutto.</w:t>
      </w:r>
    </w:p>
    <w:p w:rsidR="00252869" w:rsidRPr="001B4EC1" w:rsidRDefault="00252869">
      <w:pPr>
        <w:pStyle w:val="Normaltindrag"/>
      </w:pPr>
      <w:r w:rsidRPr="001B4EC1">
        <w:t>Ett huvudskäl enligt den s.k. Budgetlagsutredningen till att bruttoprincipen är huvudregel är att när en statlig verksamhet tas upp netto på statsbudgeten kan det i många fall vara svårt för riksdagen att få en klar uppfattning om verksamhetens samlade omfattning (SOU 1996:14 s. 203). Det var också bakgrunden till att Riksdagsutredningen på sin tid förordade bruttoredovi</w:t>
      </w:r>
      <w:r w:rsidRPr="001B4EC1">
        <w:t>s</w:t>
      </w:r>
      <w:r w:rsidRPr="001B4EC1">
        <w:t>ningsprincipen (förs. 1993/94:TK1 s. 27 f.). Finansutskottet har vid ett flertal tillfällen betonat bruttoredovisningens betydelse för att öka statsbudgetens genomsiktlighet i syfte att förbättra riksdagens möjligheter att fatta ett vä</w:t>
      </w:r>
      <w:r w:rsidRPr="001B4EC1">
        <w:t>l</w:t>
      </w:r>
      <w:r w:rsidRPr="001B4EC1">
        <w:t>grundat budgetb</w:t>
      </w:r>
      <w:r w:rsidRPr="001B4EC1">
        <w:t>e</w:t>
      </w:r>
      <w:r w:rsidRPr="001B4EC1">
        <w:t>slut.</w:t>
      </w:r>
    </w:p>
    <w:p w:rsidR="00252869" w:rsidRPr="001B4EC1" w:rsidRDefault="00252869">
      <w:pPr>
        <w:pStyle w:val="Normaltindrag"/>
      </w:pPr>
      <w:r w:rsidRPr="001B4EC1">
        <w:t>Nettoredovisning kan användas för de avgifter som myndigheterna uppbär för olika typer av tjänster och varor som de tillhandahåller, oftast i liten o</w:t>
      </w:r>
      <w:r w:rsidRPr="001B4EC1">
        <w:t>m</w:t>
      </w:r>
      <w:r w:rsidRPr="001B4EC1">
        <w:t>fattning. Det kan gälla t.ex. kurser eller publikationer. För sådan verksamhet avses inkomsterna i regel bara bidra till myndigheternas kostnader, men krav på full kostnadstäckning kan också förekomma. Genom att omfattningen av verksamheten är liten behöver inte riksdagen ta hänsyn till dessa inkomster då anslaget anvisas. Nettoredovisning kan också användas för myndigheter med omfattande avgiftsinkomster i verksamhet som inte lämpligen kan särredov</w:t>
      </w:r>
      <w:r w:rsidRPr="001B4EC1">
        <w:t>i</w:t>
      </w:r>
      <w:r w:rsidRPr="001B4EC1">
        <w:t>sas med krav på full kostnadstäckning. Denna verksamhet ä</w:t>
      </w:r>
      <w:r w:rsidRPr="001B4EC1">
        <w:t>r i övrigt anslag</w:t>
      </w:r>
      <w:r w:rsidRPr="001B4EC1">
        <w:t>s</w:t>
      </w:r>
      <w:r w:rsidRPr="001B4EC1">
        <w:t>finansierad och inkomsterna avses i regel endast bidra till att täcka myndi</w:t>
      </w:r>
      <w:r w:rsidRPr="001B4EC1">
        <w:t>g</w:t>
      </w:r>
      <w:r w:rsidRPr="001B4EC1">
        <w:t xml:space="preserve">heternas kostnader, t.ex. museernas inkomster från entréavgifter. I detta fall beräknas anslagets storlek med hänsyn tagen till förväntade avgiftsinkomster (jfr SOU 1996:14 s. 202). </w:t>
      </w:r>
    </w:p>
    <w:p w:rsidR="00252869" w:rsidRPr="001B4EC1" w:rsidRDefault="00252869">
      <w:pPr>
        <w:pStyle w:val="Normaltindrag"/>
      </w:pPr>
      <w:r w:rsidRPr="001B4EC1">
        <w:t>När det gäller offentligrättsliga avgifter anförde Budgetlagsutredningen att ”uppbörd av offentligrättsliga avgifter som riksdagen beräknar inte skall tillföras ett anslag så att utgifterna på detta sätt därmed skulle nettoredovisas” (</w:t>
      </w:r>
      <w:r w:rsidRPr="001B4EC1">
        <w:t>s. 203). Skälet till detta var att statsinkomster som beräknas av riksdagen skall redovisas på inkomsttitlar, och för inkomsttitlar skall alltid bruttored</w:t>
      </w:r>
      <w:r w:rsidRPr="001B4EC1">
        <w:t>o</w:t>
      </w:r>
      <w:r w:rsidRPr="001B4EC1">
        <w:t>visning tillämpas (se ovan). Om emellertid en offentligrättslig avgift inte beräknas av riksdagen – och således inte skall redovisas på en inkomsttitel – kan inkomsten användas för att finansiera en viss avgiftsbelagd verksamhet. Som exempel nämns Patent- och registreringsverket.</w:t>
      </w:r>
    </w:p>
    <w:p w:rsidR="00252869" w:rsidRPr="001B4EC1" w:rsidRDefault="00252869">
      <w:pPr>
        <w:pStyle w:val="Normaltindrag"/>
      </w:pPr>
      <w:r w:rsidRPr="001B4EC1">
        <w:t>Offentligrättsliga avgifter regleras av s.k. betungande offentligrättsliga f</w:t>
      </w:r>
      <w:r w:rsidRPr="001B4EC1">
        <w:t>ö</w:t>
      </w:r>
      <w:r w:rsidRPr="001B4EC1">
        <w:t>reskrifter. Dessa skall, som en följd av 8 kap. 3 § regeringsformen, i princip meddelas genom lag, eftersom det handlar om förhållandet mellan enskilda och det allmänna, som gäller åligganden för enskilda eller i övrigt avser i</w:t>
      </w:r>
      <w:r w:rsidRPr="001B4EC1">
        <w:t>n</w:t>
      </w:r>
      <w:r w:rsidRPr="001B4EC1">
        <w:t>grepp i enskildas personliga eller ekonomiska förhållanden. Dock kan riksd</w:t>
      </w:r>
      <w:r w:rsidRPr="001B4EC1">
        <w:t>a</w:t>
      </w:r>
      <w:r w:rsidRPr="001B4EC1">
        <w:t>gen enligt 8 kap. 9 § andra stycket bemyndiga regeringen eller kommun att meddela föreskrifter om avgifter, som på grund av 8:3 annars skall meddelas av riksdagen.</w:t>
      </w:r>
    </w:p>
    <w:p w:rsidR="00252869" w:rsidRPr="001B4EC1" w:rsidRDefault="00252869">
      <w:pPr>
        <w:pStyle w:val="Normaltindrag"/>
      </w:pPr>
      <w:r w:rsidRPr="001B4EC1">
        <w:t>Slutligen kan nämnas att inkomster från utde</w:t>
      </w:r>
      <w:r w:rsidRPr="001B4EC1">
        <w:t>lningar redovisas av riksdagen mot inkomsttitel. Insatser i form av utgift för aktieägartillskott beslutas g</w:t>
      </w:r>
      <w:r w:rsidRPr="001B4EC1">
        <w:t>e</w:t>
      </w:r>
      <w:r w:rsidRPr="001B4EC1">
        <w:t>nom att anslag anvisas för ändamålet, medan lån kan tas upp av myndighete</w:t>
      </w:r>
      <w:r w:rsidRPr="001B4EC1">
        <w:t>r</w:t>
      </w:r>
      <w:r w:rsidRPr="001B4EC1">
        <w:t>na inom den kreditram som riksdagen årligen fastställer och de närmare vil</w:t>
      </w:r>
      <w:r w:rsidRPr="001B4EC1">
        <w:t>l</w:t>
      </w:r>
      <w:r w:rsidRPr="001B4EC1">
        <w:t>kor som regeringen beslutar om (yttr. 2002/03:KU6; se även avsnitt nedan om koncernkonto i riksgälden).</w:t>
      </w:r>
    </w:p>
    <w:p w:rsidR="00252869" w:rsidRPr="001B4EC1" w:rsidRDefault="00252869">
      <w:pPr>
        <w:pStyle w:val="Rubrik5"/>
        <w:rPr>
          <w:noProof w:val="0"/>
        </w:rPr>
      </w:pPr>
      <w:r w:rsidRPr="001B4EC1">
        <w:rPr>
          <w:noProof w:val="0"/>
        </w:rPr>
        <w:t>Avräkningsprinciper</w:t>
      </w:r>
    </w:p>
    <w:p w:rsidR="00252869" w:rsidRPr="001B4EC1" w:rsidRDefault="00252869">
      <w:r w:rsidRPr="001B4EC1">
        <w:t>I budgetlagen regleras hur avräkning mot anslag skall ske. Enligt 10 § skall avräkning mot anslag för transfereringar göras det budgetår då betalning sker. Mot övriga anslag skall avräkning göras det budgetår till vilket utgiften hä</w:t>
      </w:r>
      <w:r w:rsidRPr="001B4EC1">
        <w:t>n</w:t>
      </w:r>
      <w:r w:rsidRPr="001B4EC1">
        <w:t>för sig. Detta innebär att utgifter för transfereringar som hänför sig till ett budgetår men som betalas först det efterföljande budgetåret skall avräknas mot anslaget det efterföljande året.</w:t>
      </w:r>
    </w:p>
    <w:p w:rsidR="00252869" w:rsidRPr="001B4EC1" w:rsidRDefault="00252869">
      <w:pPr>
        <w:pStyle w:val="Normaltindrag"/>
      </w:pPr>
      <w:r w:rsidRPr="001B4EC1">
        <w:rPr>
          <w:snapToGrid w:val="0"/>
          <w:lang w:eastAsia="sv-SE"/>
        </w:rPr>
        <w:t>En arbetsgrupp inom Finansdepartementet har arbetat fram konsekvensb</w:t>
      </w:r>
      <w:r w:rsidRPr="001B4EC1">
        <w:rPr>
          <w:snapToGrid w:val="0"/>
          <w:lang w:eastAsia="sv-SE"/>
        </w:rPr>
        <w:t>e</w:t>
      </w:r>
      <w:r w:rsidRPr="001B4EC1">
        <w:rPr>
          <w:snapToGrid w:val="0"/>
          <w:lang w:eastAsia="sv-SE"/>
        </w:rPr>
        <w:t>skrivningar av nya principer för utformning av statsbudgeten (Ds 2003:49). De nya principerna innebär bl.a. att statsbudgeten baseras på i huvudsak bo</w:t>
      </w:r>
      <w:r w:rsidRPr="001B4EC1">
        <w:rPr>
          <w:snapToGrid w:val="0"/>
          <w:lang w:eastAsia="sv-SE"/>
        </w:rPr>
        <w:t>k</w:t>
      </w:r>
      <w:r w:rsidRPr="001B4EC1">
        <w:rPr>
          <w:snapToGrid w:val="0"/>
          <w:lang w:eastAsia="sv-SE"/>
        </w:rPr>
        <w:t>föringsmässiga grunder, dvs. redovisningen baseras på kostnader och intäkter. Både avräkning mot anslag för transfereringar och avräkning mot övriga anslag skall ske bokföringsmässigt (se vidare avsnitt 2.2 i detta betänkande).</w:t>
      </w:r>
    </w:p>
    <w:p w:rsidR="00252869" w:rsidRPr="001B4EC1" w:rsidRDefault="00252869">
      <w:pPr>
        <w:pStyle w:val="Rubrik5"/>
        <w:rPr>
          <w:noProof w:val="0"/>
        </w:rPr>
      </w:pPr>
      <w:r w:rsidRPr="001B4EC1">
        <w:rPr>
          <w:noProof w:val="0"/>
        </w:rPr>
        <w:t>Utgiftstaket som budgetpolitiskt mål och åtgärder med anledning av risk för överskridande av taket</w:t>
      </w:r>
    </w:p>
    <w:p w:rsidR="00252869" w:rsidRPr="001B4EC1" w:rsidRDefault="00252869">
      <w:pPr>
        <w:rPr>
          <w:snapToGrid w:val="0"/>
        </w:rPr>
      </w:pPr>
      <w:r w:rsidRPr="001B4EC1">
        <w:rPr>
          <w:snapToGrid w:val="0"/>
        </w:rPr>
        <w:t>I samband med förändringen av budgetprocessen infördes 1997 ett tak för statens utgifter. I budgetpropositionen för 2004 (prop. 2003/04:1) beskriver regeringen utgiftstaket för staten som ett mycket viktigt budgetpolitiskt åt</w:t>
      </w:r>
      <w:r w:rsidRPr="001B4EC1">
        <w:rPr>
          <w:snapToGrid w:val="0"/>
        </w:rPr>
        <w:t>a</w:t>
      </w:r>
      <w:r w:rsidRPr="001B4EC1">
        <w:rPr>
          <w:snapToGrid w:val="0"/>
        </w:rPr>
        <w:t>gande som främjar trovärdigheten i den ekonomiska politiken. Utgiftstaken kan bl.a. förhindra att tillfälligt högre inkomster används för att finansiera varaktigt högre utgifter. Genom utgiftstaket ges riksdagen och regeringen förbättrade möjligheter till kontroll och styrning över anvisade medel och utgiftsutvecklingen (s. 96).</w:t>
      </w:r>
    </w:p>
    <w:p w:rsidR="00252869" w:rsidRPr="001B4EC1" w:rsidRDefault="00252869">
      <w:pPr>
        <w:pStyle w:val="Normaltindrag"/>
      </w:pPr>
      <w:r w:rsidRPr="001B4EC1">
        <w:rPr>
          <w:snapToGrid w:val="0"/>
        </w:rPr>
        <w:t xml:space="preserve">Om regeringen avser att </w:t>
      </w:r>
      <w:r w:rsidRPr="001B4EC1">
        <w:t xml:space="preserve">använda tak för statens utgifter skall </w:t>
      </w:r>
      <w:r w:rsidRPr="001B4EC1">
        <w:rPr>
          <w:snapToGrid w:val="0"/>
        </w:rPr>
        <w:t xml:space="preserve">enligt 40 § budgetlagen </w:t>
      </w:r>
      <w:r w:rsidRPr="001B4EC1">
        <w:t>förslag till beslut om ett sådant utgiftstak ingå i budgetpropos</w:t>
      </w:r>
      <w:r w:rsidRPr="001B4EC1">
        <w:t>i</w:t>
      </w:r>
      <w:r w:rsidRPr="001B4EC1">
        <w:t>tionen. Finns det risk för att ett beslutat tak för statens utgifter kommer att överskridas har regeringen för att undvika detta enligt 42 § skyldighet att vidta sådana åtgärder som den har befogenhet till eller föreslå riksdagen nö</w:t>
      </w:r>
      <w:r w:rsidRPr="001B4EC1">
        <w:t>d</w:t>
      </w:r>
      <w:r w:rsidRPr="001B4EC1">
        <w:t xml:space="preserve">vändiga åtgärder. </w:t>
      </w:r>
      <w:r w:rsidRPr="001B4EC1">
        <w:rPr>
          <w:spacing w:val="-2"/>
          <w:kern w:val="2"/>
        </w:rPr>
        <w:t>Enligt förarbetena till budgetlagen kan denna skyldighet leda till att regeringen beslutar att medel på anvisade anslag inte skall an</w:t>
      </w:r>
      <w:r w:rsidRPr="001B4EC1">
        <w:rPr>
          <w:spacing w:val="-2"/>
          <w:kern w:val="2"/>
        </w:rPr>
        <w:t xml:space="preserve">vändas. Regeringen är självfallet förpliktad att se till att de åtaganden som staten har till följd av lag eller avtal fullgörs. Om regeringen beslutar att inte utnyttja anvisade anslag skall detta redovisas för riksdagen så snart det lämpligen kan ske, t.ex. i en ekonomisk-politisk proposition, en tilläggsbudget eller i nästkommande budgetproposition (prop. 1995/96:220 s. 88). </w:t>
      </w:r>
      <w:r w:rsidRPr="001B4EC1">
        <w:t>Som exempel på åtgärder som regeringen kan vidta då det finns risk för överskridande nämns i förarbetena att regeringen i förhållan</w:t>
      </w:r>
      <w:r w:rsidRPr="001B4EC1">
        <w:t>de till underordnade myndigheter med stöd av 7 § budgetlagen kan föreskriva snävare villkor för utnyttjande av anslag. Vidare kan regeringen enligt 8 § budgetlagen besluta att anvisade medel på något eller några anslag helt eller delvis inte skall utnyttjas (s. 112).</w:t>
      </w:r>
    </w:p>
    <w:p w:rsidR="00252869" w:rsidRPr="001B4EC1" w:rsidRDefault="00252869">
      <w:pPr>
        <w:pStyle w:val="Rubrik5"/>
        <w:rPr>
          <w:noProof w:val="0"/>
        </w:rPr>
      </w:pPr>
      <w:r w:rsidRPr="001B4EC1">
        <w:rPr>
          <w:noProof w:val="0"/>
        </w:rPr>
        <w:t>Utgiftstakets konstruktion</w:t>
      </w:r>
    </w:p>
    <w:p w:rsidR="00252869" w:rsidRPr="001B4EC1" w:rsidRDefault="00252869">
      <w:r w:rsidRPr="001B4EC1">
        <w:t>I budgetlagen anges inte hur ett eventuellt tak för statens utgifter skall defini</w:t>
      </w:r>
      <w:r w:rsidRPr="001B4EC1">
        <w:t>e</w:t>
      </w:r>
      <w:r w:rsidRPr="001B4EC1">
        <w:t>ras. Konstitutionsutskottet gjorde vid behandlingen av regeringens propos</w:t>
      </w:r>
      <w:r w:rsidRPr="001B4EC1">
        <w:t>i</w:t>
      </w:r>
      <w:r w:rsidRPr="001B4EC1">
        <w:t>tion 1995/96:220 Lag om statsbudgeten bedömningen att frånvaron av defin</w:t>
      </w:r>
      <w:r w:rsidRPr="001B4EC1">
        <w:t>i</w:t>
      </w:r>
      <w:r w:rsidRPr="001B4EC1">
        <w:t>tion av utgiftstaket i lagen inte borde vara något problem så länge det tydligt framgår vid beslutstillfället vad utgiftstaket omfattar (bet. 1996/97:KU3 s. 41).</w:t>
      </w:r>
    </w:p>
    <w:p w:rsidR="00252869" w:rsidRPr="001B4EC1" w:rsidRDefault="00252869">
      <w:pPr>
        <w:pStyle w:val="Normaltindrag"/>
        <w:rPr>
          <w:snapToGrid w:val="0"/>
        </w:rPr>
      </w:pPr>
      <w:r w:rsidRPr="001B4EC1">
        <w:rPr>
          <w:snapToGrid w:val="0"/>
        </w:rPr>
        <w:t>Enligt den beräkning av utgiftstaket för staten som görs av regeringen och som föreslås riksdagen i samband med budgetpropositionen omfattar utgift</w:t>
      </w:r>
      <w:r w:rsidRPr="001B4EC1">
        <w:rPr>
          <w:snapToGrid w:val="0"/>
        </w:rPr>
        <w:t>s</w:t>
      </w:r>
      <w:r w:rsidRPr="001B4EC1">
        <w:rPr>
          <w:snapToGrid w:val="0"/>
        </w:rPr>
        <w:t>taket dels utgifterna på statsbudgeten exklusive statsskuldsräntor (utgiftso</w:t>
      </w:r>
      <w:r w:rsidRPr="001B4EC1">
        <w:rPr>
          <w:snapToGrid w:val="0"/>
        </w:rPr>
        <w:t>m</w:t>
      </w:r>
      <w:r w:rsidRPr="001B4EC1">
        <w:rPr>
          <w:snapToGrid w:val="0"/>
        </w:rPr>
        <w:t>råde 1–25 samt 27), dels utgifterna för ålderspensionssystemet vid sidan av statsbudgeten samt en budgeteringsmarginal. De utgifter som utgiftstaket omfattar benämns takbegränsade utgifter och utgörs av faktiskt förbrukade anslagsmedel, vilket innebär att även myndigheternas utnyttjande av anslag</w:t>
      </w:r>
      <w:r w:rsidRPr="001B4EC1">
        <w:rPr>
          <w:snapToGrid w:val="0"/>
        </w:rPr>
        <w:t>s</w:t>
      </w:r>
      <w:r w:rsidRPr="001B4EC1">
        <w:rPr>
          <w:snapToGrid w:val="0"/>
        </w:rPr>
        <w:t>behållningar och anslagskredit ingår.</w:t>
      </w:r>
    </w:p>
    <w:p w:rsidR="00252869" w:rsidRPr="001B4EC1" w:rsidRDefault="00252869">
      <w:pPr>
        <w:pStyle w:val="Normaltindrag"/>
        <w:rPr>
          <w:snapToGrid w:val="0"/>
        </w:rPr>
      </w:pPr>
      <w:r w:rsidRPr="001B4EC1">
        <w:t xml:space="preserve">Budgeteringsmarginalen </w:t>
      </w:r>
      <w:r w:rsidRPr="001B4EC1">
        <w:rPr>
          <w:snapToGrid w:val="0"/>
        </w:rPr>
        <w:t>utgör en buffert mot såväl makroekonomisk os</w:t>
      </w:r>
      <w:r w:rsidRPr="001B4EC1">
        <w:rPr>
          <w:snapToGrid w:val="0"/>
        </w:rPr>
        <w:t>ä</w:t>
      </w:r>
      <w:r w:rsidRPr="001B4EC1">
        <w:rPr>
          <w:snapToGrid w:val="0"/>
        </w:rPr>
        <w:t>kerhet som den osäkerhet som finns beträffande myndigheternas utnyttjande av anslagsbehållningar. Hur stor budgeteringsmarginalen bör vara är en a</w:t>
      </w:r>
      <w:r w:rsidRPr="001B4EC1">
        <w:rPr>
          <w:snapToGrid w:val="0"/>
        </w:rPr>
        <w:t>v</w:t>
      </w:r>
      <w:r w:rsidRPr="001B4EC1">
        <w:rPr>
          <w:snapToGrid w:val="0"/>
        </w:rPr>
        <w:t>vägningsfråga. Risken för att utgifterna skall hota att överskrida utgiftstaket reduceras om utgiftstaket och budgeteringsmarginalen sätts på en tillräckligt hög nivå. Å andra sidan skulle en större budgeteringsmarginal kunna leda till att utgiftstaket blir en mjukare budgetrestriktion med mindre styrande effekt på utg</w:t>
      </w:r>
      <w:r w:rsidRPr="001B4EC1">
        <w:rPr>
          <w:snapToGrid w:val="0"/>
        </w:rPr>
        <w:t>iftsutvecklingen (prop. 2001/02:100 s. 58).</w:t>
      </w:r>
    </w:p>
    <w:p w:rsidR="00252869" w:rsidRPr="001B4EC1" w:rsidRDefault="00252869">
      <w:pPr>
        <w:pStyle w:val="R4"/>
      </w:pPr>
      <w:r w:rsidRPr="001B4EC1">
        <w:t>Finansutskottets utfrågning om budgetlagen och dess tillämpning</w:t>
      </w:r>
    </w:p>
    <w:p w:rsidR="00252869" w:rsidRPr="001B4EC1" w:rsidRDefault="00252869">
      <w:pPr>
        <w:rPr>
          <w:snapToGrid w:val="0"/>
        </w:rPr>
      </w:pPr>
      <w:r w:rsidRPr="001B4EC1">
        <w:rPr>
          <w:snapToGrid w:val="0"/>
        </w:rPr>
        <w:t xml:space="preserve">Utskottet anordnade den 14 oktober 2003 en offentlig utfrågning om </w:t>
      </w:r>
      <w:r w:rsidRPr="001B4EC1">
        <w:rPr>
          <w:rFonts w:ascii="TimesNewRoman,Italic" w:hAnsi="TimesNewRoman,Italic"/>
          <w:snapToGrid w:val="0"/>
        </w:rPr>
        <w:t>budge</w:t>
      </w:r>
      <w:r w:rsidRPr="001B4EC1">
        <w:rPr>
          <w:rFonts w:ascii="TimesNewRoman,Italic" w:hAnsi="TimesNewRoman,Italic"/>
          <w:snapToGrid w:val="0"/>
        </w:rPr>
        <w:t>t</w:t>
      </w:r>
      <w:r w:rsidRPr="001B4EC1">
        <w:rPr>
          <w:rFonts w:ascii="TimesNewRoman,Italic" w:hAnsi="TimesNewRoman,Italic"/>
          <w:snapToGrid w:val="0"/>
        </w:rPr>
        <w:t xml:space="preserve">lagen och dess tillämpning </w:t>
      </w:r>
      <w:r w:rsidRPr="001B4EC1">
        <w:rPr>
          <w:snapToGrid w:val="0"/>
        </w:rPr>
        <w:t>med Curt Malmborg, statssekreterare, Finansd</w:t>
      </w:r>
      <w:r w:rsidRPr="001B4EC1">
        <w:rPr>
          <w:snapToGrid w:val="0"/>
        </w:rPr>
        <w:t>e</w:t>
      </w:r>
      <w:r w:rsidRPr="001B4EC1">
        <w:rPr>
          <w:snapToGrid w:val="0"/>
        </w:rPr>
        <w:t>partementet, Per Molander, rådgivare, Mapsec, och Svante Öberg, utredare av budgetprocessen. Enligt finansutskottets uppfattning framkom inte något som stödde krav (mot. 2003/04:Fi295) på att budgetlagen borde ses över avseende bruttoredovisning, tekniska justeringar och krediteringar av skattekontot. Enligt utskottets uppfattning hade budgetlagen fungerat mycket väl sedan den trädde i kraft den 1 januari 1997, och utskottet menad</w:t>
      </w:r>
      <w:r w:rsidRPr="001B4EC1">
        <w:rPr>
          <w:snapToGrid w:val="0"/>
        </w:rPr>
        <w:t>e att lagens tillämpning är något som formas successivt genom de beslut om budgeten som riksdagen fattar (bet. 2003/04:FiU1 s. 312).</w:t>
      </w:r>
    </w:p>
    <w:p w:rsidR="00252869" w:rsidRPr="001B4EC1" w:rsidRDefault="00252869">
      <w:pPr>
        <w:pStyle w:val="R4"/>
      </w:pPr>
      <w:r w:rsidRPr="001B4EC1">
        <w:t>Vissa frågor avseende tillämpningen av budgetlagen</w:t>
      </w:r>
    </w:p>
    <w:p w:rsidR="00252869" w:rsidRPr="001B4EC1" w:rsidRDefault="00252869">
      <w:pPr>
        <w:pStyle w:val="Rubrik5"/>
        <w:spacing w:before="235"/>
        <w:rPr>
          <w:noProof w:val="0"/>
        </w:rPr>
      </w:pPr>
      <w:r w:rsidRPr="001B4EC1">
        <w:rPr>
          <w:noProof w:val="0"/>
        </w:rPr>
        <w:t>Omvandling av statsutgifter till budgeterade inkomstminskningar</w:t>
      </w:r>
    </w:p>
    <w:p w:rsidR="00252869" w:rsidRPr="001B4EC1" w:rsidRDefault="00252869">
      <w:pPr>
        <w:rPr>
          <w:snapToGrid w:val="0"/>
        </w:rPr>
      </w:pPr>
      <w:r w:rsidRPr="001B4EC1">
        <w:rPr>
          <w:snapToGrid w:val="0"/>
        </w:rPr>
        <w:t>En möjlighet att undvika att en åtgärd belastar de statliga utgifterna är att i stället för att lägga upp ett anslag på utgiftssidan föra upp ett skatteavdrag på inkomstsidan (SOU 2000:61 s. 96). Skälen för att lägga utgiftsförslag som avdragsposter på inkomstsidan kan vara flera. Ett skäl kan vara att skattea</w:t>
      </w:r>
      <w:r w:rsidRPr="001B4EC1">
        <w:rPr>
          <w:snapToGrid w:val="0"/>
        </w:rPr>
        <w:t>v</w:t>
      </w:r>
      <w:r w:rsidRPr="001B4EC1">
        <w:rPr>
          <w:snapToGrid w:val="0"/>
        </w:rPr>
        <w:t>drag är den bästa lösningen på det aktuella problemet. Ett annat skäl kan vara att det är lättare att hantera osäkerheter om utfall på inkomstsidan, eftersom statsbudgetens inkomstsida endast fastställs i form av en beräkning. Ett tredje skäl kan emellertid vara att kringgå utgiftstaket som restriktion för nya utgi</w:t>
      </w:r>
      <w:r w:rsidRPr="001B4EC1">
        <w:rPr>
          <w:snapToGrid w:val="0"/>
        </w:rPr>
        <w:t>f</w:t>
      </w:r>
      <w:r w:rsidRPr="001B4EC1">
        <w:rPr>
          <w:snapToGrid w:val="0"/>
        </w:rPr>
        <w:t>ter.</w:t>
      </w:r>
    </w:p>
    <w:p w:rsidR="00252869" w:rsidRPr="001B4EC1" w:rsidRDefault="00252869">
      <w:pPr>
        <w:pStyle w:val="Normaltindrag"/>
        <w:rPr>
          <w:snapToGrid w:val="0"/>
        </w:rPr>
      </w:pPr>
      <w:r w:rsidRPr="001B4EC1">
        <w:rPr>
          <w:snapToGrid w:val="0"/>
        </w:rPr>
        <w:t>Problemen med denna typ av åtgärder är främst att de kan bryta mot pri</w:t>
      </w:r>
      <w:r w:rsidRPr="001B4EC1">
        <w:rPr>
          <w:snapToGrid w:val="0"/>
        </w:rPr>
        <w:t>n</w:t>
      </w:r>
      <w:r w:rsidRPr="001B4EC1">
        <w:rPr>
          <w:snapToGrid w:val="0"/>
        </w:rPr>
        <w:t>cipen om bruttoredovisning och att skatteavdrag inte får samma noggranna prö</w:t>
      </w:r>
      <w:r w:rsidRPr="001B4EC1">
        <w:rPr>
          <w:snapToGrid w:val="0"/>
        </w:rPr>
        <w:t>v</w:t>
      </w:r>
      <w:r w:rsidRPr="001B4EC1">
        <w:rPr>
          <w:snapToGrid w:val="0"/>
        </w:rPr>
        <w:t>ning i budgetprocessen som utgiftsåtaganden (SOU 2000:61 s. 96).</w:t>
      </w:r>
    </w:p>
    <w:p w:rsidR="00252869" w:rsidRPr="001B4EC1" w:rsidRDefault="00252869">
      <w:pPr>
        <w:pStyle w:val="Normaltindrag"/>
        <w:rPr>
          <w:snapToGrid w:val="0"/>
        </w:rPr>
      </w:pPr>
      <w:r w:rsidRPr="001B4EC1">
        <w:rPr>
          <w:snapToGrid w:val="0"/>
        </w:rPr>
        <w:t xml:space="preserve">I granskningsanmälan anges ett antal exempel på utgifter som tagits upp på inkomstsidan. Ytterligare ett exempel är den s.k. 200-kronan. </w:t>
      </w:r>
      <w:r w:rsidRPr="001B4EC1">
        <w:rPr>
          <w:snapToGrid w:val="0"/>
          <w:color w:val="000000"/>
        </w:rPr>
        <w:t>Riksdagen har vid fyra tillfällen beslutat att det fasta beloppet på 200 kronor i den statliga inkomstskatten skall tillfalla kommuner och landsting. Förslaget kom hösten 1998 i budgetpropositionen för 1999 och avsåg då endast år 1999. Regeringen anförde att man avsåg att våren 1999 ta ställning till en eventuell förlängning av denna åtgärd, som regeringen själv kallade överföring. Våren 1999 för</w:t>
      </w:r>
      <w:r w:rsidRPr="001B4EC1">
        <w:rPr>
          <w:snapToGrid w:val="0"/>
          <w:color w:val="000000"/>
        </w:rPr>
        <w:t>e</w:t>
      </w:r>
      <w:r w:rsidRPr="001B4EC1">
        <w:rPr>
          <w:snapToGrid w:val="0"/>
          <w:color w:val="000000"/>
        </w:rPr>
        <w:t>slog regeringen att 200-kronan skulle tillfalla kommuner och landsting även år 2000. Hösten 1999 föreslog regeri</w:t>
      </w:r>
      <w:r w:rsidRPr="001B4EC1">
        <w:rPr>
          <w:snapToGrid w:val="0"/>
          <w:color w:val="000000"/>
        </w:rPr>
        <w:t>ngen i budgetpropositionen för 2000 att 200-kronan skulle förlängas till år 2001. Hösten 2001 föreslog regeringen i budgetpropositionen för 2002 att 200-kronan skulle förlängas till utgången av år 2002. Det belopp som på detta sätt överförs till kommunsektorn uppgår till 1,3 miljarder kronor per år.</w:t>
      </w:r>
    </w:p>
    <w:p w:rsidR="00252869" w:rsidRPr="001B4EC1" w:rsidRDefault="00252869">
      <w:pPr>
        <w:pStyle w:val="Normaltindrag"/>
        <w:rPr>
          <w:snapToGrid w:val="0"/>
        </w:rPr>
      </w:pPr>
      <w:r w:rsidRPr="001B4EC1">
        <w:rPr>
          <w:snapToGrid w:val="0"/>
        </w:rPr>
        <w:t>Vid finansutskottets utfrågning den 14 oktober 2003 anförde statssekret</w:t>
      </w:r>
      <w:r w:rsidRPr="001B4EC1">
        <w:rPr>
          <w:snapToGrid w:val="0"/>
        </w:rPr>
        <w:t>e</w:t>
      </w:r>
      <w:r w:rsidRPr="001B4EC1">
        <w:rPr>
          <w:snapToGrid w:val="0"/>
        </w:rPr>
        <w:t>rare Curt Malmborg följande (bet. 2003/04:FiU1 Del 2 s. 211).</w:t>
      </w:r>
    </w:p>
    <w:p w:rsidR="00252869" w:rsidRPr="001B4EC1" w:rsidRDefault="00252869">
      <w:pPr>
        <w:pStyle w:val="Citat"/>
        <w:spacing w:before="125"/>
        <w:rPr>
          <w:snapToGrid w:val="0"/>
        </w:rPr>
      </w:pPr>
      <w:r w:rsidRPr="001B4EC1">
        <w:rPr>
          <w:snapToGrid w:val="0"/>
        </w:rPr>
        <w:t>När det gäller inkomstsidan har utskottet tidigare diskuterat några ko</w:t>
      </w:r>
      <w:r w:rsidRPr="001B4EC1">
        <w:rPr>
          <w:snapToGrid w:val="0"/>
        </w:rPr>
        <w:t>n</w:t>
      </w:r>
      <w:r w:rsidRPr="001B4EC1">
        <w:rPr>
          <w:snapToGrid w:val="0"/>
        </w:rPr>
        <w:t>kreta tillämpningar – vissa arbetsmarknadspolitiska åtgärder, tillfälliga sysselsättningsstöd till kommunerna och det tillfälliga bredbandsstödet. Det har handlat om stöd finansierat från inkomstsidan men även här har regeringen alltid redovisat vad det varit fråga om. Riksdagen har godkänt konstrukti</w:t>
      </w:r>
      <w:r w:rsidRPr="001B4EC1">
        <w:rPr>
          <w:snapToGrid w:val="0"/>
        </w:rPr>
        <w:t>o</w:t>
      </w:r>
      <w:r w:rsidRPr="001B4EC1">
        <w:rPr>
          <w:snapToGrid w:val="0"/>
        </w:rPr>
        <w:t>nen.</w:t>
      </w:r>
    </w:p>
    <w:p w:rsidR="00252869" w:rsidRPr="001B4EC1" w:rsidRDefault="00252869">
      <w:r w:rsidRPr="001B4EC1">
        <w:t>Vid samma utfrågning anförde teknologie doktor Per Molander följande (s. 212 f.).</w:t>
      </w:r>
    </w:p>
    <w:p w:rsidR="00252869" w:rsidRPr="001B4EC1" w:rsidRDefault="00252869">
      <w:pPr>
        <w:pStyle w:val="Citat"/>
        <w:spacing w:before="125"/>
        <w:rPr>
          <w:snapToGrid w:val="0"/>
        </w:rPr>
      </w:pPr>
      <w:r w:rsidRPr="001B4EC1">
        <w:rPr>
          <w:snapToGrid w:val="0"/>
        </w:rPr>
        <w:t>Grundlagen ger ju riksdagen finansmakten. Budgetlagen har vi för att specificera vad regeringen får göra, i vilka avseenden och på vilka sätt riksdagen beslutar att delegera denna finansmakt till regeringen. Det är viktigt att ha detta i åtanke, eftersom det rör en central maktdelningsfråga i det svenska offentliga systemet.</w:t>
      </w:r>
    </w:p>
    <w:p w:rsidR="00252869" w:rsidRPr="001B4EC1" w:rsidRDefault="00252869">
      <w:pPr>
        <w:pStyle w:val="CitatIndrag"/>
        <w:rPr>
          <w:snapToGrid w:val="0"/>
        </w:rPr>
      </w:pPr>
      <w:r w:rsidRPr="001B4EC1">
        <w:rPr>
          <w:snapToGrid w:val="0"/>
        </w:rPr>
        <w:t>Lagen vänder sig alltså i första hand till regeringen, i någon mån oc</w:t>
      </w:r>
      <w:r w:rsidRPr="001B4EC1">
        <w:rPr>
          <w:snapToGrid w:val="0"/>
        </w:rPr>
        <w:t>k</w:t>
      </w:r>
      <w:r w:rsidRPr="001B4EC1">
        <w:rPr>
          <w:snapToGrid w:val="0"/>
        </w:rPr>
        <w:t>så till myndigheterna, och säger regeringen vad regeringen får göra och inte göra.</w:t>
      </w:r>
    </w:p>
    <w:p w:rsidR="00252869" w:rsidRPr="001B4EC1" w:rsidRDefault="00252869">
      <w:pPr>
        <w:pStyle w:val="CitatIndrag"/>
        <w:rPr>
          <w:snapToGrid w:val="0"/>
        </w:rPr>
      </w:pPr>
      <w:r w:rsidRPr="001B4EC1">
        <w:rPr>
          <w:snapToGrid w:val="0"/>
        </w:rPr>
        <w:t>När det gäller bruttobudgeteringen är regelverket på det hela taget klart. Som Curt Malmborg sade i sin inledning finns det vissa undantag. Dessa är tydliga, vill jag påstå, i den meningen att det handlar om my</w:t>
      </w:r>
      <w:r w:rsidRPr="001B4EC1">
        <w:rPr>
          <w:snapToGrid w:val="0"/>
        </w:rPr>
        <w:t>n</w:t>
      </w:r>
      <w:r w:rsidRPr="001B4EC1">
        <w:rPr>
          <w:snapToGrid w:val="0"/>
        </w:rPr>
        <w:t>digheter som antingen på marginalen eller också helt och hållet försörjs genom avgifter och där vi budgeterar på annat sätt. Det kan gälla museer som i entrén försäljer litteratur och souvenirer. Det kan också gälla my</w:t>
      </w:r>
      <w:r w:rsidRPr="001B4EC1">
        <w:rPr>
          <w:snapToGrid w:val="0"/>
        </w:rPr>
        <w:t>n</w:t>
      </w:r>
      <w:r w:rsidRPr="001B4EC1">
        <w:rPr>
          <w:snapToGrid w:val="0"/>
        </w:rPr>
        <w:t>digh</w:t>
      </w:r>
      <w:r w:rsidRPr="001B4EC1">
        <w:rPr>
          <w:snapToGrid w:val="0"/>
        </w:rPr>
        <w:t>e</w:t>
      </w:r>
      <w:r w:rsidRPr="001B4EC1">
        <w:rPr>
          <w:snapToGrid w:val="0"/>
        </w:rPr>
        <w:t>ter som helt och hållet lever på avgiftsintäkter.</w:t>
      </w:r>
    </w:p>
    <w:p w:rsidR="00252869" w:rsidRPr="001B4EC1" w:rsidRDefault="00252869">
      <w:pPr>
        <w:pStyle w:val="CitatIndrag"/>
        <w:rPr>
          <w:snapToGrid w:val="0"/>
        </w:rPr>
      </w:pPr>
      <w:r w:rsidRPr="001B4EC1">
        <w:rPr>
          <w:snapToGrid w:val="0"/>
        </w:rPr>
        <w:t>Det som föranlett diskussionen här i dag är andra typer av avvikelser – hanteringen av utgifter på budgetens inkomstsida. Jag menar att det är ganska tydligt att detta odiskutabelt bryter mot budgetlagens anda. Det faller inte inom de ka</w:t>
      </w:r>
      <w:r w:rsidRPr="001B4EC1">
        <w:rPr>
          <w:snapToGrid w:val="0"/>
        </w:rPr>
        <w:t>tegorier av undantag som lagen definierar.</w:t>
      </w:r>
    </w:p>
    <w:p w:rsidR="00252869" w:rsidRPr="001B4EC1" w:rsidRDefault="00252869">
      <w:pPr>
        <w:pStyle w:val="Rubrik5"/>
        <w:rPr>
          <w:noProof w:val="0"/>
        </w:rPr>
      </w:pPr>
      <w:r w:rsidRPr="001B4EC1">
        <w:rPr>
          <w:noProof w:val="0"/>
        </w:rPr>
        <w:t>Förekomsten av nettobudgetering (friår)</w:t>
      </w:r>
    </w:p>
    <w:p w:rsidR="00252869" w:rsidRPr="001B4EC1" w:rsidRDefault="00252869">
      <w:pPr>
        <w:rPr>
          <w:snapToGrid w:val="0"/>
        </w:rPr>
      </w:pPr>
      <w:r w:rsidRPr="001B4EC1">
        <w:t xml:space="preserve">Försöksverksamheten med friår är reglerad i förordningen (2001:1300) om friåret. Försöksverksamhet pågår i tolv kommuner och avslutas i och med utgången av år 2004. </w:t>
      </w:r>
      <w:r w:rsidRPr="001B4EC1">
        <w:rPr>
          <w:snapToGrid w:val="0"/>
        </w:rPr>
        <w:t>Friåret innebär att den som har en anställning skall kunna ta ledigt i upp till ett år och att en arbetslös person får vikariera för den friårsledige. Den friårsledige får statlig ersättning i form av aktivitetsstöd som motsvarar 85 % av den arbetslöshetsersättning han eller hon skulle ha fått som arbetslös.</w:t>
      </w:r>
    </w:p>
    <w:p w:rsidR="00252869" w:rsidRPr="001B4EC1" w:rsidRDefault="00252869">
      <w:pPr>
        <w:pStyle w:val="Normaltindrag"/>
      </w:pPr>
      <w:r w:rsidRPr="001B4EC1">
        <w:t>I budgetpropositionen för 2002 föreslog regeringen att riksdagen skulle godkänna regeringens beräkning av statsbudgetens inkomster för budgetåret 2002 och besluta om fördelning av utgifter på olika utgi</w:t>
      </w:r>
      <w:r w:rsidRPr="001B4EC1">
        <w:t>ftsområden för bu</w:t>
      </w:r>
      <w:r w:rsidRPr="001B4EC1">
        <w:t>d</w:t>
      </w:r>
      <w:r w:rsidRPr="001B4EC1">
        <w:t>getåret 2002 (prop. 2001/02:1). I regeringens förslag till utgiftsramar ingick bl.a. en budgeteffekt om 65 miljoner</w:t>
      </w:r>
      <w:r w:rsidRPr="001B4EC1">
        <w:rPr>
          <w:snapToGrid w:val="0"/>
          <w:color w:val="000000"/>
        </w:rPr>
        <w:t xml:space="preserve"> kronor</w:t>
      </w:r>
      <w:r w:rsidRPr="001B4EC1">
        <w:t xml:space="preserve"> för försöket med friår (tabell 4.8). Riksdagen godkände regeringens förslag i denna del (bet. 2001/02:FiU1, rskr. 2001/02:34). </w:t>
      </w:r>
      <w:r w:rsidRPr="001B4EC1">
        <w:rPr>
          <w:snapToGrid w:val="0"/>
        </w:rPr>
        <w:t>I budgetpropositionen för 2002 anförde regeringen även att den avsåg att under våren 2002 återkomma med ett förslag till riksdagen angående en försöksverksamhet med ett s.k. friår under perioden 2002–2004 (prop. 2001/02:1 utg.omr. 13 s. 30).</w:t>
      </w:r>
    </w:p>
    <w:p w:rsidR="00252869" w:rsidRPr="001B4EC1" w:rsidRDefault="00252869">
      <w:pPr>
        <w:pStyle w:val="Normaltindrag"/>
        <w:rPr>
          <w:snapToGrid w:val="0"/>
          <w:color w:val="000000"/>
        </w:rPr>
      </w:pPr>
      <w:r w:rsidRPr="001B4EC1">
        <w:rPr>
          <w:snapToGrid w:val="0"/>
          <w:color w:val="000000"/>
        </w:rPr>
        <w:t xml:space="preserve">I </w:t>
      </w:r>
      <w:r w:rsidRPr="001B4EC1">
        <w:rPr>
          <w:snapToGrid w:val="0"/>
          <w:color w:val="000000"/>
        </w:rPr>
        <w:t>budgetpropositionen för 2003 konstaterade regeringen att utformningen av friåret innebar att något riksdagsbeslut inte erfordrades (prop. 2002/03:1 utg.omr. 13 s. 23). Vidare anförde regeringen att u</w:t>
      </w:r>
      <w:r w:rsidRPr="001B4EC1">
        <w:rPr>
          <w:snapToGrid w:val="0"/>
        </w:rPr>
        <w:t>tgifterna för försöksver</w:t>
      </w:r>
      <w:r w:rsidRPr="001B4EC1">
        <w:rPr>
          <w:snapToGrid w:val="0"/>
        </w:rPr>
        <w:t>k</w:t>
      </w:r>
      <w:r w:rsidRPr="001B4EC1">
        <w:rPr>
          <w:snapToGrid w:val="0"/>
        </w:rPr>
        <w:t>samheten under utgiftsområdet hade beräknats till 65 miljoner kronor årligen och att detta belopp avsåg nettoutgifterna, dvs. bruttoutgifterna för ersättnin</w:t>
      </w:r>
      <w:r w:rsidRPr="001B4EC1">
        <w:rPr>
          <w:snapToGrid w:val="0"/>
        </w:rPr>
        <w:t>g</w:t>
      </w:r>
      <w:r w:rsidRPr="001B4EC1">
        <w:rPr>
          <w:snapToGrid w:val="0"/>
        </w:rPr>
        <w:t>en till anställda som tar friår reducerat med de beräknade minskade utgifterna för arbetslöshetsersättning för de arbetslösa som få</w:t>
      </w:r>
      <w:r w:rsidRPr="001B4EC1">
        <w:rPr>
          <w:snapToGrid w:val="0"/>
        </w:rPr>
        <w:t>r vikariera för friårslediga. Bruttoutgifterna under anslaget beräknades till 159 miljoner kronor per år. Riksdagen godkände regeringens förslag avseende fördelning av utgifter för 2003 på olika utgiftsområden i denna del (bet. 2002/03:FiU1, rskr. 2002/03:24).</w:t>
      </w:r>
    </w:p>
    <w:p w:rsidR="00252869" w:rsidRPr="001B4EC1" w:rsidRDefault="00252869">
      <w:pPr>
        <w:pStyle w:val="Normaltindrag"/>
        <w:rPr>
          <w:snapToGrid w:val="0"/>
        </w:rPr>
      </w:pPr>
      <w:r w:rsidRPr="001B4EC1">
        <w:rPr>
          <w:snapToGrid w:val="0"/>
        </w:rPr>
        <w:t>Enligt budgetpropositionen för 2004 använde ca 2 000 personer möjligh</w:t>
      </w:r>
      <w:r w:rsidRPr="001B4EC1">
        <w:rPr>
          <w:snapToGrid w:val="0"/>
        </w:rPr>
        <w:t>e</w:t>
      </w:r>
      <w:r w:rsidRPr="001B4EC1">
        <w:rPr>
          <w:snapToGrid w:val="0"/>
        </w:rPr>
        <w:t>ten till friår (prop. 2003/04:1 utg.omr. 13 s. 40). Utgifterna för försöksver</w:t>
      </w:r>
      <w:r w:rsidRPr="001B4EC1">
        <w:rPr>
          <w:snapToGrid w:val="0"/>
        </w:rPr>
        <w:t>k</w:t>
      </w:r>
      <w:r w:rsidRPr="001B4EC1">
        <w:rPr>
          <w:snapToGrid w:val="0"/>
        </w:rPr>
        <w:t>samheten beräknades under utgiftsområdet till 65 miljoner kronor årligen. Beloppet avsåg nettoutgifterna. Bruttoutgifterna under anslaget beräknades till 159 miljoner kronor per år.</w:t>
      </w:r>
    </w:p>
    <w:p w:rsidR="00252869" w:rsidRPr="001B4EC1" w:rsidRDefault="00252869">
      <w:pPr>
        <w:pStyle w:val="Rubrik5"/>
        <w:rPr>
          <w:noProof w:val="0"/>
        </w:rPr>
      </w:pPr>
      <w:r w:rsidRPr="001B4EC1">
        <w:rPr>
          <w:noProof w:val="0"/>
        </w:rPr>
        <w:t>Förskjutning i tiden av statliga betalningar (EU-avgiften)</w:t>
      </w:r>
    </w:p>
    <w:p w:rsidR="00252869" w:rsidRPr="001B4EC1" w:rsidRDefault="00252869">
      <w:r w:rsidRPr="001B4EC1">
        <w:t>Frågan om senareläggning av EU-avgiften behandlas av utskottet i ett annat granskningsärende i detta betänkande (avsnitt 2.2).</w:t>
      </w:r>
    </w:p>
    <w:p w:rsidR="00252869" w:rsidRPr="001B4EC1" w:rsidRDefault="00252869">
      <w:pPr>
        <w:pStyle w:val="Normaltindrag"/>
      </w:pPr>
      <w:r w:rsidRPr="001B4EC1">
        <w:rPr>
          <w:snapToGrid w:val="0"/>
        </w:rPr>
        <w:t>Åtgärden att förskjuta utgifter till efterföljande budgetår uppmärksamm</w:t>
      </w:r>
      <w:r w:rsidRPr="001B4EC1">
        <w:rPr>
          <w:snapToGrid w:val="0"/>
        </w:rPr>
        <w:t>a</w:t>
      </w:r>
      <w:r w:rsidRPr="001B4EC1">
        <w:rPr>
          <w:snapToGrid w:val="0"/>
        </w:rPr>
        <w:t>des av Utredningen om utvärdering av budgetprocessen (SOU 2000:61 s. 98). Utredningen menade att denna typ av åtgärd vidtagits vid ett flertal tillfällen i syfte att minska belastningen på budgeten och därmed undvika ett öve</w:t>
      </w:r>
      <w:r w:rsidRPr="001B4EC1">
        <w:rPr>
          <w:snapToGrid w:val="0"/>
        </w:rPr>
        <w:t>r</w:t>
      </w:r>
      <w:r w:rsidRPr="001B4EC1">
        <w:rPr>
          <w:snapToGrid w:val="0"/>
        </w:rPr>
        <w:t>skridande av utgiftstaket. Vidare menade utredningen att denna typ av åtgä</w:t>
      </w:r>
      <w:r w:rsidRPr="001B4EC1">
        <w:rPr>
          <w:snapToGrid w:val="0"/>
        </w:rPr>
        <w:t>r</w:t>
      </w:r>
      <w:r w:rsidRPr="001B4EC1">
        <w:rPr>
          <w:snapToGrid w:val="0"/>
        </w:rPr>
        <w:t>der endast är temporära till sin karaktär och inte innebär någon reell åtgärd för att förhindra en oönskad utgiftsutveckling.</w:t>
      </w:r>
    </w:p>
    <w:p w:rsidR="00252869" w:rsidRPr="001B4EC1" w:rsidRDefault="00252869">
      <w:pPr>
        <w:pStyle w:val="Rubrik5"/>
        <w:rPr>
          <w:noProof w:val="0"/>
        </w:rPr>
      </w:pPr>
      <w:r w:rsidRPr="001B4EC1">
        <w:rPr>
          <w:noProof w:val="0"/>
        </w:rPr>
        <w:t>Införandet av elcertifikat (utebliven nedjustering av utgiftstaket)</w:t>
      </w:r>
    </w:p>
    <w:p w:rsidR="00252869" w:rsidRPr="001B4EC1" w:rsidRDefault="00252869">
      <w:r w:rsidRPr="001B4EC1">
        <w:t>Våren 2003 beslöt riksdagen på förslag från regeringen att införa ett elcertif</w:t>
      </w:r>
      <w:r w:rsidRPr="001B4EC1">
        <w:t>i</w:t>
      </w:r>
      <w:r w:rsidRPr="001B4EC1">
        <w:t>katssystem den 1 maj 2003 (prop. 2002/03:40, bet. 2002/03:NU6, rskr. 2002/03:133). Systemet ersatte investerings- och driftsstöden till förnybar elproduktion. Den som producerar förnybar el kostnadsfritt tilldelas elcertif</w:t>
      </w:r>
      <w:r w:rsidRPr="001B4EC1">
        <w:t>i</w:t>
      </w:r>
      <w:r w:rsidRPr="001B4EC1">
        <w:t>kat av staten. Elanvändarna blir skyldiga att köpa elcertifikat i förhållande till sin förbrukning. Inkomsterna från försäljningen skall täcka merkostnaden för att producera förnybar el. Introduktionen av elcertifikatssystemet innebär att de flesta av stöden för förnybar elproduktion lyf</w:t>
      </w:r>
      <w:r w:rsidRPr="001B4EC1">
        <w:t>ts ut ur statsbudgeten och i stä</w:t>
      </w:r>
      <w:r w:rsidRPr="001B4EC1">
        <w:t>l</w:t>
      </w:r>
      <w:r w:rsidRPr="001B4EC1">
        <w:t>let läggs ut direkt på den enskilde elkonsumenten.</w:t>
      </w:r>
    </w:p>
    <w:p w:rsidR="00252869" w:rsidRPr="001B4EC1" w:rsidRDefault="00252869">
      <w:pPr>
        <w:pStyle w:val="Normaltindrag"/>
      </w:pPr>
      <w:r w:rsidRPr="001B4EC1">
        <w:t>I en reservation (m, fp, kd) i näringsutskottet anfördes att såväl förnybara energikällor som andra energislag måste klara energimarknadens konkurrens utan omfattande subventioner. Genom elcertifikatssystemet osynliggörs su</w:t>
      </w:r>
      <w:r w:rsidRPr="001B4EC1">
        <w:t>b</w:t>
      </w:r>
      <w:r w:rsidRPr="001B4EC1">
        <w:t>ventionerna till den förnybara elproduktionen genom att kostnaden flyttas från statsbudgeten direkt till elkonsumenterna. Enligt reservationen kan detta ses som ett exempel på det budgettricksande som regeringen tillämpar för att klara de uppsatta utgiftstaken, och det är inte i överensstämmelse med bu</w:t>
      </w:r>
      <w:r w:rsidRPr="001B4EC1">
        <w:t>d</w:t>
      </w:r>
      <w:r w:rsidRPr="001B4EC1">
        <w:t>getlagens anda.</w:t>
      </w:r>
    </w:p>
    <w:p w:rsidR="00252869" w:rsidRPr="001B4EC1" w:rsidRDefault="00252869">
      <w:pPr>
        <w:pStyle w:val="Normaltindrag"/>
      </w:pPr>
      <w:r w:rsidRPr="001B4EC1">
        <w:t>I budgetpropositionen för 2001 föreslog regeringen (prop. 2000/01:1) att utgiftstaket för 2003 skulle fastställas till 844 miljarder</w:t>
      </w:r>
      <w:r w:rsidRPr="001B4EC1">
        <w:rPr>
          <w:snapToGrid w:val="0"/>
        </w:rPr>
        <w:t xml:space="preserve"> kronor</w:t>
      </w:r>
      <w:r w:rsidRPr="001B4EC1">
        <w:t>. I budgetpr</w:t>
      </w:r>
      <w:r w:rsidRPr="001B4EC1">
        <w:t>o</w:t>
      </w:r>
      <w:r w:rsidRPr="001B4EC1">
        <w:t>positionen för 2002 föreslog regeringen (prop. 2001/02:1) att utgiftstaket för 2003 skulle fastställas till 844 miljarder</w:t>
      </w:r>
      <w:r w:rsidRPr="001B4EC1">
        <w:rPr>
          <w:snapToGrid w:val="0"/>
        </w:rPr>
        <w:t xml:space="preserve"> kronor</w:t>
      </w:r>
      <w:r w:rsidRPr="001B4EC1">
        <w:t>. I budgetpropositionen för 2003 föreslog regeringen en teknisk nedjustering av utgiftstaket för 2003 till 818 miljarder</w:t>
      </w:r>
      <w:r w:rsidRPr="001B4EC1">
        <w:rPr>
          <w:snapToGrid w:val="0"/>
        </w:rPr>
        <w:t xml:space="preserve"> kronor</w:t>
      </w:r>
      <w:r w:rsidRPr="001B4EC1">
        <w:t xml:space="preserve"> (prop. 2002/03:1). Till grund för justeringen låg en nivåsänkning av de generella statsbidragen till kommunerna till följd av ett nytt kommunkontosystem (–31,4 mdkr) samt en höjning av det statliga u</w:t>
      </w:r>
      <w:r w:rsidRPr="001B4EC1">
        <w:t>t</w:t>
      </w:r>
      <w:r w:rsidRPr="001B4EC1">
        <w:t>jämningsbidraget till kommuner och l</w:t>
      </w:r>
      <w:r w:rsidRPr="001B4EC1">
        <w:t>andsting (+2,9 mdkr) och en höjning av det generella statsb</w:t>
      </w:r>
      <w:r w:rsidRPr="001B4EC1">
        <w:t>i</w:t>
      </w:r>
      <w:r w:rsidRPr="001B4EC1">
        <w:t>draget till kommuner (+2,5 mdkr).</w:t>
      </w:r>
    </w:p>
    <w:p w:rsidR="00252869" w:rsidRPr="001B4EC1" w:rsidRDefault="00252869">
      <w:pPr>
        <w:pStyle w:val="Normaltindrag"/>
      </w:pPr>
      <w:r w:rsidRPr="001B4EC1">
        <w:t>Vad gäller utgiftsområde 21 Energi gjorde regeringen i budgetpropositi</w:t>
      </w:r>
      <w:r w:rsidRPr="001B4EC1">
        <w:t>o</w:t>
      </w:r>
      <w:r w:rsidRPr="001B4EC1">
        <w:t>nen för 2001 bedömningen att utgifterna skulle bli ca 2,3 miljarder</w:t>
      </w:r>
      <w:r w:rsidRPr="001B4EC1">
        <w:rPr>
          <w:snapToGrid w:val="0"/>
        </w:rPr>
        <w:t xml:space="preserve"> kronor</w:t>
      </w:r>
      <w:r w:rsidRPr="001B4EC1">
        <w:t xml:space="preserve"> 2001, ca 2,1 miljarder</w:t>
      </w:r>
      <w:r w:rsidRPr="001B4EC1">
        <w:rPr>
          <w:snapToGrid w:val="0"/>
        </w:rPr>
        <w:t xml:space="preserve"> kronor</w:t>
      </w:r>
      <w:r w:rsidRPr="001B4EC1">
        <w:t xml:space="preserve"> 2002 och ca 1,3 miljarder</w:t>
      </w:r>
      <w:r w:rsidRPr="001B4EC1">
        <w:rPr>
          <w:snapToGrid w:val="0"/>
        </w:rPr>
        <w:t xml:space="preserve"> kronor</w:t>
      </w:r>
      <w:r w:rsidRPr="001B4EC1">
        <w:t xml:space="preserve"> 2003 (prop. 2000/01:1 utg.omr. 21 s. 9). Bland annat beräknade regeringen att anslaget 35:3 Bidrag till investeringar i elproduktion från förnybara källor skulle minska från 305 miljoner</w:t>
      </w:r>
      <w:r w:rsidRPr="001B4EC1">
        <w:rPr>
          <w:snapToGrid w:val="0"/>
        </w:rPr>
        <w:t xml:space="preserve"> kronor</w:t>
      </w:r>
      <w:r w:rsidRPr="001B4EC1">
        <w:t xml:space="preserve"> 2001 till 168 miljoner</w:t>
      </w:r>
      <w:r w:rsidRPr="001B4EC1">
        <w:rPr>
          <w:snapToGrid w:val="0"/>
        </w:rPr>
        <w:t xml:space="preserve"> kronor</w:t>
      </w:r>
      <w:r w:rsidRPr="001B4EC1">
        <w:t xml:space="preserve"> 2002 och 0</w:t>
      </w:r>
      <w:r w:rsidRPr="001B4EC1">
        <w:rPr>
          <w:snapToGrid w:val="0"/>
        </w:rPr>
        <w:t xml:space="preserve"> kronor</w:t>
      </w:r>
      <w:r w:rsidRPr="001B4EC1">
        <w:t xml:space="preserve"> 2003 (s. 48). I budgetpropositionen för 2002 gjorde regeringen b</w:t>
      </w:r>
      <w:r w:rsidRPr="001B4EC1">
        <w:t>e</w:t>
      </w:r>
      <w:r w:rsidRPr="001B4EC1">
        <w:t>dömningen att utgifterna inom utgiftsområdet skulle bli ca 2,1 mil</w:t>
      </w:r>
      <w:r w:rsidRPr="001B4EC1">
        <w:t>jarder</w:t>
      </w:r>
      <w:r w:rsidRPr="001B4EC1">
        <w:rPr>
          <w:snapToGrid w:val="0"/>
        </w:rPr>
        <w:t xml:space="preserve"> kr</w:t>
      </w:r>
      <w:r w:rsidRPr="001B4EC1">
        <w:rPr>
          <w:snapToGrid w:val="0"/>
        </w:rPr>
        <w:t>o</w:t>
      </w:r>
      <w:r w:rsidRPr="001B4EC1">
        <w:rPr>
          <w:snapToGrid w:val="0"/>
        </w:rPr>
        <w:t>nor</w:t>
      </w:r>
      <w:r w:rsidRPr="001B4EC1">
        <w:t xml:space="preserve"> 2002 och 1,3 miljarder</w:t>
      </w:r>
      <w:r w:rsidRPr="001B4EC1">
        <w:rPr>
          <w:snapToGrid w:val="0"/>
        </w:rPr>
        <w:t xml:space="preserve"> kronor</w:t>
      </w:r>
      <w:r w:rsidRPr="001B4EC1">
        <w:t xml:space="preserve"> 2003 (prop. 2001/02:1 utg.omr. 21 s. 11). Bland annat beräknade regeringen att anslaget 35:3 Bidrag till investeringar i elproduktion från förnybara källor skulle minska från 168 miljoner</w:t>
      </w:r>
      <w:r w:rsidRPr="001B4EC1">
        <w:rPr>
          <w:snapToGrid w:val="0"/>
        </w:rPr>
        <w:t xml:space="preserve"> kronor</w:t>
      </w:r>
      <w:r w:rsidRPr="001B4EC1">
        <w:t xml:space="preserve"> 2002 till 0</w:t>
      </w:r>
      <w:r w:rsidRPr="001B4EC1">
        <w:rPr>
          <w:snapToGrid w:val="0"/>
        </w:rPr>
        <w:t xml:space="preserve"> kronor</w:t>
      </w:r>
      <w:r w:rsidRPr="001B4EC1">
        <w:t xml:space="preserve"> 2003 (s. 61). I budgetpropositionen för 2003 gjorde rege</w:t>
      </w:r>
      <w:r w:rsidRPr="001B4EC1">
        <w:t>r</w:t>
      </w:r>
      <w:r w:rsidRPr="001B4EC1">
        <w:t>ingen bedömningen att utgifterna inom utgiftsområdet skulle bli ca 1,7 mi</w:t>
      </w:r>
      <w:r w:rsidRPr="001B4EC1">
        <w:t>l</w:t>
      </w:r>
      <w:r w:rsidRPr="001B4EC1">
        <w:t>jarder</w:t>
      </w:r>
      <w:r w:rsidRPr="001B4EC1">
        <w:rPr>
          <w:snapToGrid w:val="0"/>
        </w:rPr>
        <w:t xml:space="preserve"> kronor</w:t>
      </w:r>
      <w:r w:rsidRPr="001B4EC1">
        <w:t xml:space="preserve"> 2003 (prop. 2002/03:1 utg.omr. 21 s. 9). Anslaget Bidrag till investeringar i elproduktion från förnybara käl</w:t>
      </w:r>
      <w:r w:rsidRPr="001B4EC1">
        <w:t>lor fanns inte kvar inom u</w:t>
      </w:r>
      <w:r w:rsidRPr="001B4EC1">
        <w:t>t</w:t>
      </w:r>
      <w:r w:rsidRPr="001B4EC1">
        <w:t>giftso</w:t>
      </w:r>
      <w:r w:rsidRPr="001B4EC1">
        <w:t>m</w:t>
      </w:r>
      <w:r w:rsidRPr="001B4EC1">
        <w:t>rådet.</w:t>
      </w:r>
    </w:p>
    <w:p w:rsidR="00252869" w:rsidRPr="001B4EC1" w:rsidRDefault="00252869">
      <w:pPr>
        <w:pStyle w:val="Normaltindrag"/>
      </w:pPr>
      <w:r w:rsidRPr="001B4EC1">
        <w:t>Riksdagen har på finansutskottets och näringsutskottets förslag bifallit r</w:t>
      </w:r>
      <w:r w:rsidRPr="001B4EC1">
        <w:t>e</w:t>
      </w:r>
      <w:r w:rsidRPr="001B4EC1">
        <w:t>ge</w:t>
      </w:r>
      <w:r w:rsidRPr="001B4EC1">
        <w:t>r</w:t>
      </w:r>
      <w:r w:rsidRPr="001B4EC1">
        <w:t>ingens förslag till budget i ovan nämnda delar.</w:t>
      </w:r>
    </w:p>
    <w:p w:rsidR="00252869" w:rsidRPr="001B4EC1" w:rsidRDefault="00252869">
      <w:pPr>
        <w:pStyle w:val="Rubrik5"/>
        <w:rPr>
          <w:noProof w:val="0"/>
        </w:rPr>
      </w:pPr>
      <w:r w:rsidRPr="001B4EC1">
        <w:rPr>
          <w:noProof w:val="0"/>
        </w:rPr>
        <w:t>Koncernkonto i riksgälden (kapitaltillskott till SJ)</w:t>
      </w:r>
    </w:p>
    <w:p w:rsidR="00252869" w:rsidRPr="001B4EC1" w:rsidRDefault="00252869">
      <w:r w:rsidRPr="001B4EC1">
        <w:t>Konstitutionsutskottet har tidigare behandlat frågan om kapitaltillskott i sta</w:t>
      </w:r>
      <w:r w:rsidRPr="001B4EC1">
        <w:t>t</w:t>
      </w:r>
      <w:r w:rsidRPr="001B4EC1">
        <w:t>liga aktiebolag genom särskilt konto i riksgälden. Det skedde våren 2003 i samband med att finansutskottet gav konstitutionsutskottet tillfälle att yttra sig över 2003 års ekonomiska vårproposition (2002/03:100) om tilläggsbu</w:t>
      </w:r>
      <w:r w:rsidRPr="001B4EC1">
        <w:t>d</w:t>
      </w:r>
      <w:r w:rsidRPr="001B4EC1">
        <w:t>get till statsbudgeten för budgetåret 2003 (yttr. 2002/03:KU6y).</w:t>
      </w:r>
    </w:p>
    <w:p w:rsidR="00252869" w:rsidRPr="001B4EC1" w:rsidRDefault="00252869">
      <w:pPr>
        <w:pStyle w:val="Normaltindrag"/>
      </w:pPr>
      <w:r w:rsidRPr="001B4EC1">
        <w:t>I propositionen föreslog regeringen att 3 miljarder</w:t>
      </w:r>
      <w:r w:rsidRPr="001B4EC1">
        <w:rPr>
          <w:snapToGrid w:val="0"/>
        </w:rPr>
        <w:t xml:space="preserve"> kronor</w:t>
      </w:r>
      <w:r w:rsidRPr="001B4EC1">
        <w:t xml:space="preserve"> genom extra u</w:t>
      </w:r>
      <w:r w:rsidRPr="001B4EC1">
        <w:t>t</w:t>
      </w:r>
      <w:r w:rsidRPr="001B4EC1">
        <w:t>delningar skulle tillföras ett särskilt konto i Riksgäldskontoret för att senare användas till insatser i hel- och delägda aktiebolag. Riksdagens godkännande för en kapitalinsats skulle inhämtas, men i undantagsfall, där beslut inte ku</w:t>
      </w:r>
      <w:r w:rsidRPr="001B4EC1">
        <w:t>n</w:t>
      </w:r>
      <w:r w:rsidRPr="001B4EC1">
        <w:t>de vänta, skulle regeringen avseende mindre belopp bemyndigas att utan dröjsmål göra nödvändiga kapitalinsatser. I dessa fall skulle riksdagens me</w:t>
      </w:r>
      <w:r w:rsidRPr="001B4EC1">
        <w:t>d</w:t>
      </w:r>
      <w:r w:rsidRPr="001B4EC1">
        <w:t>givande inhämtas i efterhand.</w:t>
      </w:r>
    </w:p>
    <w:p w:rsidR="00252869" w:rsidRPr="001B4EC1" w:rsidRDefault="00252869">
      <w:pPr>
        <w:pStyle w:val="Normaltindrag"/>
      </w:pPr>
      <w:r w:rsidRPr="001B4EC1">
        <w:t xml:space="preserve">Konstitutionsutskottet begränsade sitt yttrande till att gälla beslutsformen </w:t>
      </w:r>
      <w:r w:rsidRPr="001B4EC1">
        <w:t>och inte bedömningen av behovet av förbättrad kapitalstruktur. Utskottet konstaterade inledningsvis att regeringsformens bestämmelser om finan</w:t>
      </w:r>
      <w:r w:rsidRPr="001B4EC1">
        <w:t>s</w:t>
      </w:r>
      <w:r w:rsidRPr="001B4EC1">
        <w:t>makten inte är särskilt detaljerade. Av regeringsformen framgår att statens medel inte får användas på annat sätt än riksdagen har bestämt (9 kap. 2 § första stycket), och det sker främst genom budgetregleringen (9 kap. 2 § andra stycket). Tekniskt sett går det till på så sätt att riksdagen anvisar anslag till angivna ändamål (9 kap. 3 §). Riksdagen får emellertid en</w:t>
      </w:r>
      <w:r w:rsidRPr="001B4EC1">
        <w:t>ligt 9 kap. 2 § andra stycket bestämma att statsmedel skall tas i anspråk i annan ordning än genom budgetreglering. Som illustration kan här nämnas s.k. specialdestination. I förarbetena till regeringsformen skilde man mellan tre slag av specialdestin</w:t>
      </w:r>
      <w:r w:rsidRPr="001B4EC1">
        <w:t>a</w:t>
      </w:r>
      <w:r w:rsidRPr="001B4EC1">
        <w:t>tion:</w:t>
      </w:r>
    </w:p>
    <w:p w:rsidR="00252869" w:rsidRPr="001B4EC1" w:rsidRDefault="00252869">
      <w:pPr>
        <w:numPr>
          <w:ilvl w:val="0"/>
          <w:numId w:val="39"/>
        </w:numPr>
      </w:pPr>
      <w:r w:rsidRPr="001B4EC1">
        <w:t xml:space="preserve">Vid sidan om statsbudgeten (t.ex. ATP). </w:t>
      </w:r>
    </w:p>
    <w:p w:rsidR="00252869" w:rsidRPr="001B4EC1" w:rsidRDefault="00252869">
      <w:pPr>
        <w:numPr>
          <w:ilvl w:val="0"/>
          <w:numId w:val="39"/>
        </w:numPr>
      </w:pPr>
      <w:r w:rsidRPr="001B4EC1">
        <w:t xml:space="preserve">I anslutning till statsbudgeten (t.ex. affärsverken). </w:t>
      </w:r>
    </w:p>
    <w:p w:rsidR="00252869" w:rsidRPr="001B4EC1" w:rsidRDefault="00252869">
      <w:pPr>
        <w:numPr>
          <w:ilvl w:val="0"/>
          <w:numId w:val="39"/>
        </w:numPr>
      </w:pPr>
      <w:r w:rsidRPr="001B4EC1">
        <w:t xml:space="preserve">Inom statsbudgeten. </w:t>
      </w:r>
    </w:p>
    <w:p w:rsidR="00252869" w:rsidRPr="001B4EC1" w:rsidRDefault="00252869">
      <w:r w:rsidRPr="001B4EC1">
        <w:t>Den första formen av specialdestination sker helt utanför budgetregleringen. Den andra påverkar statsbudgeten på så sätt att t.ex. vinstmedel förs upp på inkomsttitel. Den tredje specialdestinationen sker helt inom ramen för stat</w:t>
      </w:r>
      <w:r w:rsidRPr="001B4EC1">
        <w:t>s</w:t>
      </w:r>
      <w:r w:rsidRPr="001B4EC1">
        <w:t>budgeten. Riksdagen har samma formella inflytande över specialdestinati</w:t>
      </w:r>
      <w:r w:rsidRPr="001B4EC1">
        <w:t>o</w:t>
      </w:r>
      <w:r w:rsidRPr="001B4EC1">
        <w:t>nerna som över anslagen.</w:t>
      </w:r>
    </w:p>
    <w:p w:rsidR="00252869" w:rsidRPr="001B4EC1" w:rsidRDefault="00252869">
      <w:pPr>
        <w:pStyle w:val="Normaltindrag"/>
      </w:pPr>
      <w:r w:rsidRPr="001B4EC1">
        <w:t>Vad gällde kapitalomstruktureringar i den statliga företagssfären genom att tillämpa specialdestination fanns det enligt utskottets mening goda skäl att underlätta sådana. Förfarandet kunde enligt utskottet liknas vid att staten agerar som moderbolag och ger koncernbidrag till vissa dotterbolag och f</w:t>
      </w:r>
      <w:r w:rsidRPr="001B4EC1">
        <w:t>i</w:t>
      </w:r>
      <w:r w:rsidRPr="001B4EC1">
        <w:t>nansierar detta med medel från andra dotterföretag. Utskottet ansåg emellertid att regeringens förslag borde modifieras på ett par punkter. För det första borde bemyndigandet inte innebära att regeringen i brådskande fall och för smärre belopp får besluta om kapitalinsatser, utan riksdagen bör besluta i varje enskilt fall om kapitalinsatser. För det andra borde bemyndigandet tid</w:t>
      </w:r>
      <w:r w:rsidRPr="001B4EC1">
        <w:t>s</w:t>
      </w:r>
      <w:r w:rsidRPr="001B4EC1">
        <w:t>begränsas. Att på det sätt som föreslogs av regeringen föra inkomster från extrautdelningar till ett särskilt konto i Riksgäldsko</w:t>
      </w:r>
      <w:r w:rsidRPr="001B4EC1">
        <w:t>ntoret måste vara en e</w:t>
      </w:r>
      <w:r w:rsidRPr="001B4EC1">
        <w:t>n</w:t>
      </w:r>
      <w:r w:rsidRPr="001B4EC1">
        <w:t>gångsåtgärd. Kontots varaktighet borde dessutom bli föremål för riksdagens årliga prövning. Slutligen borde det tydligt framgå av riksdagens beslut att maximalt 3 miljarder</w:t>
      </w:r>
      <w:r w:rsidRPr="001B4EC1">
        <w:rPr>
          <w:snapToGrid w:val="0"/>
        </w:rPr>
        <w:t xml:space="preserve"> kronor</w:t>
      </w:r>
      <w:r w:rsidRPr="001B4EC1">
        <w:t xml:space="preserve"> får överföras till det särskilda kontot.</w:t>
      </w:r>
    </w:p>
    <w:p w:rsidR="00252869" w:rsidRPr="001B4EC1" w:rsidRDefault="00252869">
      <w:pPr>
        <w:pStyle w:val="Normaltindrag"/>
      </w:pPr>
      <w:r w:rsidRPr="001B4EC1">
        <w:t>Vidare ansåg konstitutionsutskottet att det kunde finnas anledning att i lämpligt sammanhang närmare överväga formerna för kapitalomstruktur</w:t>
      </w:r>
      <w:r w:rsidRPr="001B4EC1">
        <w:t>e</w:t>
      </w:r>
      <w:r w:rsidRPr="001B4EC1">
        <w:t>ringar i den statliga företagssfären. Om regeringen menade att det skall finnas en permanent särskild ordning för sådana beslut borde den enligt utskottet åte</w:t>
      </w:r>
      <w:r w:rsidRPr="001B4EC1">
        <w:t>r</w:t>
      </w:r>
      <w:r w:rsidRPr="001B4EC1">
        <w:t>komma till riksdagen med förslag om hur en sådan ordning bör regleras.</w:t>
      </w:r>
    </w:p>
    <w:p w:rsidR="00252869" w:rsidRPr="001B4EC1" w:rsidRDefault="00252869">
      <w:pPr>
        <w:pStyle w:val="Normaltindrag"/>
        <w:rPr>
          <w:snapToGrid w:val="0"/>
        </w:rPr>
      </w:pPr>
      <w:r w:rsidRPr="001B4EC1">
        <w:t>Finansutskottet delade konstitutionsutskottets bedömningar (bet. 2002/03: FiU21).</w:t>
      </w:r>
      <w:r w:rsidRPr="001B4EC1">
        <w:rPr>
          <w:snapToGrid w:val="0"/>
        </w:rPr>
        <w:t xml:space="preserve"> Finansutskottet tillstyrkte således regeringens förslag att särskilda åtgärder skulle vidtas för att underlätta finansiella omstruktureringar inom den statliga bolagssfären. Riksdagens inflytande över åtgärderna borde ty</w:t>
      </w:r>
      <w:r w:rsidRPr="001B4EC1">
        <w:rPr>
          <w:snapToGrid w:val="0"/>
        </w:rPr>
        <w:t>d</w:t>
      </w:r>
      <w:r w:rsidRPr="001B4EC1">
        <w:rPr>
          <w:snapToGrid w:val="0"/>
        </w:rPr>
        <w:t>liggöras i förhållande till regeringens förslag. I betänkandet redovisades hur förslaget bör kunna inordnas i riksdagens rambeslutsmodell för hanteringen av budgetpropositionen. Vad som anförts med anledning av förslaget borde enligt utskottet ges regeringen till känna. Riksdagen följde ut</w:t>
      </w:r>
      <w:r w:rsidRPr="001B4EC1">
        <w:rPr>
          <w:snapToGrid w:val="0"/>
        </w:rPr>
        <w:t>skottet (rskr. 2002/03:235).</w:t>
      </w:r>
    </w:p>
    <w:p w:rsidR="00252869" w:rsidRPr="001B4EC1" w:rsidRDefault="00252869">
      <w:pPr>
        <w:pStyle w:val="Rubrik5"/>
        <w:rPr>
          <w:noProof w:val="0"/>
        </w:rPr>
      </w:pPr>
      <w:r w:rsidRPr="001B4EC1">
        <w:rPr>
          <w:noProof w:val="0"/>
        </w:rPr>
        <w:t>Underbudgetering</w:t>
      </w:r>
    </w:p>
    <w:p w:rsidR="00252869" w:rsidRPr="001B4EC1" w:rsidRDefault="00252869">
      <w:pPr>
        <w:rPr>
          <w:snapToGrid w:val="0"/>
        </w:rPr>
      </w:pPr>
      <w:r w:rsidRPr="001B4EC1">
        <w:rPr>
          <w:snapToGrid w:val="0"/>
        </w:rPr>
        <w:t>Skillnaden mellan utgifterna på statsbudgeten och anvisade medel redovisas i årsredovisningen för staten. År 2002 blev utfallet för samtliga anslag, exkl</w:t>
      </w:r>
      <w:r w:rsidRPr="001B4EC1">
        <w:rPr>
          <w:snapToGrid w:val="0"/>
        </w:rPr>
        <w:t>u</w:t>
      </w:r>
      <w:r w:rsidRPr="001B4EC1">
        <w:rPr>
          <w:snapToGrid w:val="0"/>
        </w:rPr>
        <w:t>sive statsskuldsräntor, 7,8 miljarder kronor högre än anvisat i statsbudgeten (skr. 2002/03:101 s. 73 f.). Omkring 4 miljarder kronor av skillnaden förkl</w:t>
      </w:r>
      <w:r w:rsidRPr="001B4EC1">
        <w:rPr>
          <w:snapToGrid w:val="0"/>
        </w:rPr>
        <w:t>a</w:t>
      </w:r>
      <w:r w:rsidRPr="001B4EC1">
        <w:rPr>
          <w:snapToGrid w:val="0"/>
        </w:rPr>
        <w:t>ras av tidigareläggning av arealersättning enligt riksdagens beslut hösten 2002. Drygt 1 miljard kronor kan förklaras av ändrade makroekonomiska förutsättningar i förhållande till vad som antogs i samband med fastställandet av statsbudgeten 2002. Resterande underskattningar av utgifterna i den u</w:t>
      </w:r>
      <w:r w:rsidRPr="001B4EC1">
        <w:rPr>
          <w:snapToGrid w:val="0"/>
        </w:rPr>
        <w:t>r</w:t>
      </w:r>
      <w:r w:rsidRPr="001B4EC1">
        <w:rPr>
          <w:snapToGrid w:val="0"/>
        </w:rPr>
        <w:t>sprungliga statsbudgeten för 2002 kan huvudsakligen hänföras</w:t>
      </w:r>
      <w:r w:rsidRPr="001B4EC1">
        <w:rPr>
          <w:snapToGrid w:val="0"/>
        </w:rPr>
        <w:t xml:space="preserve"> till utgiftso</w:t>
      </w:r>
      <w:r w:rsidRPr="001B4EC1">
        <w:rPr>
          <w:snapToGrid w:val="0"/>
        </w:rPr>
        <w:t>m</w:t>
      </w:r>
      <w:r w:rsidRPr="001B4EC1">
        <w:rPr>
          <w:snapToGrid w:val="0"/>
        </w:rPr>
        <w:t>råde 10 Ekonomisk trygghet vid sjukdom och handikapp. Utgifterna för detta utgiftsområde blev 4,5 miljarder kronor högre än den ursprungligt fastställda utgiftsramen.</w:t>
      </w:r>
    </w:p>
    <w:p w:rsidR="00252869" w:rsidRPr="001B4EC1" w:rsidRDefault="00252869">
      <w:pPr>
        <w:pStyle w:val="Normaltindrag"/>
        <w:rPr>
          <w:snapToGrid w:val="0"/>
        </w:rPr>
      </w:pPr>
      <w:r w:rsidRPr="001B4EC1">
        <w:rPr>
          <w:snapToGrid w:val="0"/>
        </w:rPr>
        <w:t>År 2001 blev utfallet för samtliga anslag på statsbudgeten, exklusive stat</w:t>
      </w:r>
      <w:r w:rsidRPr="001B4EC1">
        <w:rPr>
          <w:snapToGrid w:val="0"/>
        </w:rPr>
        <w:t>s</w:t>
      </w:r>
      <w:r w:rsidRPr="001B4EC1">
        <w:rPr>
          <w:snapToGrid w:val="0"/>
        </w:rPr>
        <w:t>skuldsräntor, 2,4 miljarder kronor lägre än anvisat i den ursprungliga stat</w:t>
      </w:r>
      <w:r w:rsidRPr="001B4EC1">
        <w:rPr>
          <w:snapToGrid w:val="0"/>
        </w:rPr>
        <w:t>s</w:t>
      </w:r>
      <w:r w:rsidRPr="001B4EC1">
        <w:rPr>
          <w:snapToGrid w:val="0"/>
        </w:rPr>
        <w:t xml:space="preserve">budgeten (skr. 2001/02:101 s. 65 f.). För fem utgiftsområden blev utfallet mer än 1 miljard kronor lägre än de ursprungligt fastställda utgiftsramarna. För fyra utgiftsramar blev utfallet mer än 1 miljard kronor högre. Den största negativa avvikelsen avsåg utgiftsområde 13 Arbetsmarknad, där utfallet blev 4,4 miljarder kronor lägre än den ursprungligt fastställda utgiftsramen. Den största positiva avvikelsen mellan anslagsutfallet </w:t>
      </w:r>
      <w:r w:rsidRPr="001B4EC1">
        <w:rPr>
          <w:snapToGrid w:val="0"/>
        </w:rPr>
        <w:t>och den ursprungliga stat</w:t>
      </w:r>
      <w:r w:rsidRPr="001B4EC1">
        <w:rPr>
          <w:snapToGrid w:val="0"/>
        </w:rPr>
        <w:t>s</w:t>
      </w:r>
      <w:r w:rsidRPr="001B4EC1">
        <w:rPr>
          <w:snapToGrid w:val="0"/>
        </w:rPr>
        <w:t>budgeten avsåg utgiftsområde 10 Ekonomisk trygghet vid sjukdom och ha</w:t>
      </w:r>
      <w:r w:rsidRPr="001B4EC1">
        <w:rPr>
          <w:snapToGrid w:val="0"/>
        </w:rPr>
        <w:t>n</w:t>
      </w:r>
      <w:r w:rsidRPr="001B4EC1">
        <w:rPr>
          <w:snapToGrid w:val="0"/>
        </w:rPr>
        <w:t>dikapp, där utfallet blev 5,3 miljarder kronor högre än den ursprungligt fas</w:t>
      </w:r>
      <w:r w:rsidRPr="001B4EC1">
        <w:rPr>
          <w:snapToGrid w:val="0"/>
        </w:rPr>
        <w:t>t</w:t>
      </w:r>
      <w:r w:rsidRPr="001B4EC1">
        <w:rPr>
          <w:snapToGrid w:val="0"/>
        </w:rPr>
        <w:t>ställda utgiftsr</w:t>
      </w:r>
      <w:r w:rsidRPr="001B4EC1">
        <w:rPr>
          <w:snapToGrid w:val="0"/>
        </w:rPr>
        <w:t>a</w:t>
      </w:r>
      <w:r w:rsidRPr="001B4EC1">
        <w:rPr>
          <w:snapToGrid w:val="0"/>
        </w:rPr>
        <w:t>men.</w:t>
      </w:r>
    </w:p>
    <w:p w:rsidR="00252869" w:rsidRPr="001B4EC1" w:rsidRDefault="00252869">
      <w:pPr>
        <w:pStyle w:val="Rubrik3"/>
        <w:rPr>
          <w:noProof w:val="0"/>
        </w:rPr>
      </w:pPr>
      <w:bookmarkStart w:id="79" w:name="_Toc72648510"/>
      <w:r w:rsidRPr="001B4EC1">
        <w:rPr>
          <w:noProof w:val="0"/>
        </w:rPr>
        <w:t>Promemoria från Finansdepartementet</w:t>
      </w:r>
      <w:bookmarkEnd w:id="79"/>
    </w:p>
    <w:p w:rsidR="00252869" w:rsidRPr="001B4EC1" w:rsidRDefault="00252869">
      <w:r w:rsidRPr="001B4EC1">
        <w:t xml:space="preserve">Genom en skrivelse har konstitutionsutskottet begärt svar på vissa frågor med anledning av granskningsanmälan. Som svar har till utskottet översänts en promemoria som upprättats i Finansdepartementet den 3 mars 2004, </w:t>
      </w:r>
      <w:r w:rsidRPr="001B4EC1">
        <w:rPr>
          <w:i/>
        </w:rPr>
        <w:t>bilaga A2.1.2</w:t>
      </w:r>
      <w:r w:rsidRPr="001B4EC1">
        <w:t>.</w:t>
      </w:r>
    </w:p>
    <w:p w:rsidR="00252869" w:rsidRPr="001B4EC1" w:rsidRDefault="00252869">
      <w:pPr>
        <w:pStyle w:val="Normaltindrag"/>
      </w:pPr>
      <w:r w:rsidRPr="001B4EC1">
        <w:t>Vad gäller omvandling av statsutgifter till budgeterade inkomstminsknin</w:t>
      </w:r>
      <w:r w:rsidRPr="001B4EC1">
        <w:t>g</w:t>
      </w:r>
      <w:r w:rsidRPr="001B4EC1">
        <w:t>ar anförs i promemorian att bestämmelserna i 16–19 §§ budgetlagen inte hindrar att regeringen på ett avgränsat område föreslår riksdagen att genom annan lag besluta om avvikelse från dessa regler. Det får sedan ankomma på riksdagen att pröva skälen för förslaget. Enligt promemorian har detta förf</w:t>
      </w:r>
      <w:r w:rsidRPr="001B4EC1">
        <w:t>a</w:t>
      </w:r>
      <w:r w:rsidRPr="001B4EC1">
        <w:t>ringssätt använts i de fall som pekas på i granskningsanmälan. Visserligen avviker förfarandet således från bestämmelserna i 17 § budgetlagen om bru</w:t>
      </w:r>
      <w:r w:rsidRPr="001B4EC1">
        <w:t>t</w:t>
      </w:r>
      <w:r w:rsidRPr="001B4EC1">
        <w:t xml:space="preserve">to- och nettobudgetering, men åtgärderna har vidtagits med stöd </w:t>
      </w:r>
      <w:r w:rsidRPr="001B4EC1">
        <w:t>av annan lag.</w:t>
      </w:r>
    </w:p>
    <w:p w:rsidR="00252869" w:rsidRPr="001B4EC1" w:rsidRDefault="00252869">
      <w:pPr>
        <w:pStyle w:val="Normaltindrag"/>
      </w:pPr>
      <w:r w:rsidRPr="001B4EC1">
        <w:t xml:space="preserve">Vad gäller förekomst av nettobudgetering anförs i promemorian avseende det s.k. friåret att anslaget 22:2 </w:t>
      </w:r>
      <w:r w:rsidRPr="001B4EC1">
        <w:rPr>
          <w:i/>
        </w:rPr>
        <w:t>Bidrag till arbetslöshetsersättning och aktiv</w:t>
      </w:r>
      <w:r w:rsidRPr="001B4EC1">
        <w:rPr>
          <w:i/>
        </w:rPr>
        <w:t>i</w:t>
      </w:r>
      <w:r w:rsidRPr="001B4EC1">
        <w:rPr>
          <w:i/>
        </w:rPr>
        <w:t>tetsstöd</w:t>
      </w:r>
      <w:r w:rsidRPr="001B4EC1">
        <w:t xml:space="preserve"> inom utgiftsområde 13 Arbetsmarknad i huvudsak är avsett för bidrag till arbetslöshetsersättning vid öppen arbetslöshet och för olika former av aktivitetsstöd för personer som deltar i arbetsmarknadspolitiska program, och friåret är ett av många olika slag av sådana program. Enligt promemorian är det helt naturligt att en viss åtgärd minskar behovet av utgifter för andra å</w:t>
      </w:r>
      <w:r w:rsidRPr="001B4EC1">
        <w:t>t</w:t>
      </w:r>
      <w:r w:rsidRPr="001B4EC1">
        <w:t>gärder. I den meningen kan det kanske hävdas att kostnaderna för den a</w:t>
      </w:r>
      <w:r w:rsidRPr="001B4EC1">
        <w:t>r</w:t>
      </w:r>
      <w:r w:rsidRPr="001B4EC1">
        <w:t>betsmarkna</w:t>
      </w:r>
      <w:r w:rsidRPr="001B4EC1">
        <w:t>dspolitiska åtgärden friår nettobudgeteras; en utgift tränger undan en annan utgift. Detta är enligt promemorian ett förhållande som innebär en realistisk budgetering och som för övrigt gäller för ett stort antal anslag på statsbudgeten. I detta fall är det således bara fråga om olika utgifter för olika slag av åtgärder. Några inkomster är inte aktuella i sammanhanget, varför förfarandet inte strider mot 17 § första stycket budgetlagen.</w:t>
      </w:r>
    </w:p>
    <w:p w:rsidR="00252869" w:rsidRPr="001B4EC1" w:rsidRDefault="00252869">
      <w:pPr>
        <w:pStyle w:val="Normaltindrag"/>
      </w:pPr>
      <w:r w:rsidRPr="001B4EC1">
        <w:t xml:space="preserve">Avseende kapitaltillskott till SJ AB genom särskilt konto i riksgälden </w:t>
      </w:r>
      <w:r w:rsidRPr="001B4EC1">
        <w:t>a</w:t>
      </w:r>
      <w:r w:rsidRPr="001B4EC1">
        <w:t>n</w:t>
      </w:r>
      <w:r w:rsidRPr="001B4EC1">
        <w:t>förs i promemorian att anläggningstillgångar som används i statens verksa</w:t>
      </w:r>
      <w:r w:rsidRPr="001B4EC1">
        <w:t>m</w:t>
      </w:r>
      <w:r w:rsidRPr="001B4EC1">
        <w:t>het enligt 20 § budgetlagen får finansieras med lån i Riksgäldskontoret, och kapitaltillskott är att betrakta som en anläggningstillgång. Det är således enligt promemorian inte rätt att, som påstås i granskningsanmälan, kapitaltil</w:t>
      </w:r>
      <w:r w:rsidRPr="001B4EC1">
        <w:t>l</w:t>
      </w:r>
      <w:r w:rsidRPr="001B4EC1">
        <w:t>skottet till SJ AB rätteligen skulle ha belastat ett anslag på statsbudgeten. Vidare anförs i promemorian att riksdagen med stöd av 23 § budgetlagen har beslutat att kapitaltillskottet skall finansieras me</w:t>
      </w:r>
      <w:r w:rsidRPr="001B4EC1">
        <w:t>d extra utdelningar från sta</w:t>
      </w:r>
      <w:r w:rsidRPr="001B4EC1">
        <w:t>t</w:t>
      </w:r>
      <w:r w:rsidRPr="001B4EC1">
        <w:t>liga aktiebolag i stället för med lån i Rik</w:t>
      </w:r>
      <w:r w:rsidRPr="001B4EC1">
        <w:t>s</w:t>
      </w:r>
      <w:r w:rsidRPr="001B4EC1">
        <w:t>gäldskontoret.</w:t>
      </w:r>
    </w:p>
    <w:p w:rsidR="00252869" w:rsidRPr="001B4EC1" w:rsidRDefault="00252869">
      <w:pPr>
        <w:pStyle w:val="Normaltindrag"/>
      </w:pPr>
      <w:r w:rsidRPr="001B4EC1">
        <w:t>Vad gäller utebliven nedjustering av utgiftstaket anförs i promemorian att olika åtgärder kan leda till att utrymmet under budgettaket avlastats om inte utgiftstaket justeras. Utgiftstaket är dock inte definierat i lag utan vad som skall rymmas under taket beslutas från fall till fall av riksdagen. Vid behov kan tekniska justeringar av utgiftstaket göras. Om riksdagen funnit att u</w:t>
      </w:r>
      <w:r w:rsidRPr="001B4EC1">
        <w:t>t</w:t>
      </w:r>
      <w:r w:rsidRPr="001B4EC1">
        <w:t>giftstaket borde justeras hade enligt promemorian riksdagen också beslutat om det. I fråga om utebliven nedjustering i samband med införandet av elce</w:t>
      </w:r>
      <w:r w:rsidRPr="001B4EC1">
        <w:t>r</w:t>
      </w:r>
      <w:r w:rsidRPr="001B4EC1">
        <w:t>tifikat under 2003 anförs i promemorian att det kan ifrågasättas om något utrymme under utgiftstaket frigjordes därigenom och det tidigare stödet sl</w:t>
      </w:r>
      <w:r w:rsidRPr="001B4EC1">
        <w:t>o</w:t>
      </w:r>
      <w:r w:rsidRPr="001B4EC1">
        <w:t>pades. Under 2003 gjordes för ändamålet utbetalningar från det numera a</w:t>
      </w:r>
      <w:r w:rsidRPr="001B4EC1">
        <w:t>v</w:t>
      </w:r>
      <w:r w:rsidRPr="001B4EC1">
        <w:t>förda anslaget avseende tidigare åtaganden uppgående till 62 miljoner</w:t>
      </w:r>
      <w:r w:rsidRPr="001B4EC1">
        <w:rPr>
          <w:snapToGrid w:val="0"/>
        </w:rPr>
        <w:t xml:space="preserve"> kronor</w:t>
      </w:r>
      <w:r w:rsidRPr="001B4EC1">
        <w:t>. I statsbudgeten för 2004 under samma utgiftsområde finns uppfö</w:t>
      </w:r>
      <w:r w:rsidRPr="001B4EC1">
        <w:t xml:space="preserve">rt anslaget 35:9 </w:t>
      </w:r>
      <w:r w:rsidRPr="001B4EC1">
        <w:rPr>
          <w:i/>
        </w:rPr>
        <w:t>Statlig prisgaranti elcertifikat</w:t>
      </w:r>
      <w:r w:rsidRPr="001B4EC1">
        <w:t xml:space="preserve"> på 100 miljoner</w:t>
      </w:r>
      <w:r w:rsidRPr="001B4EC1">
        <w:rPr>
          <w:snapToGrid w:val="0"/>
        </w:rPr>
        <w:t xml:space="preserve"> kronor</w:t>
      </w:r>
      <w:r w:rsidRPr="001B4EC1">
        <w:t>. Vidare anförs att riksdagen på finansutskottets och näringsutskottets förslag bifallit regeringens förslag till budget i nämnda delar.</w:t>
      </w:r>
    </w:p>
    <w:p w:rsidR="00252869" w:rsidRPr="001B4EC1" w:rsidRDefault="00252869">
      <w:pPr>
        <w:pStyle w:val="Normaltindrag"/>
      </w:pPr>
      <w:r w:rsidRPr="001B4EC1">
        <w:t>Vad gäller skillnad mellan utgifterna på statsbudgeten och anvisade medel, s.k. underbudgetering, framhålls i promemorian att utfallet 2001 för statsbu</w:t>
      </w:r>
      <w:r w:rsidRPr="001B4EC1">
        <w:t>d</w:t>
      </w:r>
      <w:r w:rsidRPr="001B4EC1">
        <w:t>getens samtliga anslag, exklusive statsskuldsräntor, blev lägre (2,4 miljarder</w:t>
      </w:r>
      <w:r w:rsidRPr="001B4EC1">
        <w:rPr>
          <w:snapToGrid w:val="0"/>
        </w:rPr>
        <w:t xml:space="preserve"> kronor</w:t>
      </w:r>
      <w:r w:rsidRPr="001B4EC1">
        <w:t>) än anvisat. Att utfallet blev lägre än anvisat i den ursprungliga stat</w:t>
      </w:r>
      <w:r w:rsidRPr="001B4EC1">
        <w:t>s</w:t>
      </w:r>
      <w:r w:rsidRPr="001B4EC1">
        <w:t>budgeten innebär enligt promemorian att det saknas stöd för påståendet i granskningsanmälan om medveten systematisk underbudgetering av de u</w:t>
      </w:r>
      <w:r w:rsidRPr="001B4EC1">
        <w:t>t</w:t>
      </w:r>
      <w:r w:rsidRPr="001B4EC1">
        <w:t xml:space="preserve">gifter som utgiftstaket för staten omfattar. Den största positiva avvikelsen mellan anslagsutfallet och den ursprungliga statsbudgeten avsåg anslaget Sjukpenning och rehabilitering m.m., för vilket utfallet blev </w:t>
      </w:r>
      <w:r w:rsidRPr="001B4EC1">
        <w:t>4,5 miljarder</w:t>
      </w:r>
      <w:r w:rsidRPr="001B4EC1">
        <w:rPr>
          <w:snapToGrid w:val="0"/>
        </w:rPr>
        <w:t xml:space="preserve"> kronor</w:t>
      </w:r>
      <w:r w:rsidRPr="001B4EC1">
        <w:t xml:space="preserve"> högre. Orsaken till avvikelsen var att regeringen inte förutsåg att a</w:t>
      </w:r>
      <w:r w:rsidRPr="001B4EC1">
        <w:t>n</w:t>
      </w:r>
      <w:r w:rsidRPr="001B4EC1">
        <w:t>talet sjukdagar skulle komma att fortsätta att öka kraftigt 2001. Regeringens antagande om utvecklingen av antalet sjukdagar redovisades i budgetpropos</w:t>
      </w:r>
      <w:r w:rsidRPr="001B4EC1">
        <w:t>i</w:t>
      </w:r>
      <w:r w:rsidRPr="001B4EC1">
        <w:t>tionen, varvid regeringen också framhöll att prognosen var mycket osäker och att den skulle följas upp i 2001 års ekonomiska vårproposition. År 2002 blev enligt promemorian utfallet för statsbudgetens samtliga anslag, exklusive statsskuldsräntor, 7,8 miljarder</w:t>
      </w:r>
      <w:r w:rsidRPr="001B4EC1">
        <w:rPr>
          <w:snapToGrid w:val="0"/>
        </w:rPr>
        <w:t xml:space="preserve"> kronor</w:t>
      </w:r>
      <w:r w:rsidRPr="001B4EC1">
        <w:t xml:space="preserve"> h</w:t>
      </w:r>
      <w:r w:rsidRPr="001B4EC1">
        <w:t>ögre än anvisat i den ursprungliga statsbudgeten. Omkring 4 miljarder</w:t>
      </w:r>
      <w:r w:rsidRPr="001B4EC1">
        <w:rPr>
          <w:snapToGrid w:val="0"/>
        </w:rPr>
        <w:t xml:space="preserve"> kronor</w:t>
      </w:r>
      <w:r w:rsidRPr="001B4EC1">
        <w:t xml:space="preserve"> av skillnaden förklaras av den tidigareläggning av arealersättningen som riksdagen beslutade om 2002 och som motiverades av risken för ett överskridande av utgiftstaket för 2003. Drygt 1 miljard</w:t>
      </w:r>
      <w:r w:rsidRPr="001B4EC1">
        <w:rPr>
          <w:snapToGrid w:val="0"/>
        </w:rPr>
        <w:t xml:space="preserve"> kronor</w:t>
      </w:r>
      <w:r w:rsidRPr="001B4EC1">
        <w:t xml:space="preserve"> kan förklaras av ändrade makroekonomiska förutsät</w:t>
      </w:r>
      <w:r w:rsidRPr="001B4EC1">
        <w:t>t</w:t>
      </w:r>
      <w:r w:rsidRPr="001B4EC1">
        <w:t>ningar i förhållande till vad som antogs i samband med fastställandet av stat</w:t>
      </w:r>
      <w:r w:rsidRPr="001B4EC1">
        <w:t>s</w:t>
      </w:r>
      <w:r w:rsidRPr="001B4EC1">
        <w:t>budgeten för 2002 (främst högre arbetslöshet). Resterande underskattning av utgifterna i den ursprungliga</w:t>
      </w:r>
      <w:r w:rsidRPr="001B4EC1">
        <w:t xml:space="preserve"> statsbudgeten för 2002 på ca 3 miljarder</w:t>
      </w:r>
      <w:r w:rsidRPr="001B4EC1">
        <w:rPr>
          <w:snapToGrid w:val="0"/>
        </w:rPr>
        <w:t xml:space="preserve"> kronor</w:t>
      </w:r>
      <w:r w:rsidRPr="001B4EC1">
        <w:t xml:space="preserve"> kan huvudsakligen hänföras till utgiftsområde 10 Ekonomisk trygghet vid sjukdom och handikapp. Utgifterna för detta område blev enligt promemorian 4,5 miljarder</w:t>
      </w:r>
      <w:r w:rsidRPr="001B4EC1">
        <w:rPr>
          <w:snapToGrid w:val="0"/>
        </w:rPr>
        <w:t xml:space="preserve"> kronor</w:t>
      </w:r>
      <w:r w:rsidRPr="001B4EC1">
        <w:t xml:space="preserve"> högre än den ursprungligt fastställda utgiftsramen. I budgetpropositionen för 2002 antog regeringen att utvecklingen med ett ökat antal sjukskrivningar skulle brytas under 2002 till följd av det 11-punktsprogram för att främja hälsan som regeringen presenterade i nämnda proposition. I promemori</w:t>
      </w:r>
      <w:r w:rsidRPr="001B4EC1">
        <w:t>an anförs att förutsättningarna för denna och andra anslagsberäkningar i budgetpropositionen redovisades öppet och tydligt. Regeringens ambition är att redovisa så mycket som möjligt av antagandena, utan att budgetpropositionen fylls med så många detaljer att det blir svårt för riksdagen att få en överblick över den. Från och med budgetpropositionen för 2002 innehåller propositionen dessutom för varje anslag och utgiftsområde en tabell som visar hur förändringar av anvisade medel mellan åren beror på beslut</w:t>
      </w:r>
      <w:r w:rsidRPr="001B4EC1">
        <w:t xml:space="preserve"> om aktiva reformer eller besparingar, förändrade makroekonomiska förutsättningar eller förväntad volymutveckling inom regelstyrda utgiftss</w:t>
      </w:r>
      <w:r w:rsidRPr="001B4EC1">
        <w:t>y</w:t>
      </w:r>
      <w:r w:rsidRPr="001B4EC1">
        <w:t>stem. På grundval av denna information har riksdagen beslutat om utgiftsr</w:t>
      </w:r>
      <w:r w:rsidRPr="001B4EC1">
        <w:t>a</w:t>
      </w:r>
      <w:r w:rsidRPr="001B4EC1">
        <w:t>mar för utgiftsområden och nivån på enskilda anslag. Vidare anförs i prom</w:t>
      </w:r>
      <w:r w:rsidRPr="001B4EC1">
        <w:t>e</w:t>
      </w:r>
      <w:r w:rsidRPr="001B4EC1">
        <w:t xml:space="preserve">morian att de oberoende prognoser av statens finanser som görs av främst Ekonomistyrningsverket också kan underlätta riksdagens beslutsfattande och en kritisk granskning av regeringens prognoser. Vidare anförs i promemorian </w:t>
      </w:r>
      <w:r w:rsidRPr="001B4EC1">
        <w:t>att regeringen under de senaste åren har identifierat ett antal områden där prognosmodellerna behöver förbättras. Detta gäller i synnerhet sjukförsä</w:t>
      </w:r>
      <w:r w:rsidRPr="001B4EC1">
        <w:t>k</w:t>
      </w:r>
      <w:r w:rsidRPr="001B4EC1">
        <w:t>ringen. Regeringskansliet har tagit fram en ny prognosmodell tillsammans med Riksförsäkringsverket. Inom Regeringskansliet har det under de senaste åren även bedrivits ett intensivt utvecklingsarbete med att förbättra andra prognosmodeller, bl.a. för a</w:t>
      </w:r>
      <w:r w:rsidRPr="001B4EC1">
        <w:t>r</w:t>
      </w:r>
      <w:r w:rsidRPr="001B4EC1">
        <w:t>betslöshetsförsäkringen.</w:t>
      </w:r>
    </w:p>
    <w:p w:rsidR="00252869" w:rsidRPr="001B4EC1" w:rsidRDefault="00252869">
      <w:pPr>
        <w:pStyle w:val="Normaltindrag"/>
      </w:pPr>
      <w:r w:rsidRPr="001B4EC1">
        <w:t>Vad gäller förskjutning i tiden av statliga betalningar hänvisas i promem</w:t>
      </w:r>
      <w:r w:rsidRPr="001B4EC1">
        <w:t>o</w:t>
      </w:r>
      <w:r w:rsidRPr="001B4EC1">
        <w:t>rian till Regeringskansliets svar i ett annat grans</w:t>
      </w:r>
      <w:r w:rsidRPr="001B4EC1">
        <w:t>k</w:t>
      </w:r>
      <w:r w:rsidRPr="001B4EC1">
        <w:t>ningsärende avseende EU-avgiften (se avsnitt 2.2 i detta betänkande). Avseende vad i granskningsa</w:t>
      </w:r>
      <w:r w:rsidRPr="001B4EC1">
        <w:t>n</w:t>
      </w:r>
      <w:r w:rsidRPr="001B4EC1">
        <w:t>mälan anförs om förskjutning av utbetalning av arealersättning till jordbruket anförs i promemorian att stödet enligt artikel 8 i rådets förordning (EG) nr 1251/1999 av den 17 maj 1999 om upprättande av ett stödsystem för prod</w:t>
      </w:r>
      <w:r w:rsidRPr="001B4EC1">
        <w:t>u</w:t>
      </w:r>
      <w:r w:rsidRPr="001B4EC1">
        <w:t xml:space="preserve">center av vissa jordbruksprodukter skall betalas ut under perioden den </w:t>
      </w:r>
      <w:r w:rsidRPr="001B4EC1">
        <w:br/>
        <w:t>16 november–den 31 januari efter skörden. De materiella regler</w:t>
      </w:r>
      <w:r w:rsidRPr="001B4EC1">
        <w:t>na tillåter således att medlemsstaten inom detta tidsintervall väljer lämplig tidpunkt för utbetalning. Vidare konstateras i promemorian att riksdagen såväl bifallit regeringens förslag om förskjutning av utbetalningstidpunkten för arealersät</w:t>
      </w:r>
      <w:r w:rsidRPr="001B4EC1">
        <w:t>t</w:t>
      </w:r>
      <w:r w:rsidRPr="001B4EC1">
        <w:t>ning som att riksdagen på eget initiativ beslutat om sådana åtgärder. I pr</w:t>
      </w:r>
      <w:r w:rsidRPr="001B4EC1">
        <w:t>o</w:t>
      </w:r>
      <w:r w:rsidRPr="001B4EC1">
        <w:t>memorian anförs också att senareläggning av en betalning får anses ingå i de befogenheter som regeringen har. Mot denna bakgrund och mot bakgrund av att transferering av detta slag skall avräkna</w:t>
      </w:r>
      <w:r w:rsidRPr="001B4EC1">
        <w:t>s mot anslag på kassamässig grund enligt 10 § budgetlagen anser Regeringskansliet att de förskjutningar av b</w:t>
      </w:r>
      <w:r w:rsidRPr="001B4EC1">
        <w:t>e</w:t>
      </w:r>
      <w:r w:rsidRPr="001B4EC1">
        <w:t>talningar och därmed också redovisning av arealersättning som förekommit är förenliga med såväl bu</w:t>
      </w:r>
      <w:r w:rsidRPr="001B4EC1">
        <w:t>d</w:t>
      </w:r>
      <w:r w:rsidRPr="001B4EC1">
        <w:t>getlagen som EG:s regler.</w:t>
      </w:r>
    </w:p>
    <w:p w:rsidR="00252869" w:rsidRPr="001B4EC1" w:rsidRDefault="00252869">
      <w:pPr>
        <w:pStyle w:val="Normaltindrag"/>
      </w:pPr>
      <w:r w:rsidRPr="001B4EC1">
        <w:t>I promemorian lämnas en redogörelse för dels hur ofta det under innev</w:t>
      </w:r>
      <w:r w:rsidRPr="001B4EC1">
        <w:t>a</w:t>
      </w:r>
      <w:r w:rsidRPr="001B4EC1">
        <w:t>rande mandatperiod har förekommit att utgifter senarelagts för att begränsa det aktuella årets medelsanvändande, dels en beräkning av statsbudgetens utfall under den innevarande mandatperioden givet att vissa i granskning</w:t>
      </w:r>
      <w:r w:rsidRPr="001B4EC1">
        <w:t>s</w:t>
      </w:r>
      <w:r w:rsidRPr="001B4EC1">
        <w:t>ärendet nämnda åtgärder inte hade vidtagits. Sammantaget har enligt prom</w:t>
      </w:r>
      <w:r w:rsidRPr="001B4EC1">
        <w:t>e</w:t>
      </w:r>
      <w:r w:rsidRPr="001B4EC1">
        <w:t>morian besluten om utgiftsförskjutningar under mandatperioden inneburit att de saldopåverkade utgifterna minskat med 4 miljarder</w:t>
      </w:r>
      <w:r w:rsidRPr="001B4EC1">
        <w:rPr>
          <w:snapToGrid w:val="0"/>
        </w:rPr>
        <w:t xml:space="preserve"> kronor</w:t>
      </w:r>
      <w:r w:rsidRPr="001B4EC1">
        <w:t xml:space="preserve"> 2003 i förhå</w:t>
      </w:r>
      <w:r w:rsidRPr="001B4EC1">
        <w:t>l</w:t>
      </w:r>
      <w:r w:rsidRPr="001B4EC1">
        <w:t>lande till utgifterna om sådana åtgärder inte hade vidtagits. Netto</w:t>
      </w:r>
      <w:r w:rsidRPr="001B4EC1">
        <w:t>budgetering påve</w:t>
      </w:r>
      <w:r w:rsidRPr="001B4EC1">
        <w:t>r</w:t>
      </w:r>
      <w:r w:rsidRPr="001B4EC1">
        <w:t>kar enligt promemorian inte statsbudgetens saldo.</w:t>
      </w:r>
    </w:p>
    <w:p w:rsidR="00252869" w:rsidRPr="001B4EC1" w:rsidRDefault="00252869">
      <w:pPr>
        <w:pStyle w:val="Normaltindrag"/>
      </w:pPr>
      <w:r w:rsidRPr="001B4EC1">
        <w:t>I en sammanfattande bedömning anförs i promemorian att granskningsa</w:t>
      </w:r>
      <w:r w:rsidRPr="001B4EC1">
        <w:t>n</w:t>
      </w:r>
      <w:r w:rsidRPr="001B4EC1">
        <w:t>mälan i de flesta fall avser ärenden där regeringen förelagt riksdagen lagfö</w:t>
      </w:r>
      <w:r w:rsidRPr="001B4EC1">
        <w:t>r</w:t>
      </w:r>
      <w:r w:rsidRPr="001B4EC1">
        <w:t>slag, förslag till statsbudget eller förslag till riktlinjer (utgiftstaket), och i samtliga fall har regeringen tydligt redogjort för förslagen med angivande av skälen för dessa.</w:t>
      </w:r>
    </w:p>
    <w:p w:rsidR="00252869" w:rsidRPr="001B4EC1" w:rsidRDefault="00252869">
      <w:pPr>
        <w:pStyle w:val="Rubrik4"/>
        <w:rPr>
          <w:noProof w:val="0"/>
        </w:rPr>
      </w:pPr>
      <w:bookmarkStart w:id="80" w:name="_Toc72648511"/>
      <w:r w:rsidRPr="001B4EC1">
        <w:rPr>
          <w:noProof w:val="0"/>
        </w:rPr>
        <w:t>Utfrågning med finansminister Bosse Ringholm</w:t>
      </w:r>
      <w:bookmarkEnd w:id="80"/>
    </w:p>
    <w:p w:rsidR="00252869" w:rsidRPr="001B4EC1" w:rsidRDefault="00252869">
      <w:r w:rsidRPr="001B4EC1">
        <w:t xml:space="preserve">Utskottet har den 13 april 2004 hållit en offentlig utfrågning i ärendet med finansminister Bosse Ringholm, </w:t>
      </w:r>
      <w:r w:rsidRPr="001B4EC1">
        <w:rPr>
          <w:i/>
        </w:rPr>
        <w:t>bilaga B7</w:t>
      </w:r>
      <w:r w:rsidRPr="001B4EC1">
        <w:t>. Han avvisade med hänvisning till Regeringskansliets tidigare framförda synpunkter den kritik som förs fram i granskningsanmälan. Vad gäller förekomsten av nettobudgetering och de exempel som räknas upp i granskningsanmälan underströk Bosse Ringholm att regeringen i dessa fall har förelagt riksdagen lagförslag och att riksdagen har fattat beslut. Detta innebär att särskilda lagar kommer att gälla på vissa områden som avviker från de generella bestämmelser som finns i budgetl</w:t>
      </w:r>
      <w:r w:rsidRPr="001B4EC1">
        <w:t>a</w:t>
      </w:r>
      <w:r w:rsidRPr="001B4EC1">
        <w:t>gen. I allmänhet har r</w:t>
      </w:r>
      <w:r w:rsidRPr="001B4EC1">
        <w:t>egeringen i de här sammanhangen inte föreslagit att utgiftstaken skall justeras, och riksdagen har inte heller funnit skäl att göra det. Regeringen har i propositioner tydligt redogjort för förslagen och skälen för regeringens förslag, varefter riksdagen på sedvanligt sätt har berett äre</w:t>
      </w:r>
      <w:r w:rsidRPr="001B4EC1">
        <w:t>n</w:t>
      </w:r>
      <w:r w:rsidRPr="001B4EC1">
        <w:t>dena och fattat beslut. Enligt Bosse Ringholms uppfattning har regeringen därmed fullgjort de skyldigheter den har i förhållande till riksdagen. Vad gäller förskjutning av betalningar i tiden avseende utbetalning av EU-mede</w:t>
      </w:r>
      <w:r w:rsidRPr="001B4EC1">
        <w:t>l till jordbruket uppgav Bosse Ringholm att regeringen vid ett tillfälle själv beslutat om en senareläggning, medan det i övrigt är riksdagen som på eget initiativ har beslutat om tidigareläggning eller regeringen som i tilläggsbudget har föreslagit att en tidigareläggning skulle ske. EU:s regler för arealersät</w:t>
      </w:r>
      <w:r w:rsidRPr="001B4EC1">
        <w:t>t</w:t>
      </w:r>
      <w:r w:rsidRPr="001B4EC1">
        <w:t>ning medger att medlemsstaterna väljer tidpunkt för utbetalning mellan n</w:t>
      </w:r>
      <w:r w:rsidRPr="001B4EC1">
        <w:t>o</w:t>
      </w:r>
      <w:r w:rsidRPr="001B4EC1">
        <w:t>vember och januari. Bosse Ringholm menade att regeringen har förfarit helt ko</w:t>
      </w:r>
      <w:r w:rsidRPr="001B4EC1">
        <w:t>r</w:t>
      </w:r>
      <w:r w:rsidRPr="001B4EC1">
        <w:t>rekt när det gäller beslut och förslag till riks</w:t>
      </w:r>
      <w:r w:rsidRPr="001B4EC1">
        <w:t>dagen.</w:t>
      </w:r>
    </w:p>
    <w:p w:rsidR="00252869" w:rsidRPr="001B4EC1" w:rsidRDefault="00252869">
      <w:pPr>
        <w:pStyle w:val="Normaltindrag"/>
      </w:pPr>
      <w:r w:rsidRPr="001B4EC1">
        <w:t>Bosse Ringholm ville också erinra om att finansutskottet i höstas höll en offentlig utfrågning om budgetlagen och dess tillämpning, då bl.a. den typ av frågor som tas upp i granskningsanmälan diskuterades: bruttoredovisning, tekniska justeringar och kreditering av skattekonton. Finansutskottets uppfat</w:t>
      </w:r>
      <w:r w:rsidRPr="001B4EC1">
        <w:t>t</w:t>
      </w:r>
      <w:r w:rsidRPr="001B4EC1">
        <w:t>ning var då att budgetlagen har fungerat mycket väl, och utskottet konstater</w:t>
      </w:r>
      <w:r w:rsidRPr="001B4EC1">
        <w:t>a</w:t>
      </w:r>
      <w:r w:rsidRPr="001B4EC1">
        <w:t>de också att lagens tillämpning är något som formas successivt genom de beslut som riksdagen fattar.</w:t>
      </w:r>
    </w:p>
    <w:p w:rsidR="00252869" w:rsidRPr="001B4EC1" w:rsidRDefault="00252869">
      <w:pPr>
        <w:pStyle w:val="Normaltindrag"/>
      </w:pPr>
      <w:r w:rsidRPr="001B4EC1">
        <w:t>Vad gäller åtgärder som regeringen vidtar för att klara utgiftstaket, men som inte i sig förändrar utgifterna för staten, framhöll Bosse Ringholm att budgeten består av både utgifter och inkomster, och utgiftstaket är reglerat på utgiftssidan medan saldomålet finns på inkomstsidan. De olika förslag som regeringen har lagt till riks</w:t>
      </w:r>
      <w:r w:rsidRPr="001B4EC1">
        <w:t>dagen, och som riksdagen har fastställt, när det gäller anställningsstöd och andra aktiviteter och som påverkar inkomstsidan har också en påverkan på saldot, varför regeringen är angelägen om att inte bara klara utgiftstaket utan också klara saldomålet. Det avgörande är den samlade ekonomin. Regeringen gör hela tiden en sammanvägning av både inkomst- och utgiftssidan, och den redovisar kontinuerligt för riksdagen hur den lever upp till målen på båda sidorna.</w:t>
      </w:r>
    </w:p>
    <w:p w:rsidR="00252869" w:rsidRPr="001B4EC1" w:rsidRDefault="00252869">
      <w:pPr>
        <w:pStyle w:val="Normaltindrag"/>
      </w:pPr>
      <w:r w:rsidRPr="001B4EC1">
        <w:t>Vad gäller eventuella målkonflikter i budgetlagen</w:t>
      </w:r>
      <w:r w:rsidRPr="001B4EC1">
        <w:t xml:space="preserve"> uppgav Bosse Ringholm att det snarare handlar om praktiska konsekvenser och att man alltid måste göra avvägningar hur man skall stimulera viss typ av konsumtion.</w:t>
      </w:r>
    </w:p>
    <w:p w:rsidR="00252869" w:rsidRPr="001B4EC1" w:rsidRDefault="00252869">
      <w:pPr>
        <w:pStyle w:val="Rubrik3"/>
        <w:rPr>
          <w:noProof w:val="0"/>
        </w:rPr>
      </w:pPr>
      <w:bookmarkStart w:id="81" w:name="_Toc72648512"/>
      <w:r w:rsidRPr="001B4EC1">
        <w:rPr>
          <w:noProof w:val="0"/>
        </w:rPr>
        <w:t>Utskottets ställningstagande</w:t>
      </w:r>
      <w:bookmarkEnd w:id="81"/>
    </w:p>
    <w:p w:rsidR="00252869" w:rsidRPr="001B4EC1" w:rsidRDefault="00252869">
      <w:r w:rsidRPr="001B4EC1">
        <w:t>Konstitutionsutskottet kan konstatera att regeringen vid olika tillfällen fra</w:t>
      </w:r>
      <w:r w:rsidRPr="001B4EC1">
        <w:t>m</w:t>
      </w:r>
      <w:r w:rsidRPr="001B4EC1">
        <w:t>lagt förslag för riksdagen som inneburit avvikelse från budgetlagen, och att riksdagen sedan har stiftat lag i enlighet med regeringens förslag. Det finns ur konstitutionell synvinkel enligt utskottets mening inget att erinra mot rege</w:t>
      </w:r>
      <w:r w:rsidRPr="001B4EC1">
        <w:t>r</w:t>
      </w:r>
      <w:r w:rsidRPr="001B4EC1">
        <w:t>ingens förf</w:t>
      </w:r>
      <w:r w:rsidRPr="001B4EC1">
        <w:t>a</w:t>
      </w:r>
      <w:r w:rsidRPr="001B4EC1">
        <w:t>rande.</w:t>
      </w:r>
    </w:p>
    <w:p w:rsidR="00252869" w:rsidRPr="001B4EC1" w:rsidRDefault="00252869">
      <w:pPr>
        <w:pStyle w:val="Normaltindrag"/>
      </w:pPr>
      <w:r w:rsidRPr="001B4EC1">
        <w:t>Granskningen föranleder i övrigt inget uttalande från u</w:t>
      </w:r>
      <w:r w:rsidRPr="001B4EC1">
        <w:t>t</w:t>
      </w:r>
      <w:r w:rsidRPr="001B4EC1">
        <w:t>skottets sida.</w:t>
      </w:r>
    </w:p>
    <w:p w:rsidR="00252869" w:rsidRPr="001B4EC1" w:rsidRDefault="00252869">
      <w:pPr>
        <w:pStyle w:val="Rubrik2"/>
      </w:pPr>
      <w:bookmarkStart w:id="82" w:name="_Toc72648513"/>
      <w:r w:rsidRPr="001B4EC1">
        <w:t>2.2 Senareläggning av EU-avgiften till nästa budgetår</w:t>
      </w:r>
      <w:bookmarkEnd w:id="82"/>
    </w:p>
    <w:p w:rsidR="00252869" w:rsidRPr="001B4EC1" w:rsidRDefault="00252869">
      <w:pPr>
        <w:pStyle w:val="Rubrik3"/>
        <w:rPr>
          <w:noProof w:val="0"/>
        </w:rPr>
      </w:pPr>
      <w:bookmarkStart w:id="83" w:name="_Toc72648514"/>
      <w:r w:rsidRPr="001B4EC1">
        <w:rPr>
          <w:noProof w:val="0"/>
        </w:rPr>
        <w:t>Anmälan</w:t>
      </w:r>
      <w:bookmarkEnd w:id="83"/>
    </w:p>
    <w:p w:rsidR="00252869" w:rsidRPr="001B4EC1" w:rsidRDefault="00252869">
      <w:r w:rsidRPr="001B4EC1">
        <w:t xml:space="preserve">I en anmälan till konstitutionsutskottet den 9 december 2003, </w:t>
      </w:r>
      <w:r w:rsidRPr="001B4EC1">
        <w:rPr>
          <w:i/>
        </w:rPr>
        <w:t>bilaga A2.2.1</w:t>
      </w:r>
      <w:r w:rsidRPr="001B4EC1">
        <w:t>,  begärs att konstitutionsutskottet granskar senareläggningen av en viss del av EU-avgiften för 2003 till nästa budgetår. Enligt anmälan har finansminister Bosse Ringholm och regeringen beslutat att medvetet senarelägga en viss del av Sveriges andel av EU-avgiften för 2003 till efter årsskiftet i syfte att klara utgiftstaket för 2003. I anmälan anförs att konstitutionsutskottet bör granska agerandet utifrån tre aspekter: om hanteringen står i överensstämmelse med de regler som Sverige som medl</w:t>
      </w:r>
      <w:r w:rsidRPr="001B4EC1">
        <w:t>emsstat i EU förbundit sig att respektera, hur förfarandet står i överensstämmelse med riksdagens beslut om utgiftstak för 2003 vari de av riksdagen anvisade utgifterna för hela EU-avgiften ingår och hur ett regeringsbeslut som ådrar Sverige böter överensstämmer med våra förfat</w:t>
      </w:r>
      <w:r w:rsidRPr="001B4EC1">
        <w:t>t</w:t>
      </w:r>
      <w:r w:rsidRPr="001B4EC1">
        <w:t>ningar.</w:t>
      </w:r>
    </w:p>
    <w:p w:rsidR="00252869" w:rsidRPr="001B4EC1" w:rsidRDefault="00252869">
      <w:pPr>
        <w:pStyle w:val="Rubrik3"/>
        <w:rPr>
          <w:noProof w:val="0"/>
        </w:rPr>
      </w:pPr>
      <w:bookmarkStart w:id="84" w:name="_Toc72648515"/>
      <w:r w:rsidRPr="001B4EC1">
        <w:rPr>
          <w:noProof w:val="0"/>
        </w:rPr>
        <w:t>Bakgrund</w:t>
      </w:r>
      <w:bookmarkEnd w:id="84"/>
    </w:p>
    <w:p w:rsidR="00252869" w:rsidRPr="001B4EC1" w:rsidRDefault="00252869">
      <w:pPr>
        <w:pStyle w:val="R4"/>
      </w:pPr>
      <w:r w:rsidRPr="001B4EC1">
        <w:t>Regeringsbeslut den 27 november 2003 om förskjutning av avgiften till EU</w:t>
      </w:r>
    </w:p>
    <w:p w:rsidR="00252869" w:rsidRPr="001B4EC1" w:rsidRDefault="00252869">
      <w:pPr>
        <w:rPr>
          <w:snapToGrid w:val="0"/>
        </w:rPr>
      </w:pPr>
      <w:r w:rsidRPr="001B4EC1">
        <w:rPr>
          <w:snapToGrid w:val="0"/>
        </w:rPr>
        <w:t>Den 27 november 2003 (dnr Fi2003/6132) beslutade regeringen att den del av Sveriges avgift till EG:s budget som avser december 2003 inte skall föras över från Kammarkollegiet och Riksskatteverket till Riksgäldskontoret första arbetsdagen i december månad. Överföringen skall i stället ske i samband med betalningen i januari 2004, då Riksgäldskontoret senast skall överföra aktuellt belopp till Europeiska kommissionens konto i Riksbanken. Som skäl för sitt beslut angav regeringen säkerställande av efterlevnad</w:t>
      </w:r>
      <w:r w:rsidRPr="001B4EC1">
        <w:rPr>
          <w:snapToGrid w:val="0"/>
        </w:rPr>
        <w:t>en av utgiftstaket för 2003. Regeringen bemyndigade i beslutet chefen för Finansdepartementet att besluta närmare om tidpunkt och belopp som skulle överföras till Europ</w:t>
      </w:r>
      <w:r w:rsidRPr="001B4EC1">
        <w:rPr>
          <w:snapToGrid w:val="0"/>
        </w:rPr>
        <w:t>e</w:t>
      </w:r>
      <w:r w:rsidRPr="001B4EC1">
        <w:rPr>
          <w:snapToGrid w:val="0"/>
        </w:rPr>
        <w:t>iska kommissionens konto i Riksbanken.</w:t>
      </w:r>
    </w:p>
    <w:p w:rsidR="00252869" w:rsidRPr="001B4EC1" w:rsidRDefault="00252869">
      <w:pPr>
        <w:pStyle w:val="Normaltindrag"/>
      </w:pPr>
      <w:r w:rsidRPr="001B4EC1">
        <w:rPr>
          <w:snapToGrid w:val="0"/>
        </w:rPr>
        <w:t>Beloppet som skulle betalats till EU i december 2003 var 3,2 miljarder kronor. Med stöd av ovan nämnda bemyndigande beslutade finansministern att 0,7 miljarder kronor av decemberavgiften skulle betalas den 19 december 2003. Resterande delen av decemberavgiften, 2,5 miljarder kronor, betalades den 2 janu</w:t>
      </w:r>
      <w:r w:rsidRPr="001B4EC1">
        <w:rPr>
          <w:snapToGrid w:val="0"/>
        </w:rPr>
        <w:t>ari 2004.</w:t>
      </w:r>
    </w:p>
    <w:p w:rsidR="00252869" w:rsidRPr="001B4EC1" w:rsidRDefault="00252869">
      <w:pPr>
        <w:pStyle w:val="R4"/>
      </w:pPr>
      <w:r w:rsidRPr="001B4EC1">
        <w:rPr>
          <w:snapToGrid w:val="0"/>
        </w:rPr>
        <w:t>EU</w:t>
      </w:r>
      <w:r w:rsidRPr="001B4EC1">
        <w:t>-avgiften på statsbudgeten</w:t>
      </w:r>
    </w:p>
    <w:p w:rsidR="00252869" w:rsidRPr="001B4EC1" w:rsidRDefault="00252869">
      <w:r w:rsidRPr="001B4EC1">
        <w:rPr>
          <w:snapToGrid w:val="0"/>
        </w:rPr>
        <w:t xml:space="preserve">Enligt den gällande strukturen omfattar utgiftstaket för staten dels utgifterna på statsbudgeten exklusive statsskuldsräntor (utgiftsområde 1–25 samt 27), dels utgifterna för ålderspensionssystemet vid sidan av statsbudgeten samt en budgeteringsmarginal. </w:t>
      </w:r>
      <w:r w:rsidRPr="001B4EC1">
        <w:t xml:space="preserve">Utgiftsområde 27 omfattar avgiften till EG och består av endast ett anslag (93:1 </w:t>
      </w:r>
      <w:r w:rsidRPr="001B4EC1">
        <w:rPr>
          <w:i/>
        </w:rPr>
        <w:t>Avgiften till Europeiska gemenskapen</w:t>
      </w:r>
      <w:r w:rsidRPr="001B4EC1">
        <w:t>). Utgifterna utgörs av Sveriges betalningar till kommissionen avseende EU-budgeten, inklusive eventuella korrigeringar avseende tidigare år. Avgiften kan förän</w:t>
      </w:r>
      <w:r w:rsidRPr="001B4EC1">
        <w:t>d</w:t>
      </w:r>
      <w:r w:rsidRPr="001B4EC1">
        <w:t xml:space="preserve">ras under löpande budgetår till följd av </w:t>
      </w:r>
      <w:r w:rsidRPr="001B4EC1">
        <w:rPr>
          <w:snapToGrid w:val="0"/>
        </w:rPr>
        <w:t>faktisk uppbörd av tullar och impor</w:t>
      </w:r>
      <w:r w:rsidRPr="001B4EC1">
        <w:rPr>
          <w:snapToGrid w:val="0"/>
        </w:rPr>
        <w:t>t</w:t>
      </w:r>
      <w:r w:rsidRPr="001B4EC1">
        <w:rPr>
          <w:snapToGrid w:val="0"/>
        </w:rPr>
        <w:t>avgifter, utfallet av EU-budgeten tidigare år, EU:s tilläggs- och ändringsbu</w:t>
      </w:r>
      <w:r w:rsidRPr="001B4EC1">
        <w:rPr>
          <w:snapToGrid w:val="0"/>
        </w:rPr>
        <w:t>d</w:t>
      </w:r>
      <w:r w:rsidRPr="001B4EC1">
        <w:rPr>
          <w:snapToGrid w:val="0"/>
        </w:rPr>
        <w:t>getar, valutakursförändringar samt andra korrigeringar.</w:t>
      </w:r>
      <w:r w:rsidRPr="001B4EC1">
        <w:rPr>
          <w:rStyle w:val="Fotnotsreferens"/>
          <w:snapToGrid w:val="0"/>
        </w:rPr>
        <w:footnoteReference w:id="52"/>
      </w:r>
      <w:r w:rsidRPr="001B4EC1">
        <w:rPr>
          <w:snapToGrid w:val="0"/>
        </w:rPr>
        <w:t xml:space="preserve"> </w:t>
      </w:r>
      <w:r w:rsidRPr="001B4EC1">
        <w:t>För det i grans</w:t>
      </w:r>
      <w:r w:rsidRPr="001B4EC1">
        <w:t>k</w:t>
      </w:r>
      <w:r w:rsidRPr="001B4EC1">
        <w:t xml:space="preserve">ningsanmälan aktuella budgetåret, 2003, anvisade riksdagen under anslaget 93:1 </w:t>
      </w:r>
      <w:r w:rsidRPr="001B4EC1">
        <w:rPr>
          <w:i/>
        </w:rPr>
        <w:t>Avgiften till Europeiska gemenskapen</w:t>
      </w:r>
      <w:r w:rsidRPr="001B4EC1">
        <w:t xml:space="preserve"> ett ramanslag om 23 695 miljoner kronor för avgiften till EG. Vidare bemyndigade riksdagen regeringen att ikläda staten de åtaganden som följer av EU-budgeten för budgetåret 2003 avseende åtagandebemyndiganden (prop. 2002/03:1 utg.omr. 27, bet. 2002/03:FiU5, rskr. 2002/03:90).</w:t>
      </w:r>
    </w:p>
    <w:p w:rsidR="00252869" w:rsidRPr="001B4EC1" w:rsidRDefault="00252869">
      <w:pPr>
        <w:pStyle w:val="R4"/>
      </w:pPr>
      <w:r w:rsidRPr="001B4EC1">
        <w:t>EG:s rättsordning och förhållandet mellan EG-rätt och nationell rätt</w:t>
      </w:r>
    </w:p>
    <w:p w:rsidR="00252869" w:rsidRPr="001B4EC1" w:rsidRDefault="00252869">
      <w:r w:rsidRPr="001B4EC1">
        <w:t>Fördragen utgör basen för EG-rätten och den reglering som fördragen inn</w:t>
      </w:r>
      <w:r w:rsidRPr="001B4EC1">
        <w:t>e</w:t>
      </w:r>
      <w:r w:rsidRPr="001B4EC1">
        <w:t>håller brukar betecknas primärrätt. De rättsakter som EG:s institutioner, främst rådet, utfärdar med stöd av fördragens bemyndiganden betecknas sekundärrätt. Hit hör förordningar, direktiv, beslut, rekommendationer och yttranden. Förordningar är omedelbart bindande inom medlemsstaterna; de gäller framför dessas egna författningar oberoende av författningarnas ko</w:t>
      </w:r>
      <w:r w:rsidRPr="001B4EC1">
        <w:t>n</w:t>
      </w:r>
      <w:r w:rsidRPr="001B4EC1">
        <w:t>stitutionella karaktär. De kan åberopas inför medlemsstaternas domstolar och grundar således direkt rättigheter och skyldigheter för företag och e</w:t>
      </w:r>
      <w:r w:rsidRPr="001B4EC1">
        <w:t>nskilda. Direktiven har en mera folkrättslig karaktär. Medlemsstaterna är skyldiga att följa dem men får själva välja former för genomförande. Direktiven är eme</w:t>
      </w:r>
      <w:r w:rsidRPr="001B4EC1">
        <w:t>l</w:t>
      </w:r>
      <w:r w:rsidRPr="001B4EC1">
        <w:t>lertid bindande i så måtto att, om en medlemsstat underlåter att genomföra dem, dess medborgare kan åberopa dem gentemot medlemsstaten. Ett beslut är i likhet med förordningar bindande för dem det riktar sig till. Det kan vara adresserat till en eller flera medlemsstater, till enskilda personer och till för</w:t>
      </w:r>
      <w:r w:rsidRPr="001B4EC1">
        <w:t>e</w:t>
      </w:r>
      <w:r w:rsidRPr="001B4EC1">
        <w:t>tag. Det har till skillnad från förordning</w:t>
      </w:r>
      <w:r w:rsidRPr="001B4EC1">
        <w:t>ar en individuell karaktär; det har ett begränsat antal, individuellt bestämda adressater. Rekommendationer och yttranden har inga direkta rättsverkningar; de är meningsyttringar.</w:t>
      </w:r>
    </w:p>
    <w:p w:rsidR="00252869" w:rsidRPr="001B4EC1" w:rsidRDefault="00252869">
      <w:pPr>
        <w:pStyle w:val="Normaltindrag"/>
      </w:pPr>
      <w:r w:rsidRPr="001B4EC1">
        <w:t>Summan av primär- och sekundärrätt utgör en rättsordning som på de sa</w:t>
      </w:r>
      <w:r w:rsidRPr="001B4EC1">
        <w:t>k</w:t>
      </w:r>
      <w:r w:rsidRPr="001B4EC1">
        <w:t>områden den reglerar principiellt är överordnad medlemsstaternas interna rättsregler. EG-domstolen har vid flera tillfällen slagit fast gemenskapsrättens företräde framför nationell rätt.</w:t>
      </w:r>
      <w:r w:rsidRPr="001B4EC1">
        <w:rPr>
          <w:rStyle w:val="Fotnotsreferens"/>
        </w:rPr>
        <w:footnoteReference w:id="53"/>
      </w:r>
    </w:p>
    <w:p w:rsidR="00252869" w:rsidRPr="001B4EC1" w:rsidRDefault="00252869">
      <w:pPr>
        <w:pStyle w:val="R4"/>
      </w:pPr>
      <w:r w:rsidRPr="001B4EC1">
        <w:t xml:space="preserve">Regler för medlemsstaternas betalning av </w:t>
      </w:r>
      <w:r w:rsidRPr="001B4EC1">
        <w:rPr>
          <w:snapToGrid w:val="0"/>
        </w:rPr>
        <w:t>EU</w:t>
      </w:r>
      <w:r w:rsidRPr="001B4EC1">
        <w:t>-avgiften</w:t>
      </w:r>
    </w:p>
    <w:p w:rsidR="00252869" w:rsidRPr="001B4EC1" w:rsidRDefault="00252869">
      <w:r w:rsidRPr="001B4EC1">
        <w:t>Europeiska gemenskapens allmänna budget upprättas med stöd av artikel 268 i EG-fördraget. Finansieringen av budgeten med s.k. egna medel, dvs. avgi</w:t>
      </w:r>
      <w:r w:rsidRPr="001B4EC1">
        <w:t>f</w:t>
      </w:r>
      <w:r w:rsidRPr="001B4EC1">
        <w:t xml:space="preserve">ter från medlemsstaterna, fastställs i fördragets artikel 269 och i rådets beslut om gemenskapernas egna medel (2000/597/EG, Euratom). Uppbörden av medlemsavgifterna är delegerad till respektive medlemsland. Enligt rådets beslut om egna medel (artikel 8.1) skall medlen uppbäras av medlemsstaterna enligt deras respektive nationella lagar och andra författningar, vilka vid behov skall anpassas för att uppfylla gemenskapsbestämmelsernas krav. Medlemsstaterna skall ställa medlen till kommissionens förfogande. </w:t>
      </w:r>
      <w:r w:rsidRPr="001B4EC1">
        <w:t>Beta</w:t>
      </w:r>
      <w:r w:rsidRPr="001B4EC1">
        <w:t>l</w:t>
      </w:r>
      <w:r w:rsidRPr="001B4EC1">
        <w:t>ningen görs månadsvis till Europeiska kommissionens konto i respektive centralbank.</w:t>
      </w:r>
    </w:p>
    <w:p w:rsidR="00252869" w:rsidRPr="001B4EC1" w:rsidRDefault="00252869">
      <w:pPr>
        <w:pStyle w:val="Normaltindrag"/>
      </w:pPr>
      <w:r w:rsidRPr="001B4EC1">
        <w:t>Betalningarna till kommissionen görs vanligen i tid. Enligt rådets föror</w:t>
      </w:r>
      <w:r w:rsidRPr="001B4EC1">
        <w:t>d</w:t>
      </w:r>
      <w:r w:rsidRPr="001B4EC1">
        <w:t>ning (EG, Euratom) nr 1150/2000 om genomförande av beslutet om geme</w:t>
      </w:r>
      <w:r w:rsidRPr="001B4EC1">
        <w:t>n</w:t>
      </w:r>
      <w:r w:rsidRPr="001B4EC1">
        <w:t>skapernas egna medel (artikel 11) leder varje försenad kreditering av ko</w:t>
      </w:r>
      <w:r w:rsidRPr="001B4EC1">
        <w:t>m</w:t>
      </w:r>
      <w:r w:rsidRPr="001B4EC1">
        <w:t>missionens konto till att en dröjsmålsränta tas ut. EG-domstolen har vid flera tillfällen dömt till kommissionens fördel när medlemsländerna inte ansett sig skyldiga att betala dröjsmålsränta vid för sena inbetalningar eller när de un</w:t>
      </w:r>
      <w:r w:rsidRPr="001B4EC1">
        <w:t>d</w:t>
      </w:r>
      <w:r w:rsidRPr="001B4EC1">
        <w:t>vikit att ta upp varor i avgiftsunderlaget som borde funnits där.</w:t>
      </w:r>
      <w:r w:rsidRPr="001B4EC1">
        <w:rPr>
          <w:rStyle w:val="Fotnotsreferens"/>
        </w:rPr>
        <w:footnoteReference w:id="54"/>
      </w:r>
    </w:p>
    <w:p w:rsidR="00252869" w:rsidRPr="001B4EC1" w:rsidRDefault="00252869">
      <w:pPr>
        <w:pStyle w:val="Normaltindrag"/>
        <w:rPr>
          <w:snapToGrid w:val="0"/>
        </w:rPr>
      </w:pPr>
      <w:r w:rsidRPr="001B4EC1">
        <w:rPr>
          <w:snapToGrid w:val="0"/>
        </w:rPr>
        <w:t>Enligt nuvarande regler tas dröjsmålsräntan ut på grundval av den gällande kortfristiga räntesatsen på den berörda medlemsstatens penningmarknad. Denna räntesats, som i regel motsvarar räntan på statsobligationer, ökas sedan med två procentenheter i första skedet, för att sedan ökas med 0,25 procen</w:t>
      </w:r>
      <w:r w:rsidRPr="001B4EC1">
        <w:rPr>
          <w:snapToGrid w:val="0"/>
        </w:rPr>
        <w:t>t</w:t>
      </w:r>
      <w:r w:rsidRPr="001B4EC1">
        <w:rPr>
          <w:snapToGrid w:val="0"/>
        </w:rPr>
        <w:t>enheter per ytterligare månad av försening, varvid den förhöjda räntesatsen tillämpas på hela förseningsperioden.</w:t>
      </w:r>
      <w:r w:rsidRPr="001B4EC1">
        <w:rPr>
          <w:rStyle w:val="Fotnotsreferens"/>
          <w:snapToGrid w:val="0"/>
        </w:rPr>
        <w:footnoteReference w:id="55"/>
      </w:r>
    </w:p>
    <w:p w:rsidR="00252869" w:rsidRPr="001B4EC1" w:rsidRDefault="00252869">
      <w:pPr>
        <w:pStyle w:val="Normaltindrag"/>
        <w:rPr>
          <w:snapToGrid w:val="0"/>
        </w:rPr>
      </w:pPr>
      <w:r w:rsidRPr="001B4EC1">
        <w:rPr>
          <w:snapToGrid w:val="0"/>
        </w:rPr>
        <w:t>Dröjsmålsräntan för den försening av EU-avgiften som avses i grans</w:t>
      </w:r>
      <w:r w:rsidRPr="001B4EC1">
        <w:rPr>
          <w:snapToGrid w:val="0"/>
        </w:rPr>
        <w:t>k</w:t>
      </w:r>
      <w:r w:rsidRPr="001B4EC1">
        <w:rPr>
          <w:snapToGrid w:val="0"/>
        </w:rPr>
        <w:t>ningsanmälan uppgick till ca 12,7 miljoner kronor.</w:t>
      </w:r>
    </w:p>
    <w:p w:rsidR="00252869" w:rsidRPr="001B4EC1" w:rsidRDefault="00252869">
      <w:pPr>
        <w:pStyle w:val="R4"/>
      </w:pPr>
      <w:r w:rsidRPr="001B4EC1">
        <w:t>Finansmakten i regeringsformen</w:t>
      </w:r>
    </w:p>
    <w:p w:rsidR="00252869" w:rsidRPr="001B4EC1" w:rsidRDefault="00252869">
      <w:r w:rsidRPr="001B4EC1">
        <w:t xml:space="preserve">Enligt 9 kap. 8 § regeringsformen (RF) står statens medel till regeringens disposition. </w:t>
      </w:r>
      <w:r w:rsidRPr="001B4EC1">
        <w:rPr>
          <w:snapToGrid w:val="0"/>
        </w:rPr>
        <w:t>Enligt 9 kap. 2 § RF får regeringen inte använda s</w:t>
      </w:r>
      <w:r w:rsidRPr="001B4EC1">
        <w:t>tatens medel på annat sätt än riksdagen har bestämt. Bestämmelsen innebär att varje utgift</w:t>
      </w:r>
      <w:r w:rsidRPr="001B4EC1">
        <w:t>s</w:t>
      </w:r>
      <w:r w:rsidRPr="001B4EC1">
        <w:t xml:space="preserve">anordning av regeringen eller någon annan myndighet måste ha sin grund i ett riksdagsbeslut och följa de villkor för medlens användning som riksdagen har uppställt i sitt beslut (prop. 1973:90 s. 332). </w:t>
      </w:r>
      <w:r w:rsidRPr="001B4EC1">
        <w:rPr>
          <w:spacing w:val="-2"/>
          <w:kern w:val="2"/>
        </w:rPr>
        <w:t>Det är främst genom att anvisa anslag som riksdagen bestämmer hur statens medel skall användas. Statsbu</w:t>
      </w:r>
      <w:r w:rsidRPr="001B4EC1">
        <w:rPr>
          <w:spacing w:val="-2"/>
          <w:kern w:val="2"/>
        </w:rPr>
        <w:t>d</w:t>
      </w:r>
      <w:r w:rsidRPr="001B4EC1">
        <w:rPr>
          <w:spacing w:val="-2"/>
          <w:kern w:val="2"/>
        </w:rPr>
        <w:t>getens anslag utgör därför riksdagens viktigaste instrument för a</w:t>
      </w:r>
      <w:r w:rsidRPr="001B4EC1">
        <w:rPr>
          <w:spacing w:val="-2"/>
          <w:kern w:val="2"/>
        </w:rPr>
        <w:t xml:space="preserve">tt fördela medel till olika ändamål. </w:t>
      </w:r>
    </w:p>
    <w:p w:rsidR="00252869" w:rsidRPr="001B4EC1" w:rsidRDefault="00252869">
      <w:pPr>
        <w:pStyle w:val="R4"/>
      </w:pPr>
      <w:r w:rsidRPr="001B4EC1">
        <w:t>Anslagsutnyttjande och princip för avräkning mot anslag</w:t>
      </w:r>
    </w:p>
    <w:p w:rsidR="00252869" w:rsidRPr="001B4EC1" w:rsidRDefault="00252869">
      <w:r w:rsidRPr="001B4EC1">
        <w:t>Av bestämmelserna i RF följer att regeringen rättsligt sett inte är förpliktigad att använda anslagen i statsbudgeten, utan den har möjlighet att själv under parlamentariskt ansvar avgöra i vad mån de utgifter som anslagen möjliggör skall verkställas (prop. 1973:90 s. 224). En sådan prövningsrätt för regeringen har sin främsta praktiska betydelse i ett läge då det från stabiliseringspolitisk synpunkt blir önskvärt att utan dröjsmål begränsa de statliga utgifterna. Också när det gäller att tillvarata uppkom</w:t>
      </w:r>
      <w:r w:rsidRPr="001B4EC1">
        <w:t xml:space="preserve">mande besparingsmöjligheter är en sådan prövningsrätt av betydelse. Regeringens prövningsrätt kommer också till uttryck i </w:t>
      </w:r>
      <w:r w:rsidRPr="001B4EC1">
        <w:rPr>
          <w:snapToGrid w:val="0"/>
        </w:rPr>
        <w:t xml:space="preserve">lagen </w:t>
      </w:r>
      <w:r w:rsidRPr="001B4EC1">
        <w:t>(1996:1059) om statsbudgeten (budgetlagen). Enligt 8 § i nämnda lag får regeringen besluta att medel på ett anvisat anslag inte skall användas om det är motiverat av särskilda omständigheter i en verksamhet eller av statsfinansiella eller andra samhällsekonomiska skäl.</w:t>
      </w:r>
    </w:p>
    <w:p w:rsidR="00252869" w:rsidRPr="001B4EC1" w:rsidRDefault="00252869">
      <w:r w:rsidRPr="001B4EC1">
        <w:rPr>
          <w:snapToGrid w:val="0"/>
        </w:rPr>
        <w:t>Enligt 10 § budgetlagen skall a</w:t>
      </w:r>
      <w:r w:rsidRPr="001B4EC1">
        <w:t>vräkning mot anslag för transfereringar göras det budgetår då betalning sker, dvs. kassamässig redovisning. Mot övriga anslag skall avräkning göras det budgetår till vilket utgiften hänför sig, dvs. utgiftsmässig redovisning. Utgifter för transfereringar som hänför sig till ett budgetår men som betalas först det efterföljande budgetåret skall alltså avrä</w:t>
      </w:r>
      <w:r w:rsidRPr="001B4EC1">
        <w:t>k</w:t>
      </w:r>
      <w:r w:rsidRPr="001B4EC1">
        <w:t>nas mot anslaget det efterföljande året.</w:t>
      </w:r>
    </w:p>
    <w:p w:rsidR="00252869" w:rsidRPr="001B4EC1" w:rsidRDefault="00252869">
      <w:pPr>
        <w:pStyle w:val="Normaltindrag"/>
        <w:rPr>
          <w:snapToGrid w:val="0"/>
          <w:lang w:eastAsia="sv-SE"/>
        </w:rPr>
      </w:pPr>
      <w:r w:rsidRPr="001B4EC1">
        <w:rPr>
          <w:snapToGrid w:val="0"/>
          <w:lang w:eastAsia="sv-SE"/>
        </w:rPr>
        <w:t>En arbetsgrupp inom Finansdepartementet har arbetat fram konsekvensb</w:t>
      </w:r>
      <w:r w:rsidRPr="001B4EC1">
        <w:rPr>
          <w:snapToGrid w:val="0"/>
          <w:lang w:eastAsia="sv-SE"/>
        </w:rPr>
        <w:t>e</w:t>
      </w:r>
      <w:r w:rsidRPr="001B4EC1">
        <w:rPr>
          <w:snapToGrid w:val="0"/>
          <w:lang w:eastAsia="sv-SE"/>
        </w:rPr>
        <w:t>skrivningar av nya principer för utformning av statsbudgeten. Arbetet, som presenteras i departementspromemorian Nya principer för utformning av statsbudgeten. Konsekvenser för budgetlagen (Ds 2003:49), har bedrivits med målsättningen att jämförelser mellan budgeten och redovisningen skall u</w:t>
      </w:r>
      <w:r w:rsidRPr="001B4EC1">
        <w:rPr>
          <w:snapToGrid w:val="0"/>
          <w:lang w:eastAsia="sv-SE"/>
        </w:rPr>
        <w:t>n</w:t>
      </w:r>
      <w:r w:rsidRPr="001B4EC1">
        <w:rPr>
          <w:snapToGrid w:val="0"/>
          <w:lang w:eastAsia="sv-SE"/>
        </w:rPr>
        <w:t>derlättas och att budgeten på ett tydligare sätt skall ge en samlad och mer heltäckande bild av den statliga ekonomin. De nya principerna innebär bl.a. att statsbudgeten baseras på i huvudsak bokföringsmässiga grunder,</w:t>
      </w:r>
      <w:r w:rsidRPr="001B4EC1">
        <w:rPr>
          <w:snapToGrid w:val="0"/>
          <w:lang w:eastAsia="sv-SE"/>
        </w:rPr>
        <w:t xml:space="preserve"> dvs. redovisningen baseras på kostnader och intäkter. Både avräkning mot anslag för transfereringar och avräkning mot övriga anslag, som i dag alltså sker kassamässigt respektive utgiftsmässigt, skall enligt departementspromemor</w:t>
      </w:r>
      <w:r w:rsidRPr="001B4EC1">
        <w:rPr>
          <w:snapToGrid w:val="0"/>
          <w:lang w:eastAsia="sv-SE"/>
        </w:rPr>
        <w:t>i</w:t>
      </w:r>
      <w:r w:rsidRPr="001B4EC1">
        <w:rPr>
          <w:snapToGrid w:val="0"/>
          <w:lang w:eastAsia="sv-SE"/>
        </w:rPr>
        <w:t>ans förslag således ske bokföringsmässigt. En övergång till bokföringsmäss</w:t>
      </w:r>
      <w:r w:rsidRPr="001B4EC1">
        <w:rPr>
          <w:snapToGrid w:val="0"/>
          <w:lang w:eastAsia="sv-SE"/>
        </w:rPr>
        <w:t>i</w:t>
      </w:r>
      <w:r w:rsidRPr="001B4EC1">
        <w:rPr>
          <w:snapToGrid w:val="0"/>
          <w:lang w:eastAsia="sv-SE"/>
        </w:rPr>
        <w:t>ga grunder innebär att inkomster och utgifter skall periodiseras till det år de är hänförliga till, vilket huvudsakligen betyder det år då verksamheten bedrivits. Redovisningen mot anslag och inkomsttitlar k</w:t>
      </w:r>
      <w:r w:rsidRPr="001B4EC1">
        <w:rPr>
          <w:snapToGrid w:val="0"/>
          <w:lang w:eastAsia="sv-SE"/>
        </w:rPr>
        <w:t>ommer därmed att spegla den genomförda verksamheten i stället för dagens redovisning som enbart an</w:t>
      </w:r>
      <w:r w:rsidRPr="001B4EC1">
        <w:rPr>
          <w:snapToGrid w:val="0"/>
          <w:lang w:eastAsia="sv-SE"/>
        </w:rPr>
        <w:t>s</w:t>
      </w:r>
      <w:r w:rsidRPr="001B4EC1">
        <w:rPr>
          <w:snapToGrid w:val="0"/>
          <w:lang w:eastAsia="sv-SE"/>
        </w:rPr>
        <w:t>peglar ett betalningsflöde. I promemorian föreslås u</w:t>
      </w:r>
      <w:r w:rsidRPr="001B4EC1">
        <w:rPr>
          <w:snapToGrid w:val="0"/>
          <w:lang w:eastAsia="sv-SE"/>
        </w:rPr>
        <w:t>n</w:t>
      </w:r>
      <w:r w:rsidRPr="001B4EC1">
        <w:rPr>
          <w:snapToGrid w:val="0"/>
          <w:lang w:eastAsia="sv-SE"/>
        </w:rPr>
        <w:t>dantag för bl.a. EU-avgiften (s. 134 f.). Denna avgift skall även fortsättningsvis redovisas kas</w:t>
      </w:r>
      <w:r w:rsidRPr="001B4EC1">
        <w:rPr>
          <w:snapToGrid w:val="0"/>
          <w:lang w:eastAsia="sv-SE"/>
        </w:rPr>
        <w:t>s</w:t>
      </w:r>
      <w:r w:rsidRPr="001B4EC1">
        <w:rPr>
          <w:snapToGrid w:val="0"/>
          <w:lang w:eastAsia="sv-SE"/>
        </w:rPr>
        <w:t>a</w:t>
      </w:r>
      <w:r w:rsidRPr="001B4EC1">
        <w:rPr>
          <w:snapToGrid w:val="0"/>
          <w:lang w:eastAsia="sv-SE"/>
        </w:rPr>
        <w:softHyphen/>
        <w:t>mässigt. Som skäl anförs att EU:s budget är kassamässig och att regelverket kring EU-medlen är uppbyggt på kassamässiga grunder. Vidare anförs att möjligheten att förskjuta EU-avgiften skulle upphöra vid en övergång till bokföringsmässiga grunder eftersom redov</w:t>
      </w:r>
      <w:r w:rsidRPr="001B4EC1">
        <w:rPr>
          <w:snapToGrid w:val="0"/>
          <w:lang w:eastAsia="sv-SE"/>
        </w:rPr>
        <w:t>isning mot anslag skall ske det år som avgiften avser.</w:t>
      </w:r>
    </w:p>
    <w:p w:rsidR="00252869" w:rsidRPr="001B4EC1" w:rsidRDefault="00252869">
      <w:pPr>
        <w:pStyle w:val="Normaltindrag"/>
      </w:pPr>
      <w:r w:rsidRPr="001B4EC1">
        <w:rPr>
          <w:snapToGrid w:val="0"/>
          <w:lang w:eastAsia="sv-SE"/>
        </w:rPr>
        <w:t>Departementspromemorian har remitterats. Remisstiden sträcker sig till mitten av april 2004.</w:t>
      </w:r>
    </w:p>
    <w:p w:rsidR="00252869" w:rsidRPr="001B4EC1" w:rsidRDefault="00252869">
      <w:pPr>
        <w:pStyle w:val="R4"/>
      </w:pPr>
      <w:r w:rsidRPr="001B4EC1">
        <w:t>Hög effektivitet och god hushållning i statens verksamhet</w:t>
      </w:r>
    </w:p>
    <w:p w:rsidR="00252869" w:rsidRPr="001B4EC1" w:rsidRDefault="00252869">
      <w:r w:rsidRPr="001B4EC1">
        <w:t>Regeringen är enligt 1 kap. 6 § RF ansvarig inför riksdagen för hur den styr riket. I budgetlagens inledande bestämmelse (1 §) kommer några allmänna krav som riksdagen ställer på regeringens ledning samt genomförande av statens verksamhet till uttryck. Enligt den skall hög effektivitet eftersträvas och god hushållning iakttas i statens verksamhet. Enligt förarbetena (prop. 1995/96:220 s. 20) åsyftas med hög effektivitet att den statliga verksamheten skall bedrivas så att de mål riksdagen har satt upp nås i</w:t>
      </w:r>
      <w:r w:rsidRPr="001B4EC1">
        <w:t xml:space="preserve"> så hög grad som mö</w:t>
      </w:r>
      <w:r w:rsidRPr="001B4EC1">
        <w:t>j</w:t>
      </w:r>
      <w:r w:rsidRPr="001B4EC1">
        <w:t>ligt inom ramen för tillgängliga resurser. God hushållning innebär att onödiga utgifter undviks och att verksamheten bedrivs med hög produktivitet. Det innebär vidare att statens medel hanteras säkert samt att statens tillgångar i övrigt och dess skulder förvaltas väl.</w:t>
      </w:r>
    </w:p>
    <w:p w:rsidR="00252869" w:rsidRPr="001B4EC1" w:rsidRDefault="00252869">
      <w:pPr>
        <w:pStyle w:val="R4"/>
      </w:pPr>
      <w:r w:rsidRPr="001B4EC1">
        <w:t>Utgiftstaket som budgetpolitiskt mål och åtgärder med anledning av risk för överskridande av taket</w:t>
      </w:r>
    </w:p>
    <w:p w:rsidR="00252869" w:rsidRPr="001B4EC1" w:rsidRDefault="00252869">
      <w:pPr>
        <w:rPr>
          <w:snapToGrid w:val="0"/>
        </w:rPr>
      </w:pPr>
      <w:r w:rsidRPr="001B4EC1">
        <w:rPr>
          <w:snapToGrid w:val="0"/>
        </w:rPr>
        <w:t>Om regeringen a</w:t>
      </w:r>
      <w:r w:rsidRPr="001B4EC1">
        <w:t>vser att använda tak för statens utgifter i beredningen av förslaget till statsbudget och i genomförandet av den budgeterade verksa</w:t>
      </w:r>
      <w:r w:rsidRPr="001B4EC1">
        <w:t>m</w:t>
      </w:r>
      <w:r w:rsidRPr="001B4EC1">
        <w:t>heten</w:t>
      </w:r>
      <w:r w:rsidRPr="001B4EC1">
        <w:rPr>
          <w:snapToGrid w:val="0"/>
        </w:rPr>
        <w:t xml:space="preserve"> skall enligt 40 § budgetlagen </w:t>
      </w:r>
      <w:r w:rsidRPr="001B4EC1">
        <w:t>förslag till beslut om ett sådant utgiftstak ingå i budgetpropositionen. I förarbetena till budgetlagen anförs att ett u</w:t>
      </w:r>
      <w:r w:rsidRPr="001B4EC1">
        <w:t>t</w:t>
      </w:r>
      <w:r w:rsidRPr="001B4EC1">
        <w:t>giftsmål för budgetpolitiken tydliggör behovet av politiska prioriteringar mellan olika utgiftsområden och ger budgetpolitiken en långsiktig inriktning med högre förutsebarhet (prop. 1995/96:220 s. 78).</w:t>
      </w:r>
    </w:p>
    <w:p w:rsidR="00252869" w:rsidRPr="001B4EC1" w:rsidRDefault="00252869">
      <w:pPr>
        <w:pStyle w:val="Normaltindrag"/>
        <w:rPr>
          <w:snapToGrid w:val="0"/>
        </w:rPr>
      </w:pPr>
      <w:r w:rsidRPr="001B4EC1">
        <w:rPr>
          <w:snapToGrid w:val="0"/>
        </w:rPr>
        <w:t>Regeringen beskriver</w:t>
      </w:r>
      <w:r w:rsidRPr="001B4EC1">
        <w:rPr>
          <w:snapToGrid w:val="0"/>
        </w:rPr>
        <w:t xml:space="preserve"> utgiftstaket för staten som ett mycket viktigt budge</w:t>
      </w:r>
      <w:r w:rsidRPr="001B4EC1">
        <w:rPr>
          <w:snapToGrid w:val="0"/>
        </w:rPr>
        <w:t>t</w:t>
      </w:r>
      <w:r w:rsidRPr="001B4EC1">
        <w:rPr>
          <w:snapToGrid w:val="0"/>
        </w:rPr>
        <w:t>politiskt åtagande som främjar trovärdigheten i den ekonomiska politiken. Utgiftstaken kan bl.a. förhindra att tillfälligt högre inkomster används för att finansiera varaktigt högre utgifter. Genom utgiftstaket ges riksdagen och regeringen förbättrade möjligheter till kontroll och styrning över anvisade medel och utgiftsutvecklingen (prop. 2002/03:1 s. 80).</w:t>
      </w:r>
    </w:p>
    <w:p w:rsidR="00252869" w:rsidRPr="001B4EC1" w:rsidRDefault="00252869">
      <w:pPr>
        <w:pStyle w:val="Normaltindrag"/>
      </w:pPr>
      <w:r w:rsidRPr="001B4EC1">
        <w:rPr>
          <w:snapToGrid w:val="0"/>
        </w:rPr>
        <w:t xml:space="preserve">Om regeringen avser att </w:t>
      </w:r>
      <w:r w:rsidRPr="001B4EC1">
        <w:t xml:space="preserve">använda tak för statens utgifter skall </w:t>
      </w:r>
      <w:r w:rsidRPr="001B4EC1">
        <w:rPr>
          <w:snapToGrid w:val="0"/>
        </w:rPr>
        <w:t xml:space="preserve">enligt 40 § budgetlagen </w:t>
      </w:r>
      <w:r w:rsidRPr="001B4EC1">
        <w:t>förslag till beslut om ett sådant utgiftstak ingå i budgetpropos</w:t>
      </w:r>
      <w:r w:rsidRPr="001B4EC1">
        <w:t>i</w:t>
      </w:r>
      <w:r w:rsidRPr="001B4EC1">
        <w:t>tionen. Finns det risk för att ett beslutat tak för statens utgifter kommer att överskridas har regeringen för att undvika detta enligt 42 § skyldighet att vidta sådana åtgärder som den har befogenhet till eller föreslå riksdagen nö</w:t>
      </w:r>
      <w:r w:rsidRPr="001B4EC1">
        <w:t>d</w:t>
      </w:r>
      <w:r w:rsidRPr="001B4EC1">
        <w:t xml:space="preserve">vändiga åtgärder. </w:t>
      </w:r>
      <w:r w:rsidRPr="001B4EC1">
        <w:rPr>
          <w:spacing w:val="-2"/>
          <w:kern w:val="2"/>
        </w:rPr>
        <w:t>Enligt förarbetena till budgetlagen kan denna skyldighet leda till att regeringen beslutar att medel på anvisade anslag inte skall an</w:t>
      </w:r>
      <w:r w:rsidRPr="001B4EC1">
        <w:rPr>
          <w:spacing w:val="-2"/>
          <w:kern w:val="2"/>
        </w:rPr>
        <w:t xml:space="preserve">vändas. Vidare anförs att regeringen självfallet är förpliktad att se till att de åtaganden som staten har till följd av lag eller avtal fullgörs. Om regeringen beslutar att inte utnyttja anvisade anslag skall detta redovisas för riksdagen så snart det lämpligen kan ske, t.ex. i en ekonomisk-politisk proposition, en tilläggsbudget eller i nästkommande budgetproposition (prop. 1995/96:220 s. 88). </w:t>
      </w:r>
      <w:r w:rsidRPr="001B4EC1">
        <w:t>Som exe</w:t>
      </w:r>
      <w:r w:rsidRPr="001B4EC1">
        <w:t>m</w:t>
      </w:r>
      <w:r w:rsidRPr="001B4EC1">
        <w:t>pel på åtgärder som regeringen kan vidta då det finns risk för överskridande nämns i förarbetena att rege</w:t>
      </w:r>
      <w:r w:rsidRPr="001B4EC1">
        <w:t>ringen i förhållande till underordnade myndigh</w:t>
      </w:r>
      <w:r w:rsidRPr="001B4EC1">
        <w:t>e</w:t>
      </w:r>
      <w:r w:rsidRPr="001B4EC1">
        <w:t>ter med stöd av 7 § budgetlagen kan föreskriva snävare villkor för utnyttjande av anslag. Vidare kan regeringen enligt 8 § budgetlagen besluta att anvisade medel på något eller några anslag helt eller delvis inte skall utnyttjas (prop. 1995/96:220 s. 112).</w:t>
      </w:r>
    </w:p>
    <w:p w:rsidR="00252869" w:rsidRPr="001B4EC1" w:rsidRDefault="00252869">
      <w:pPr>
        <w:pStyle w:val="R4"/>
      </w:pPr>
      <w:r w:rsidRPr="001B4EC1">
        <w:t>Regeringsbeslut som medför att staten ådrar sig att betala dröjsmålsränta, m.m.</w:t>
      </w:r>
    </w:p>
    <w:p w:rsidR="00252869" w:rsidRPr="001B4EC1" w:rsidRDefault="00252869">
      <w:r w:rsidRPr="001B4EC1">
        <w:t>Regler avseende regeringsbeslut som medför att staten ådrar sig att betala dröjsmålsränta finns inte i RF. Enligt 9 kap. 10 § RF gäller dock att regerin</w:t>
      </w:r>
      <w:r w:rsidRPr="001B4EC1">
        <w:t>g</w:t>
      </w:r>
      <w:r w:rsidRPr="001B4EC1">
        <w:t>en inte utan riksdagens bemyndigande får ta upp lån eller i övrigt ikläda st</w:t>
      </w:r>
      <w:r w:rsidRPr="001B4EC1">
        <w:t>a</w:t>
      </w:r>
      <w:r w:rsidRPr="001B4EC1">
        <w:t>ten ekonomisk förpliktelse. Av förarbetena till RF framgår att med ekonomisk förpliktelse avses utfästelser i köpe- och leveransavtal, ansvarighetsförbinde</w:t>
      </w:r>
      <w:r w:rsidRPr="001B4EC1">
        <w:t>l</w:t>
      </w:r>
      <w:r w:rsidRPr="001B4EC1">
        <w:t>ser m.m. (prop. 1973:90 s. 348).</w:t>
      </w:r>
    </w:p>
    <w:p w:rsidR="00252869" w:rsidRPr="001B4EC1" w:rsidRDefault="00252869">
      <w:pPr>
        <w:pStyle w:val="Normaltindrag"/>
      </w:pPr>
      <w:r w:rsidRPr="001B4EC1">
        <w:t>Bestämmelser om befogenheter för regeringen att ikläda staten ekonomi</w:t>
      </w:r>
      <w:r w:rsidRPr="001B4EC1">
        <w:t>s</w:t>
      </w:r>
      <w:r w:rsidRPr="001B4EC1">
        <w:t>ka förpliktelser enligt 9 kap. 10 § RF finns i budgetlagen. Enligt 12 § får regeringen för det ändamål och med högst det belopp som riksdagen bestä</w:t>
      </w:r>
      <w:r w:rsidRPr="001B4EC1">
        <w:t>m</w:t>
      </w:r>
      <w:r w:rsidRPr="001B4EC1">
        <w:t>mer beställa varor eller tjänster samt besluta om bidrag, ersättning, lån eller liknande som medför utgifter även under senare budgetår än det statsbudgeten avser. Enligt 13 § får regeringen ikläda staten sådana ekonomiska förplikte</w:t>
      </w:r>
      <w:r w:rsidRPr="001B4EC1">
        <w:t>l</w:t>
      </w:r>
      <w:r w:rsidRPr="001B4EC1">
        <w:t>ser som är nödvändiga för att den löpande verksamheten skall fungera til</w:t>
      </w:r>
      <w:r w:rsidRPr="001B4EC1">
        <w:t>l</w:t>
      </w:r>
      <w:r w:rsidRPr="001B4EC1">
        <w:t>fredsställande. Enligt 14 § får regeringen för det ändamå</w:t>
      </w:r>
      <w:r w:rsidRPr="001B4EC1">
        <w:t>l och med högst det belopp som riksdagen bestämmer ställa ut kreditgarantier och göra andra liknande åtaganden. När det finns särskilda skäl får åtagandet enligt riksd</w:t>
      </w:r>
      <w:r w:rsidRPr="001B4EC1">
        <w:t>a</w:t>
      </w:r>
      <w:r w:rsidRPr="001B4EC1">
        <w:t>gens bestämmande göras utan att beloppet begränsas.</w:t>
      </w:r>
      <w:r w:rsidRPr="001B4EC1">
        <w:rPr>
          <w:rStyle w:val="Fotnotsreferens"/>
        </w:rPr>
        <w:footnoteReference w:id="56"/>
      </w:r>
    </w:p>
    <w:p w:rsidR="00252869" w:rsidRPr="001B4EC1" w:rsidRDefault="00252869">
      <w:pPr>
        <w:pStyle w:val="Rubrik3"/>
        <w:rPr>
          <w:noProof w:val="0"/>
        </w:rPr>
      </w:pPr>
      <w:bookmarkStart w:id="85" w:name="_Toc72648516"/>
      <w:r w:rsidRPr="001B4EC1">
        <w:rPr>
          <w:noProof w:val="0"/>
        </w:rPr>
        <w:t>Promemoria från Finansdepartementet</w:t>
      </w:r>
      <w:bookmarkEnd w:id="85"/>
    </w:p>
    <w:p w:rsidR="00252869" w:rsidRPr="001B4EC1" w:rsidRDefault="00252869">
      <w:r w:rsidRPr="001B4EC1">
        <w:t xml:space="preserve">Genom en skrivelse har konstitutionsutskottet begärt svar på vissa frågor med anledning av granskningsanmälan. Som svar har till utskottet översänts en promemoria som upprättats i Finansdepartementet den 2 februari 2004, </w:t>
      </w:r>
      <w:r w:rsidRPr="001B4EC1">
        <w:rPr>
          <w:i/>
        </w:rPr>
        <w:t>bilaga A2.2.2</w:t>
      </w:r>
      <w:r w:rsidRPr="001B4EC1">
        <w:t>.</w:t>
      </w:r>
    </w:p>
    <w:p w:rsidR="00252869" w:rsidRPr="001B4EC1" w:rsidRDefault="00252869">
      <w:pPr>
        <w:pStyle w:val="Normaltindrag"/>
      </w:pPr>
      <w:r w:rsidRPr="001B4EC1">
        <w:t>I promemorian nämns inledningsvis att EU-budgeten under senare år up</w:t>
      </w:r>
      <w:r w:rsidRPr="001B4EC1">
        <w:t>p</w:t>
      </w:r>
      <w:r w:rsidRPr="001B4EC1">
        <w:t>visat stora överskott och att dessa betalats tillbaka till medlemsstaterna. Enligt promemorian hade regeringen skäl att anta att en sådan återbetalning från EU-budgeten för 2003 mot slutet av året skulle reducera Sveriges avgift till EU:s budget med ca 1,2 miljarder</w:t>
      </w:r>
      <w:r w:rsidRPr="001B4EC1">
        <w:rPr>
          <w:snapToGrid w:val="0"/>
        </w:rPr>
        <w:t xml:space="preserve"> kronor</w:t>
      </w:r>
      <w:r w:rsidRPr="001B4EC1">
        <w:t>. Förslag om återbetalning hade beslutats i rådet den 24 november 2003, men på grund av fördröjningar i den fortsatta beslutsprocessen uteblev reduceringen under 2003. Reduceringen kommer nu att minska avgiften för 2004.</w:t>
      </w:r>
    </w:p>
    <w:p w:rsidR="00252869" w:rsidRPr="001B4EC1" w:rsidRDefault="00252869">
      <w:pPr>
        <w:pStyle w:val="Normaltindrag"/>
      </w:pPr>
      <w:r w:rsidRPr="001B4EC1">
        <w:t>Enligt promemoria</w:t>
      </w:r>
      <w:r w:rsidRPr="001B4EC1">
        <w:t>n avsåg regeringen med sitt beslut att skjuta på EU-avgiften att säkerställa att utgiftstaket inte överskreds på grund av slumpvisa variationer i december månads utfall. Regeringen gjorde bedömningen att åtgärden var nödvändig för att trygga detta viktiga budgetpolitiska mål. Vid</w:t>
      </w:r>
      <w:r w:rsidRPr="001B4EC1">
        <w:t>a</w:t>
      </w:r>
      <w:r w:rsidRPr="001B4EC1">
        <w:t>re framhålls att trovärdigheten för regeringens finanspolitik ur ett samhäll</w:t>
      </w:r>
      <w:r w:rsidRPr="001B4EC1">
        <w:t>s</w:t>
      </w:r>
      <w:r w:rsidRPr="001B4EC1">
        <w:t>ekonomiskt perspektiv är mycket viktig, och att om förtroendet äventyras skulle det kunna få negativa konsekvenser på den finansiella och ekonomiska utvec</w:t>
      </w:r>
      <w:r w:rsidRPr="001B4EC1">
        <w:t>klingen.</w:t>
      </w:r>
    </w:p>
    <w:p w:rsidR="00252869" w:rsidRPr="001B4EC1" w:rsidRDefault="00252869">
      <w:pPr>
        <w:pStyle w:val="Normaltindrag"/>
      </w:pPr>
      <w:r w:rsidRPr="001B4EC1">
        <w:t>Vad gäller EG:s rättsakter innebar enligt promemorian beslutet att senar</w:t>
      </w:r>
      <w:r w:rsidRPr="001B4EC1">
        <w:t>e</w:t>
      </w:r>
      <w:r w:rsidRPr="001B4EC1">
        <w:t>lägga viss del av EU-avgiften ett avsteg från artikel 10.3 om tillhandahållande av egna medel i rådets förordning (EG; Euratom) nr 1150/2000 av den 22 maj 2000 om genomförande av beslut 94/728/EG, Euratom om systemet för g</w:t>
      </w:r>
      <w:r w:rsidRPr="001B4EC1">
        <w:t>e</w:t>
      </w:r>
      <w:r w:rsidRPr="001B4EC1">
        <w:t>me</w:t>
      </w:r>
      <w:r w:rsidRPr="001B4EC1">
        <w:t>n</w:t>
      </w:r>
      <w:r w:rsidRPr="001B4EC1">
        <w:t>skapens egna medel.</w:t>
      </w:r>
    </w:p>
    <w:p w:rsidR="00252869" w:rsidRPr="001B4EC1" w:rsidRDefault="00252869">
      <w:pPr>
        <w:pStyle w:val="Normaltindrag"/>
      </w:pPr>
      <w:r w:rsidRPr="001B4EC1">
        <w:t>Med anledning av bestämmelserna i budgetlagen om hög effektivitet och god hushållning anförs i promemorian att dröjsmålsräntan i det aktuella fallet uppgår till 12,7 miljoner</w:t>
      </w:r>
      <w:r w:rsidRPr="001B4EC1">
        <w:rPr>
          <w:snapToGrid w:val="0"/>
        </w:rPr>
        <w:t xml:space="preserve"> kronor</w:t>
      </w:r>
      <w:r w:rsidRPr="001B4EC1">
        <w:t>, men att det inte är givet att nettokostnaden uppgår till motsvarande belopp eftersom staten till följd av förskjutningen av tidpunkt för betalningen kan ha undvikit vissa kostnader för upplåning. Vid</w:t>
      </w:r>
      <w:r w:rsidRPr="001B4EC1">
        <w:t>a</w:t>
      </w:r>
      <w:r w:rsidRPr="001B4EC1">
        <w:t>re anförs att det förhållandet att staten måste erlägga dröjsmålsränta i förstone kan framstå som mindre god hushållning med statens medel, men att frågan måste ses i ett större sammanhang. Merkostnaderna för staten för det fall utgiftstaket inte hade klarats kan antas överstiga kostnaden för dröjsmåls</w:t>
      </w:r>
      <w:r w:rsidRPr="001B4EC1">
        <w:t>rä</w:t>
      </w:r>
      <w:r w:rsidRPr="001B4EC1">
        <w:t>n</w:t>
      </w:r>
      <w:r w:rsidRPr="001B4EC1">
        <w:t>tan.</w:t>
      </w:r>
    </w:p>
    <w:p w:rsidR="00252869" w:rsidRPr="001B4EC1" w:rsidRDefault="00252869">
      <w:pPr>
        <w:pStyle w:val="Normaltindrag"/>
      </w:pPr>
      <w:r w:rsidRPr="001B4EC1">
        <w:t>Med anledning av bestämmelserna i budgetlagen om regeringens skyldi</w:t>
      </w:r>
      <w:r w:rsidRPr="001B4EC1">
        <w:t>g</w:t>
      </w:r>
      <w:r w:rsidRPr="001B4EC1">
        <w:t>het att vidta sådana åtgärder som den har befogenhet till eller föreslå riksd</w:t>
      </w:r>
      <w:r w:rsidRPr="001B4EC1">
        <w:t>a</w:t>
      </w:r>
      <w:r w:rsidRPr="001B4EC1">
        <w:t>gen nödvändiga åtgärder, om det finns risk för att utgiftstaket kommer att överskridas, anförs i promemorian att beslutet om senareläggning av EU-avgiften inte innebär att regeringen i förhållande till riksdagen skulle ha överträtt sin bef</w:t>
      </w:r>
      <w:r w:rsidRPr="001B4EC1">
        <w:t>o</w:t>
      </w:r>
      <w:r w:rsidRPr="001B4EC1">
        <w:t>genhet.</w:t>
      </w:r>
    </w:p>
    <w:p w:rsidR="00252869" w:rsidRPr="001B4EC1" w:rsidRDefault="00252869">
      <w:pPr>
        <w:pStyle w:val="Normaltindrag"/>
      </w:pPr>
      <w:r w:rsidRPr="001B4EC1">
        <w:t>Med anledning av bestämmelserna i RF och budgetlagen om upptagande av lån eller åtagande av andra ekonomiska förpliktelser anförs i promemorian att den skyldighet att betala dröjsmålsrä</w:t>
      </w:r>
      <w:r w:rsidRPr="001B4EC1">
        <w:t>nta som staten ådragit sig till följd av regeringens beslut att senarelägga EU-avgiften inte kan anses innebära att regeringen i RF:s mening för statens räkning ingått en ny ekonomisk förpli</w:t>
      </w:r>
      <w:r w:rsidRPr="001B4EC1">
        <w:t>k</w:t>
      </w:r>
      <w:r w:rsidRPr="001B4EC1">
        <w:t>telse. Dröjsmålsräntan utgör i stället en sanktion för att betalning inte har erlagts i tid. Vidare ryms dröjsmålsräntan inom det av riksdagen anvisade anslaget för EU-avgiften.</w:t>
      </w:r>
    </w:p>
    <w:p w:rsidR="00252869" w:rsidRPr="001B4EC1" w:rsidRDefault="00252869">
      <w:pPr>
        <w:pStyle w:val="Rubrik4"/>
        <w:rPr>
          <w:noProof w:val="0"/>
        </w:rPr>
      </w:pPr>
      <w:bookmarkStart w:id="86" w:name="_Toc72648517"/>
      <w:r w:rsidRPr="001B4EC1">
        <w:rPr>
          <w:noProof w:val="0"/>
        </w:rPr>
        <w:t>Utfrågning med finansminister Bosse Ringholm</w:t>
      </w:r>
      <w:bookmarkEnd w:id="86"/>
    </w:p>
    <w:p w:rsidR="00252869" w:rsidRPr="001B4EC1" w:rsidRDefault="00252869">
      <w:r w:rsidRPr="001B4EC1">
        <w:t xml:space="preserve">Utskottet har den 13 april 2004 hållit en offentlig utfrågning i ärendet med finansminister Bosse Ringholm, </w:t>
      </w:r>
      <w:r w:rsidRPr="001B4EC1">
        <w:rPr>
          <w:i/>
        </w:rPr>
        <w:t>bilaga B7</w:t>
      </w:r>
      <w:r w:rsidRPr="001B4EC1">
        <w:t>. Han uppgav därvid att det står klart att senareläggningen av EU-avgiften stred mot EU:s regler på området, och man har också fått betala dröjsmålsränta. Däremot ansåg han inte att åtgärden är oförenlig med bestämmelserna i regeringsformen och budgetl</w:t>
      </w:r>
      <w:r w:rsidRPr="001B4EC1">
        <w:t>a</w:t>
      </w:r>
      <w:r w:rsidRPr="001B4EC1">
        <w:t>gen. Som motiv till senareläggningen anfördes följande. Under senare delen av 2003, när utfallet fanns för tio månader, var den bästa bedömningen att utgiftstaket skulle överskridas med ca 2 miljarder</w:t>
      </w:r>
      <w:r w:rsidRPr="001B4EC1">
        <w:rPr>
          <w:snapToGrid w:val="0"/>
        </w:rPr>
        <w:t xml:space="preserve"> kronor</w:t>
      </w:r>
      <w:r w:rsidRPr="001B4EC1">
        <w:t>. Eftersom man då antog att osäkerhetsmargi</w:t>
      </w:r>
      <w:r w:rsidRPr="001B4EC1">
        <w:t>nalen uppgick till omkring 3 miljarder</w:t>
      </w:r>
      <w:r w:rsidRPr="001B4EC1">
        <w:rPr>
          <w:snapToGrid w:val="0"/>
        </w:rPr>
        <w:t xml:space="preserve"> kronor</w:t>
      </w:r>
      <w:r w:rsidRPr="001B4EC1">
        <w:t xml:space="preserve"> fanns det en risk att överskridandet skulle kunna bli så högt som 5 miljarder</w:t>
      </w:r>
      <w:r w:rsidRPr="001B4EC1">
        <w:rPr>
          <w:snapToGrid w:val="0"/>
        </w:rPr>
        <w:t xml:space="preserve"> kronor</w:t>
      </w:r>
      <w:r w:rsidRPr="001B4EC1">
        <w:t>. Å andra sidan kunde det också bli ett underskridande med kanske 1 miljard kronor. I den här situationen stod valet för regeringen mellan att med en mängd mindre beslut gripa in i myndigheternas produktion eller att påverka en större finansiella transaktion. Med hänsyn till att det var så sent på året beslutade Bosse Ringholm att göra det senare. EU-avgiften för december 2003 va</w:t>
      </w:r>
      <w:r w:rsidRPr="001B4EC1">
        <w:t>ldes ut för ändamålet. Regeringens beslut blev att 3,2 miljarder</w:t>
      </w:r>
      <w:r w:rsidRPr="001B4EC1">
        <w:rPr>
          <w:snapToGrid w:val="0"/>
        </w:rPr>
        <w:t xml:space="preserve"> kronor</w:t>
      </w:r>
      <w:r w:rsidRPr="001B4EC1">
        <w:t xml:space="preserve"> skulle kunna förskjutas från december 2003 till den 2 januari 2004. Utgiftsu</w:t>
      </w:r>
      <w:r w:rsidRPr="001B4EC1">
        <w:t>t</w:t>
      </w:r>
      <w:r w:rsidRPr="001B4EC1">
        <w:t>vecklingen följdes mycket noga. När regeringen under den senare delen av december hade utfallet för november kunde den göra bedömningen att u</w:t>
      </w:r>
      <w:r w:rsidRPr="001B4EC1">
        <w:t>t</w:t>
      </w:r>
      <w:r w:rsidRPr="001B4EC1">
        <w:t>giftstaket, efter senareläggningen av EU-avgiften, skulle klaras och unde</w:t>
      </w:r>
      <w:r w:rsidRPr="001B4EC1">
        <w:t>r</w:t>
      </w:r>
      <w:r w:rsidRPr="001B4EC1">
        <w:t>skridas med ca 2,7 miljarder</w:t>
      </w:r>
      <w:r w:rsidRPr="001B4EC1">
        <w:rPr>
          <w:snapToGrid w:val="0"/>
        </w:rPr>
        <w:t xml:space="preserve"> kronor</w:t>
      </w:r>
      <w:r w:rsidRPr="001B4EC1">
        <w:t>. Osäkerhetsmarginalen antogs då vara omkring 2 miljarder</w:t>
      </w:r>
      <w:r w:rsidRPr="001B4EC1">
        <w:rPr>
          <w:snapToGrid w:val="0"/>
        </w:rPr>
        <w:t xml:space="preserve"> kronor</w:t>
      </w:r>
      <w:r w:rsidRPr="001B4EC1">
        <w:t>. Mot den bakgrunden beslutade Bosse Ringholm, m</w:t>
      </w:r>
      <w:r w:rsidRPr="001B4EC1">
        <w:t>ed stöd av ett bemyndigande av regeringen, att betala en del av den senar</w:t>
      </w:r>
      <w:r w:rsidRPr="001B4EC1">
        <w:t>e</w:t>
      </w:r>
      <w:r w:rsidRPr="001B4EC1">
        <w:t>lagda EU-avgiften, närmare bestämt 700 miljoner</w:t>
      </w:r>
      <w:r w:rsidRPr="001B4EC1">
        <w:rPr>
          <w:snapToGrid w:val="0"/>
        </w:rPr>
        <w:t xml:space="preserve"> kronor</w:t>
      </w:r>
      <w:r w:rsidRPr="001B4EC1">
        <w:t>, i december 2003, medan 2,5 miljarder av EU-avgiften senarelades från 2003 till den 2 januari 2004.</w:t>
      </w:r>
    </w:p>
    <w:p w:rsidR="00252869" w:rsidRPr="001B4EC1" w:rsidRDefault="00252869">
      <w:pPr>
        <w:pStyle w:val="Normaltindrag"/>
      </w:pPr>
      <w:r w:rsidRPr="001B4EC1">
        <w:t>Bosse Ringholm menade att det i sak kan tyckas att det inte är så viktigt om utgiftstaket överskrids eller underskrids med någon miljard kronor, men det är ändå ett kritstreck som inte bör överträdas. Ett överskridande med några få miljoner kronor skulle av många framställas som ett</w:t>
      </w:r>
      <w:r w:rsidRPr="001B4EC1">
        <w:t xml:space="preserve"> stort misslyc</w:t>
      </w:r>
      <w:r w:rsidRPr="001B4EC1">
        <w:t>k</w:t>
      </w:r>
      <w:r w:rsidRPr="001B4EC1">
        <w:t>ande, och osäkerhetsmarginalen måste täckas in för att man skall kunna vara på den säkra sidan. Han framhöll att erfarenheterna av att arbeta med ett utgiftstak är mycket positiva och gjorde bedömningen att användningen av systemen med utgiftstak samt det att nivån på utgiftstaket har satts på ett ansvarsfullt sätt har medverkat till att den statsfinansiella situationen är mer gynnsam än i många andra länder.</w:t>
      </w:r>
    </w:p>
    <w:p w:rsidR="00252869" w:rsidRPr="001B4EC1" w:rsidRDefault="00252869">
      <w:pPr>
        <w:pStyle w:val="Normaltindrag"/>
      </w:pPr>
      <w:r w:rsidRPr="001B4EC1">
        <w:t>Vad gäller uppfyllandet av internationella förpliktelser uppgav Bosse Ringholm att r</w:t>
      </w:r>
      <w:r w:rsidRPr="001B4EC1">
        <w:t>egeringens trovärdighet torde vara stor. Vid tidigare tillfällen har EU-avgiften betalats i förskott. Han ville också påminna om att regerin</w:t>
      </w:r>
      <w:r w:rsidRPr="001B4EC1">
        <w:t>g</w:t>
      </w:r>
      <w:r w:rsidRPr="001B4EC1">
        <w:t>en avvaktade hela hösten för den återbetalning som EU skulle göra, men tyvärr dröjde den till en bit in på 2004. Hans bedömning var att om EU fick pengar den 2 januari 2004 i stället för den 31 december 2003 påverkar det inte trovärdigheten, allra helst som Sverige har visat sig mycket pålitligt i de här sammanhangen.</w:t>
      </w:r>
    </w:p>
    <w:p w:rsidR="00252869" w:rsidRPr="001B4EC1" w:rsidRDefault="00252869">
      <w:pPr>
        <w:pStyle w:val="Normaltindrag"/>
      </w:pPr>
      <w:r w:rsidRPr="001B4EC1">
        <w:t>Vad gäller den uppkomna kostnaden för dröjsmålsränt</w:t>
      </w:r>
      <w:r w:rsidRPr="001B4EC1">
        <w:t>a uppgav Bosse Ringholm att merkostnaden på 13 miljoner</w:t>
      </w:r>
      <w:r w:rsidRPr="001B4EC1">
        <w:rPr>
          <w:snapToGrid w:val="0"/>
        </w:rPr>
        <w:t xml:space="preserve"> kronor</w:t>
      </w:r>
      <w:r w:rsidRPr="001B4EC1">
        <w:t xml:space="preserve"> var försumbar jämfört med om utgiftstaket hade överskridits, inte bara det politiska priset utan förmodl</w:t>
      </w:r>
      <w:r w:rsidRPr="001B4EC1">
        <w:t>i</w:t>
      </w:r>
      <w:r w:rsidRPr="001B4EC1">
        <w:t>gen också det ekonomiska priset på finansmarknaden. Alternativa åtgärder än den nu vidtagna hade givit en större inverkan på myndigheternas verksamhet, vilket hade tagit mycket längre tid att justera. Vad gäller om regeringen till följd av sitt beslut, som resulterade i dröjsmålsränta, ingått en ny ekonomisk förpliktelse uppgav Bosse Ringholm</w:t>
      </w:r>
      <w:r w:rsidRPr="001B4EC1">
        <w:t xml:space="preserve"> att det avgörande var att det var en i tiden mycket begränsad åtgärd.</w:t>
      </w:r>
    </w:p>
    <w:p w:rsidR="00252869" w:rsidRPr="001B4EC1" w:rsidRDefault="00252869">
      <w:pPr>
        <w:pStyle w:val="Normaltindrag"/>
      </w:pPr>
      <w:r w:rsidRPr="001B4EC1">
        <w:t>Vidare uppgav Bosse Ringholm, med anledning av att regeringen genom förfarandet avvek från EU:s regler, att regeringen har följt bestämmelserna i budgetlagen och vad som anförs i dess förarbeten. Ytterst är det en fråga om en bedömning av volymen och omfattningen av olika typer av beslut. Bu</w:t>
      </w:r>
      <w:r w:rsidRPr="001B4EC1">
        <w:t>d</w:t>
      </w:r>
      <w:r w:rsidRPr="001B4EC1">
        <w:t>getlagens syfte är att se till att vi kan ha kontroll på utgiftsutvecklingen, och, menade Bosse Ringholm, det största brottet mot budgetlagen är att inte klara utgiftstaket.</w:t>
      </w:r>
    </w:p>
    <w:p w:rsidR="00252869" w:rsidRPr="001B4EC1" w:rsidRDefault="00252869">
      <w:pPr>
        <w:pStyle w:val="Normaltindrag"/>
      </w:pPr>
      <w:r w:rsidRPr="001B4EC1">
        <w:t>Vad gäller regeringens redovisning för riksdagen om beslutet att skjuta på EU-avgiften och därmed inte utnyttja anvisat anslag uppgav Bosse Ringholm att det redovisades genom att det fattades ett särskilt regeringsbeslut som gav finansministern i uppdrag att, om så behövdes, göra en förskjutning av beta</w:t>
      </w:r>
      <w:r w:rsidRPr="001B4EC1">
        <w:t>l</w:t>
      </w:r>
      <w:r w:rsidRPr="001B4EC1">
        <w:t>ningsförpliktelserna samt att regeringen årligen, både i vårbudget och budge</w:t>
      </w:r>
      <w:r w:rsidRPr="001B4EC1">
        <w:t>t</w:t>
      </w:r>
      <w:r w:rsidRPr="001B4EC1">
        <w:t>proposition brukar redovisa hur den hanterat budgeten på u</w:t>
      </w:r>
      <w:r w:rsidRPr="001B4EC1">
        <w:t>t</w:t>
      </w:r>
      <w:r w:rsidRPr="001B4EC1">
        <w:t>giftssidan.</w:t>
      </w:r>
    </w:p>
    <w:p w:rsidR="00252869" w:rsidRPr="001B4EC1" w:rsidRDefault="00252869">
      <w:pPr>
        <w:pStyle w:val="Rubrik3"/>
        <w:rPr>
          <w:b w:val="0"/>
          <w:i/>
          <w:noProof w:val="0"/>
        </w:rPr>
      </w:pPr>
      <w:bookmarkStart w:id="87" w:name="_Toc72648518"/>
      <w:r w:rsidRPr="001B4EC1">
        <w:rPr>
          <w:noProof w:val="0"/>
        </w:rPr>
        <w:t>Utskottets ställningstagande</w:t>
      </w:r>
      <w:bookmarkEnd w:id="87"/>
    </w:p>
    <w:p w:rsidR="00252869" w:rsidRPr="001B4EC1" w:rsidRDefault="00252869">
      <w:r w:rsidRPr="001B4EC1">
        <w:t>Regeringen är enligt budgetlagen skyldig att vidta åtgärder om det finns risk att ett beslutat utgiftstak kommer att överskridas. Mot bakgrund av de redog</w:t>
      </w:r>
      <w:r w:rsidRPr="001B4EC1">
        <w:t>ö</w:t>
      </w:r>
      <w:r w:rsidRPr="001B4EC1">
        <w:t>relser som har lämnats till utskottet om den situation som rådde hösten 2003 får beslutet att skjuta på EU-avgiften ses som en i det sammanhanget rimlig åtgärd att vidta. Enligt utskottets mening får även det aktuella beslutet anses ligga inom ramen för regeringens befogenhet på finansmaktens område såsom den föreskrivs i regeringsformen. Utskottet vill betona vikten av att riksdagen informeras om eventuella kostnader som kan uppstå i anledning av sådana beslut.</w:t>
      </w:r>
    </w:p>
    <w:p w:rsidR="00252869" w:rsidRPr="001B4EC1" w:rsidRDefault="00252869">
      <w:pPr>
        <w:pStyle w:val="Normaltindrag"/>
      </w:pPr>
      <w:r w:rsidRPr="001B4EC1">
        <w:t>Mot denna bakgrund finns det enligt utskotte</w:t>
      </w:r>
      <w:r w:rsidRPr="001B4EC1">
        <w:t>ts mening ingen grund för att rikta kritik mot regeringen och finansminister Bosse Ringholm för beslutet att skjuta på EU-avgiften.</w:t>
      </w:r>
    </w:p>
    <w:p w:rsidR="00252869" w:rsidRPr="001B4EC1" w:rsidRDefault="00252869"/>
    <w:p w:rsidR="00252869" w:rsidRPr="001B4EC1" w:rsidRDefault="00252869">
      <w:pPr>
        <w:pStyle w:val="Normaltindrag"/>
        <w:sectPr w:rsidR="00000000" w:rsidRPr="001B4EC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52869" w:rsidRPr="001B4EC1" w:rsidRDefault="00252869">
      <w:pPr>
        <w:pStyle w:val="Rubrik1"/>
        <w:rPr>
          <w:noProof w:val="0"/>
        </w:rPr>
      </w:pPr>
      <w:bookmarkStart w:id="88" w:name="_Toc72648519"/>
      <w:r w:rsidRPr="001B4EC1">
        <w:rPr>
          <w:noProof w:val="0"/>
        </w:rPr>
        <w:t>3 Handläggningen av vissa regeringsärenden m.m.</w:t>
      </w:r>
      <w:bookmarkEnd w:id="88"/>
    </w:p>
    <w:p w:rsidR="00252869" w:rsidRPr="001B4EC1" w:rsidRDefault="00252869">
      <w:pPr>
        <w:pStyle w:val="Rubrik2"/>
        <w:spacing w:before="0"/>
      </w:pPr>
      <w:bookmarkStart w:id="89" w:name="_Toc72648520"/>
      <w:r w:rsidRPr="001B4EC1">
        <w:t>3.1 Socialdepartementets beredning av styrelsevalen vid Systembolaget AB:s bolagsstämma 2002</w:t>
      </w:r>
      <w:bookmarkEnd w:id="89"/>
    </w:p>
    <w:p w:rsidR="00252869" w:rsidRPr="001B4EC1" w:rsidRDefault="00252869">
      <w:pPr>
        <w:pStyle w:val="Rubrik3"/>
        <w:rPr>
          <w:noProof w:val="0"/>
        </w:rPr>
      </w:pPr>
      <w:bookmarkStart w:id="90" w:name="_Toc72648521"/>
      <w:r w:rsidRPr="001B4EC1">
        <w:rPr>
          <w:noProof w:val="0"/>
        </w:rPr>
        <w:t>Anmälan</w:t>
      </w:r>
      <w:bookmarkEnd w:id="90"/>
    </w:p>
    <w:p w:rsidR="00252869" w:rsidRPr="001B4EC1" w:rsidRDefault="00252869">
      <w:r w:rsidRPr="001B4EC1">
        <w:t xml:space="preserve">I en anmälan till konstitutionsutskottet den 12 februari 2003, </w:t>
      </w:r>
      <w:r w:rsidRPr="001B4EC1">
        <w:rPr>
          <w:i/>
        </w:rPr>
        <w:t>bilaga A3.1.1</w:t>
      </w:r>
      <w:r w:rsidRPr="001B4EC1">
        <w:t>,  begärs att konstitutionsutskottet granskar beredningen av styrelsevalen vid Systembolaget AB:s bolagsstämma 2002.</w:t>
      </w:r>
    </w:p>
    <w:p w:rsidR="00252869" w:rsidRPr="001B4EC1" w:rsidRDefault="00252869">
      <w:pPr>
        <w:pStyle w:val="Normaltindrag"/>
      </w:pPr>
      <w:r w:rsidRPr="001B4EC1">
        <w:t>I anmälan anförs att uppgifter i medierna gör gällande att valet föregicks av en konflikt mellan styrelsen och VD, vilket möjligen påverkade ägarens beslut att ersätta fyra av fem av staten utsedda ledamöter i styrelsen. Enligt anmälan brukar den normala gången vid en konflikt mellan styrelse och VD vara att VD lämnar sin post.</w:t>
      </w:r>
    </w:p>
    <w:p w:rsidR="00252869" w:rsidRPr="001B4EC1" w:rsidRDefault="00252869">
      <w:pPr>
        <w:pStyle w:val="Rubrik3"/>
        <w:rPr>
          <w:noProof w:val="0"/>
        </w:rPr>
      </w:pPr>
      <w:bookmarkStart w:id="91" w:name="_Toc72648522"/>
      <w:r w:rsidRPr="001B4EC1">
        <w:rPr>
          <w:noProof w:val="0"/>
        </w:rPr>
        <w:t>Bakgrund</w:t>
      </w:r>
      <w:bookmarkEnd w:id="91"/>
    </w:p>
    <w:p w:rsidR="00252869" w:rsidRPr="001B4EC1" w:rsidRDefault="00252869">
      <w:pPr>
        <w:pStyle w:val="R4"/>
      </w:pPr>
      <w:r w:rsidRPr="001B4EC1">
        <w:t>Gällande ordning avseende styrelseval m.m.</w:t>
      </w:r>
    </w:p>
    <w:p w:rsidR="00252869" w:rsidRPr="001B4EC1" w:rsidRDefault="00252869">
      <w:r w:rsidRPr="001B4EC1">
        <w:t>Statligt ägda aktiebolag är liksom aktiebolag som ägs av andra underkastade aktiebolagslagens (1975:1385) regelsystem.</w:t>
      </w:r>
    </w:p>
    <w:p w:rsidR="00252869" w:rsidRPr="001B4EC1" w:rsidRDefault="00252869">
      <w:pPr>
        <w:pStyle w:val="Normaltindrag"/>
      </w:pPr>
      <w:r w:rsidRPr="001B4EC1">
        <w:t>Enligt 9 kap. 1 § utövas aktieägarnas rätt att besluta i bolagets angeläge</w:t>
      </w:r>
      <w:r w:rsidRPr="001B4EC1">
        <w:t>n</w:t>
      </w:r>
      <w:r w:rsidRPr="001B4EC1">
        <w:t>heter vid bolagsstämma. Enligt 8 kap. 6 § utses styrelsen av bolagsstämman. I bolagsordningen får det föreskrivas att en eller flera styrelseledamöter, i publika aktiebolag dock mindre än hälften av samtliga, skall utses på annat sätt. Enligt 8 kap. 10 § gäller en styrelseledamots uppdrag för den tid som anges i bolagsordningen. Uppdragstiden skall bestämmas så att uppdraget upphör vid slutet av en bolagsstämma som hålls senast under det fjärde räke</w:t>
      </w:r>
      <w:r w:rsidRPr="001B4EC1">
        <w:t>n</w:t>
      </w:r>
      <w:r w:rsidRPr="001B4EC1">
        <w:t>skapsåret efter det då styrelseledamoten utsågs. Enligt 8</w:t>
      </w:r>
      <w:r w:rsidRPr="001B4EC1">
        <w:t xml:space="preserve"> kap. 11 § upphör ett uppdrag som styrelseledamot i förtid om styrelseledamoten eller den som har utsett honom anmäler att uppdraget skall upphöra. Anmälan om detta skall göras hos styrelsen. Om en styrelseledamot som inte är vald av bolagsstäm</w:t>
      </w:r>
      <w:r w:rsidRPr="001B4EC1">
        <w:t>m</w:t>
      </w:r>
      <w:r w:rsidRPr="001B4EC1">
        <w:t>an vill avgå, skall han anmäla det också hos den som har utsett honom. Enligt 8 kap. 23 § skall styrelsen i ett publikt aktiebolag utse en verkställande d</w:t>
      </w:r>
      <w:r w:rsidRPr="001B4EC1">
        <w:t>i</w:t>
      </w:r>
      <w:r w:rsidRPr="001B4EC1">
        <w:t>rektör. I ett privat aktiebolag får styrelsen utse en verkställande d</w:t>
      </w:r>
      <w:r w:rsidRPr="001B4EC1">
        <w:t>i</w:t>
      </w:r>
      <w:r w:rsidRPr="001B4EC1">
        <w:t>rektör.</w:t>
      </w:r>
    </w:p>
    <w:p w:rsidR="00252869" w:rsidRPr="001B4EC1" w:rsidRDefault="00252869">
      <w:pPr>
        <w:pStyle w:val="Normaltindrag"/>
        <w:rPr>
          <w:snapToGrid w:val="0"/>
          <w:lang w:eastAsia="sv-SE"/>
        </w:rPr>
      </w:pPr>
      <w:r w:rsidRPr="001B4EC1">
        <w:t>I aktiebolagslagen finns inga best</w:t>
      </w:r>
      <w:r w:rsidRPr="001B4EC1">
        <w:t>ämmelser om hur styrelseval skall ber</w:t>
      </w:r>
      <w:r w:rsidRPr="001B4EC1">
        <w:t>e</w:t>
      </w:r>
      <w:r w:rsidRPr="001B4EC1">
        <w:t>das. Formerna för beredning torde i praktiken variera starkt mellan olika bolag beroende på bl.a. ägarförhållandena. Med stöd av 7 kap. 5 § regering</w:t>
      </w:r>
      <w:r w:rsidRPr="001B4EC1">
        <w:t>s</w:t>
      </w:r>
      <w:r w:rsidRPr="001B4EC1">
        <w:t xml:space="preserve">formen har statsministern givit näringsministern ansvaret i frågor som gäller statens </w:t>
      </w:r>
      <w:r w:rsidRPr="001B4EC1">
        <w:rPr>
          <w:snapToGrid w:val="0"/>
        </w:rPr>
        <w:t>företagsägande och som ställer krav på en enhetlig ägarpolitik eller avser styrelsenomineringar</w:t>
      </w:r>
      <w:r w:rsidRPr="001B4EC1">
        <w:t>. Enligt regeringens skrivelse 2002/03:120 med 2003 års redogörelse för företag med statligt ägande föregås nomineringen och tillsättningen av n</w:t>
      </w:r>
      <w:r w:rsidRPr="001B4EC1">
        <w:t>ya styrelseledamöter av en löpande dialog mellan a</w:t>
      </w:r>
      <w:r w:rsidRPr="001B4EC1">
        <w:t>n</w:t>
      </w:r>
      <w:r w:rsidRPr="001B4EC1">
        <w:t xml:space="preserve">svarigt departement, styrelseordförande, andra ledamöter och eventuellt andra delägare (s. 17). </w:t>
      </w:r>
      <w:r w:rsidRPr="001B4EC1">
        <w:rPr>
          <w:snapToGrid w:val="0"/>
          <w:lang w:eastAsia="sv-SE"/>
        </w:rPr>
        <w:t>Styrelsenomineringar i börsnoterade företag där staten är delägare skall ske i samråd med övriga huvudägare i en nomineringskommitté (s. 18).</w:t>
      </w:r>
    </w:p>
    <w:p w:rsidR="00252869" w:rsidRPr="001B4EC1" w:rsidRDefault="00252869">
      <w:pPr>
        <w:pStyle w:val="R4"/>
      </w:pPr>
      <w:r w:rsidRPr="001B4EC1">
        <w:t>Styrelseval den 18 april 2002</w:t>
      </w:r>
    </w:p>
    <w:p w:rsidR="00252869" w:rsidRPr="001B4EC1" w:rsidRDefault="00252869">
      <w:r w:rsidRPr="001B4EC1">
        <w:t xml:space="preserve">Vid Systembolaget AB:s bolagsstämma den 18 april 2002 </w:t>
      </w:r>
      <w:r w:rsidRPr="001B4EC1">
        <w:rPr>
          <w:snapToGrid w:val="0"/>
        </w:rPr>
        <w:t>utsågs Olof J</w:t>
      </w:r>
      <w:r w:rsidRPr="001B4EC1">
        <w:rPr>
          <w:snapToGrid w:val="0"/>
        </w:rPr>
        <w:t>o</w:t>
      </w:r>
      <w:r w:rsidRPr="001B4EC1">
        <w:rPr>
          <w:snapToGrid w:val="0"/>
        </w:rPr>
        <w:t xml:space="preserve">hansson till </w:t>
      </w:r>
      <w:r w:rsidRPr="001B4EC1">
        <w:t>ny ordförande i bolagets styrelse. Till nya styrelseledamöter u</w:t>
      </w:r>
      <w:r w:rsidRPr="001B4EC1">
        <w:t>t</w:t>
      </w:r>
      <w:r w:rsidRPr="001B4EC1">
        <w:t>sågs också Anna Hedborg (vice ordförande), Leif Linde samt Marianne N</w:t>
      </w:r>
      <w:r w:rsidRPr="001B4EC1">
        <w:t>i</w:t>
      </w:r>
      <w:r w:rsidRPr="001B4EC1">
        <w:t>vert.</w:t>
      </w:r>
    </w:p>
    <w:p w:rsidR="00252869" w:rsidRPr="001B4EC1" w:rsidRDefault="00252869">
      <w:pPr>
        <w:pStyle w:val="R4"/>
      </w:pPr>
      <w:r w:rsidRPr="001B4EC1">
        <w:t>Uppgifter i medier om konflikt mellan Systembolaget AB:s styrelse och VD</w:t>
      </w:r>
    </w:p>
    <w:p w:rsidR="00252869" w:rsidRPr="001B4EC1" w:rsidRDefault="00252869">
      <w:r w:rsidRPr="001B4EC1">
        <w:t>Enligt en artikel i Dagens Industri av den 9 februari 2002 hade det under en längre tid förelegat en mycket djup konflikt mellan Systembolaget AB:s styrelse och VD Anitra Steen, vilket regeringen också hade fått klara signaler om. I artikeln angavs ett antal konkreta frågor kring vilka det förelåg konflikt mellan VD:n och styrelsens presidium. I artikeln uppgavs att styrelsens dåv</w:t>
      </w:r>
      <w:r w:rsidRPr="001B4EC1">
        <w:t>a</w:t>
      </w:r>
      <w:r w:rsidRPr="001B4EC1">
        <w:t>rande ordförande, Gunnar Lar</w:t>
      </w:r>
      <w:r w:rsidRPr="001B4EC1">
        <w:t>s</w:t>
      </w:r>
      <w:r w:rsidRPr="001B4EC1">
        <w:t>son, hade bekräftat dessa uppgifter.</w:t>
      </w:r>
    </w:p>
    <w:p w:rsidR="00252869" w:rsidRPr="001B4EC1" w:rsidRDefault="00252869">
      <w:pPr>
        <w:pStyle w:val="Normaltindrag"/>
      </w:pPr>
      <w:r w:rsidRPr="001B4EC1">
        <w:t>Enligt ett TT-telegram av den 11 februari 2003, dvs. ca 10 månader efter bytet av styrelseordförande, berättade Gunnar Larsson i en intervju med TV 4:s ”Nyheterna” om en konflikt mellan styrelsen och VD:n Anitra Steen. Enligt telegrammet informerades socialminister Lars Engqvist om konflikten och Gunnar Larsson berättade även om den för statsminister Göran Persson. Det hela slutade enligt telegrammet med att de statliga representanterna i st</w:t>
      </w:r>
      <w:r w:rsidRPr="001B4EC1">
        <w:t>yrelsen byttes ut och att Gunnar Larsson avgick, medan Anitra Steen fick sitta kvar. Till TT uppgav Gunnar Larsson att han inte kunde kommentera varför de andra slutade, men hans eget skäl till att sluta var att rollerna som styrelseordförande för Systembolaget och ordförande för Riksidrottsförbundet var på väg att krocka med varandra.</w:t>
      </w:r>
    </w:p>
    <w:p w:rsidR="00252869" w:rsidRPr="001B4EC1" w:rsidRDefault="00252869">
      <w:pPr>
        <w:pStyle w:val="Citat"/>
        <w:spacing w:before="125"/>
      </w:pPr>
      <w:r w:rsidRPr="001B4EC1">
        <w:t>– Det är de intressen jag har för idrotten som kommer i första hand. Vi bedriver bland annat projekt mot alkohol och droger. Det var det absolut huvu</w:t>
      </w:r>
      <w:r w:rsidRPr="001B4EC1">
        <w:t>d</w:t>
      </w:r>
      <w:r w:rsidRPr="001B4EC1">
        <w:t>sakliga skälet, säger Gunnar Larsson.</w:t>
      </w:r>
    </w:p>
    <w:p w:rsidR="00252869" w:rsidRPr="001B4EC1" w:rsidRDefault="00252869">
      <w:pPr>
        <w:pStyle w:val="Rubrik3"/>
        <w:rPr>
          <w:noProof w:val="0"/>
        </w:rPr>
      </w:pPr>
      <w:bookmarkStart w:id="92" w:name="_Toc72648523"/>
      <w:r w:rsidRPr="001B4EC1">
        <w:rPr>
          <w:noProof w:val="0"/>
        </w:rPr>
        <w:t>Promemorior från Socialdepartementet</w:t>
      </w:r>
      <w:bookmarkEnd w:id="92"/>
    </w:p>
    <w:p w:rsidR="00252869" w:rsidRPr="001B4EC1" w:rsidRDefault="00252869">
      <w:r w:rsidRPr="001B4EC1">
        <w:t>Genom en skrivelse den 20 januari 2004 till Regeringskansliet begärde ko</w:t>
      </w:r>
      <w:r w:rsidRPr="001B4EC1">
        <w:t>n</w:t>
      </w:r>
      <w:r w:rsidRPr="001B4EC1">
        <w:t>stitutionsutskottet en redogörelse för dels regeringens hantering av den ko</w:t>
      </w:r>
      <w:r w:rsidRPr="001B4EC1">
        <w:t>n</w:t>
      </w:r>
      <w:r w:rsidRPr="001B4EC1">
        <w:t>flikt som enligt vissa medier förelåg mellan Systembolaget AB:s styrelse och VD, dels vilka skäl som låg bakom förändringarna i Systembolagets styrelse våren 2002, dels skälen till att statsminister Göran Persson informerats av Gunnar Larsson om ko</w:t>
      </w:r>
      <w:r w:rsidRPr="001B4EC1">
        <w:t>n</w:t>
      </w:r>
      <w:r w:rsidRPr="001B4EC1">
        <w:t>flikten och under vilka former det skett.</w:t>
      </w:r>
    </w:p>
    <w:p w:rsidR="00252869" w:rsidRPr="001B4EC1" w:rsidRDefault="00252869">
      <w:pPr>
        <w:pStyle w:val="Normaltindrag"/>
      </w:pPr>
      <w:r w:rsidRPr="001B4EC1">
        <w:t>Som svar översändes till utskottet en promemoria som upprättats inom S</w:t>
      </w:r>
      <w:r w:rsidRPr="001B4EC1">
        <w:t>o</w:t>
      </w:r>
      <w:r w:rsidRPr="001B4EC1">
        <w:t xml:space="preserve">cialdepartementet den 9 februari 2004, </w:t>
      </w:r>
      <w:r w:rsidRPr="001B4EC1">
        <w:rPr>
          <w:i/>
        </w:rPr>
        <w:t>bilaga A3.1.2</w:t>
      </w:r>
      <w:r w:rsidRPr="001B4EC1">
        <w:t>. I promemorian anförs att Systembolagets dåvarande ordförande informerade socialminister Lars Engqvist sommaren 2001 om sin önskan att lämna ordförandeskapet i S</w:t>
      </w:r>
      <w:r w:rsidRPr="001B4EC1">
        <w:t>y</w:t>
      </w:r>
      <w:r w:rsidRPr="001B4EC1">
        <w:t>stembolaget på grund av för hård arbetsbelastning, främst engagemanget i Riksidrottsförbundet. Ordföranden informerade också om samarbetsproblem med Systembolagets VD. Ordföranden ombads då att stanna kvar som ordf</w:t>
      </w:r>
      <w:r w:rsidRPr="001B4EC1">
        <w:t>ö</w:t>
      </w:r>
      <w:r w:rsidRPr="001B4EC1">
        <w:t>rande i Systembolaget och anstränga sig för att samarbetet skulle fungera. Han fi</w:t>
      </w:r>
      <w:r w:rsidRPr="001B4EC1">
        <w:t>ck också besked om att ägaren hade förtroende för såväl ordförande som VD i Systembolaget. Enligt promemorian återkom ordföranden under hösten 2001 och informerade om fortsatta samarbetsproblem. Även denna gång uppmanades ordföranden att stanna kvar samt att anstränga sig för att samarbetet skulle fungera.</w:t>
      </w:r>
    </w:p>
    <w:p w:rsidR="00252869" w:rsidRPr="001B4EC1" w:rsidRDefault="00252869">
      <w:pPr>
        <w:pStyle w:val="Normaltindrag"/>
      </w:pPr>
      <w:r w:rsidRPr="001B4EC1">
        <w:t>Systembolagets VD informerade socialministern under hösten 2001 om samarbetsproblem med ordföranden. Enligt promemorian uppmanades även hon att anstränga sig för att samarbetet skulle fungera.</w:t>
      </w:r>
    </w:p>
    <w:p w:rsidR="00252869" w:rsidRPr="001B4EC1" w:rsidRDefault="00252869">
      <w:pPr>
        <w:pStyle w:val="Normaltindrag"/>
      </w:pPr>
      <w:r w:rsidRPr="001B4EC1">
        <w:t>Regeringens uppfattning var att så också skedde. I början av 2002 inform</w:t>
      </w:r>
      <w:r w:rsidRPr="001B4EC1">
        <w:t>e</w:t>
      </w:r>
      <w:r w:rsidRPr="001B4EC1">
        <w:t>rade ordföranden att samarbetsklimatet förbättrats och att de tidigare probl</w:t>
      </w:r>
      <w:r w:rsidRPr="001B4EC1">
        <w:t>e</w:t>
      </w:r>
      <w:r w:rsidRPr="001B4EC1">
        <w:t>men var på väg att lösas. Han informerade också om sin avsikt att lämna ordförandeskapet vid bolagsstämman 2002 i enlighet med vad han redan sommaren 2001 påpekat om sin arbetsbelastning.</w:t>
      </w:r>
    </w:p>
    <w:p w:rsidR="00252869" w:rsidRPr="001B4EC1" w:rsidRDefault="00252869">
      <w:pPr>
        <w:pStyle w:val="Normaltindrag"/>
      </w:pPr>
      <w:r w:rsidRPr="001B4EC1">
        <w:t>Syftet med de styrelseförändringar som ägde rum i Systembolaget våren 2002 var enligt promemorian att inom ramen för ett oförändrat antal ledam</w:t>
      </w:r>
      <w:r w:rsidRPr="001B4EC1">
        <w:t>ö</w:t>
      </w:r>
      <w:r w:rsidRPr="001B4EC1">
        <w:t>ter/suppleanter såväl bredda som fördjupa kompetensen i styrelsen. På grund av ökade införselkvoter, generösare öppettider och andra alkoholpolitiska förändringar stod Systembolaget år 2002 inför nya stora utmaningar, varför en översyn av styrelsens kompetens för att anpassa denna till bolagets delvis förändrade verksamhet ansågs nödvändig. Härtill kom att ordföranden den 9 april till Socialdepartementet inkom med en skriftlig begäran om befrielse från uppdraget som ordförande i Systembolagets styrelse.</w:t>
      </w:r>
    </w:p>
    <w:p w:rsidR="00252869" w:rsidRPr="001B4EC1" w:rsidRDefault="00252869">
      <w:pPr>
        <w:pStyle w:val="Normaltindrag"/>
      </w:pPr>
      <w:r w:rsidRPr="001B4EC1">
        <w:t>En</w:t>
      </w:r>
      <w:r w:rsidRPr="001B4EC1">
        <w:t>ligt promemorian bereddes nomineringsfrågan inom Socialdeparteme</w:t>
      </w:r>
      <w:r w:rsidRPr="001B4EC1">
        <w:t>n</w:t>
      </w:r>
      <w:r w:rsidRPr="001B4EC1">
        <w:t>tet enigt den ordning som var gällande vid den aktuella tidpunkten. Förslag till nya styrelsekandidater togs fram av den politiska ledningen i Sociald</w:t>
      </w:r>
      <w:r w:rsidRPr="001B4EC1">
        <w:t>e</w:t>
      </w:r>
      <w:r w:rsidRPr="001B4EC1">
        <w:t>partementet.</w:t>
      </w:r>
    </w:p>
    <w:p w:rsidR="00252869" w:rsidRPr="001B4EC1" w:rsidRDefault="00252869">
      <w:pPr>
        <w:pStyle w:val="Normaltindrag"/>
      </w:pPr>
      <w:r w:rsidRPr="001B4EC1">
        <w:t>Vad gäller Gunnar Larssons information till Göran Persson anförs i pr</w:t>
      </w:r>
      <w:r w:rsidRPr="001B4EC1">
        <w:t>o</w:t>
      </w:r>
      <w:r w:rsidRPr="001B4EC1">
        <w:t>memorian att Göran Persson i anslutning till ett möte med Gunnar Larsson i dennes egenskap av ordförande i Riksidrottsförbundet blev kortfattat orient</w:t>
      </w:r>
      <w:r w:rsidRPr="001B4EC1">
        <w:t>e</w:t>
      </w:r>
      <w:r w:rsidRPr="001B4EC1">
        <w:t>rad om situationen i Systembolagets styrelse.</w:t>
      </w:r>
    </w:p>
    <w:p w:rsidR="00252869" w:rsidRPr="001B4EC1" w:rsidRDefault="00252869">
      <w:pPr>
        <w:pStyle w:val="Rubrik5"/>
        <w:rPr>
          <w:noProof w:val="0"/>
        </w:rPr>
      </w:pPr>
      <w:r w:rsidRPr="001B4EC1">
        <w:rPr>
          <w:noProof w:val="0"/>
        </w:rPr>
        <w:t>Promemorian den 2 mars 2004</w:t>
      </w:r>
    </w:p>
    <w:p w:rsidR="00252869" w:rsidRPr="001B4EC1" w:rsidRDefault="00252869">
      <w:r w:rsidRPr="001B4EC1">
        <w:t>Efter att ha tagit del av ovan nämnda promemoria begärde konstitutionsu</w:t>
      </w:r>
      <w:r w:rsidRPr="001B4EC1">
        <w:t>t</w:t>
      </w:r>
      <w:r w:rsidRPr="001B4EC1">
        <w:t>skottet genom en skrivelse den 19 februari 2004 till Regeringskansliet svar på frågor om dels i vilket sammanhang regeringen fastställde sin uppfattning om utvecklingen av samarbetet mellan styrelseordföranden och VD, och i vilket dokument det finns dokumenterat, dels hur den vid tidpunkten gällande or</w:t>
      </w:r>
      <w:r w:rsidRPr="001B4EC1">
        <w:t>d</w:t>
      </w:r>
      <w:r w:rsidRPr="001B4EC1">
        <w:t>ningen avseende nomineringsfrågan såg ut.</w:t>
      </w:r>
    </w:p>
    <w:p w:rsidR="00252869" w:rsidRPr="001B4EC1" w:rsidRDefault="00252869">
      <w:pPr>
        <w:pStyle w:val="Normaltindrag"/>
      </w:pPr>
      <w:r w:rsidRPr="001B4EC1">
        <w:t>Som svar översändes till utskottet en promemoria som upprättats inom S</w:t>
      </w:r>
      <w:r w:rsidRPr="001B4EC1">
        <w:t>o</w:t>
      </w:r>
      <w:r w:rsidRPr="001B4EC1">
        <w:t xml:space="preserve">cialdepartementet den 2 mars 2004, </w:t>
      </w:r>
      <w:r w:rsidRPr="001B4EC1">
        <w:rPr>
          <w:i/>
        </w:rPr>
        <w:t>bilaga A3.1.3</w:t>
      </w:r>
      <w:r w:rsidRPr="001B4EC1">
        <w:t>. I promemorian anförs att socialminister Lars Enqvist vid den aktuella tidpunkten bemyndigats att för</w:t>
      </w:r>
      <w:r w:rsidRPr="001B4EC1">
        <w:t>e</w:t>
      </w:r>
      <w:r w:rsidRPr="001B4EC1">
        <w:t>träda regeringen i frågor som ankommer på regeringen i egenskap av ägare till Systembolaget AB. När det i den föregående promemorian anförs att ”regeringens uppfattning var att så också skedde” är det således socialmini</w:t>
      </w:r>
      <w:r w:rsidRPr="001B4EC1">
        <w:t>s</w:t>
      </w:r>
      <w:r w:rsidRPr="001B4EC1">
        <w:t>terns uppfattning som avses. Denna uppfattning finns inte dokumenterad i något dokument.</w:t>
      </w:r>
    </w:p>
    <w:p w:rsidR="00252869" w:rsidRPr="001B4EC1" w:rsidRDefault="00252869">
      <w:pPr>
        <w:pStyle w:val="Normaltindrag"/>
      </w:pPr>
      <w:r w:rsidRPr="001B4EC1">
        <w:t>Nomineringen gick enligt promemorian till på så sät</w:t>
      </w:r>
      <w:r w:rsidRPr="001B4EC1">
        <w:t>t att en skrivelse den 18 mars 2002 skickades till Centerpartiet, Folkpartiet liberalerna, Moderata samlingspartiet, Socialdemokraterna och Vänsterpartiet att senast den 11 april 2002 lämna namnförslag till styrelseledamöter och suppleanter i styrelsen för Systembolaget AB. Enligt promemorian nominerades sex styrelseledam</w:t>
      </w:r>
      <w:r w:rsidRPr="001B4EC1">
        <w:t>ö</w:t>
      </w:r>
      <w:r w:rsidRPr="001B4EC1">
        <w:t>ter/suppleanter på detta sätt. Övriga ledamöter/suppleanter utvärderades av den politiska ledningen, som också tog fram förslag till nya styrelsekandid</w:t>
      </w:r>
      <w:r w:rsidRPr="001B4EC1">
        <w:t>a</w:t>
      </w:r>
      <w:r w:rsidRPr="001B4EC1">
        <w:t>ter. Vid beredning för socialministe</w:t>
      </w:r>
      <w:r w:rsidRPr="001B4EC1">
        <w:t>rn den 16 april föredrogs namnförslagen, som beslutades av regeringen den 18 april 2002.</w:t>
      </w:r>
    </w:p>
    <w:p w:rsidR="00252869" w:rsidRPr="001B4EC1" w:rsidRDefault="00252869">
      <w:pPr>
        <w:pStyle w:val="Rubrik3"/>
        <w:rPr>
          <w:noProof w:val="0"/>
        </w:rPr>
      </w:pPr>
      <w:bookmarkStart w:id="93" w:name="_Toc72648524"/>
      <w:r w:rsidRPr="001B4EC1">
        <w:rPr>
          <w:noProof w:val="0"/>
        </w:rPr>
        <w:t>Utskottets ställningstagande</w:t>
      </w:r>
      <w:bookmarkEnd w:id="93"/>
    </w:p>
    <w:p w:rsidR="00252869" w:rsidRPr="001B4EC1" w:rsidRDefault="00252869">
      <w:r w:rsidRPr="001B4EC1">
        <w:t>Vad som har framkommit i ärendet föranleder inte något uttalande av utsko</w:t>
      </w:r>
      <w:r w:rsidRPr="001B4EC1">
        <w:t>t</w:t>
      </w:r>
      <w:r w:rsidRPr="001B4EC1">
        <w:t>tet.</w:t>
      </w:r>
    </w:p>
    <w:p w:rsidR="00252869" w:rsidRPr="001B4EC1" w:rsidRDefault="00252869">
      <w:pPr>
        <w:pStyle w:val="Rubrik2"/>
      </w:pPr>
      <w:bookmarkStart w:id="94" w:name="_Toc72648525"/>
      <w:r w:rsidRPr="001B4EC1">
        <w:t>3.2 Näringsdepartementets handläggning  rörande statligt ägande m.m.</w:t>
      </w:r>
      <w:bookmarkEnd w:id="94"/>
    </w:p>
    <w:p w:rsidR="00252869" w:rsidRPr="001B4EC1" w:rsidRDefault="00252869">
      <w:pPr>
        <w:pStyle w:val="Rubrik3"/>
        <w:spacing w:before="110"/>
        <w:rPr>
          <w:noProof w:val="0"/>
        </w:rPr>
      </w:pPr>
      <w:bookmarkStart w:id="95" w:name="_Toc72648526"/>
      <w:r w:rsidRPr="001B4EC1">
        <w:rPr>
          <w:noProof w:val="0"/>
        </w:rPr>
        <w:t>Ärendet</w:t>
      </w:r>
      <w:bookmarkEnd w:id="95"/>
    </w:p>
    <w:p w:rsidR="00252869" w:rsidRPr="001B4EC1" w:rsidRDefault="00252869">
      <w:r w:rsidRPr="001B4EC1">
        <w:t xml:space="preserve">I en granskningsanmälan, </w:t>
      </w:r>
      <w:r w:rsidRPr="001B4EC1">
        <w:rPr>
          <w:i/>
        </w:rPr>
        <w:t xml:space="preserve">bilaga A3.2.1, </w:t>
      </w:r>
      <w:r w:rsidRPr="001B4EC1">
        <w:t>begärs att konstitutionsutskottet granskar statsrådets och chefen för Näringsdepartementets handläggning av vissa frågor rörande statens ägande i SJ AB samt hans beredning av propos</w:t>
      </w:r>
      <w:r w:rsidRPr="001B4EC1">
        <w:t>i</w:t>
      </w:r>
      <w:r w:rsidRPr="001B4EC1">
        <w:t xml:space="preserve">tionerna 2002/03:24 </w:t>
      </w:r>
      <w:r w:rsidRPr="001B4EC1">
        <w:rPr>
          <w:i/>
        </w:rPr>
        <w:t xml:space="preserve">Överlåtelse av aktier i Svenska Skogsplantor AB till Sveaskog AB, </w:t>
      </w:r>
      <w:r w:rsidRPr="001B4EC1">
        <w:t xml:space="preserve">2002/03:64 </w:t>
      </w:r>
      <w:r w:rsidRPr="001B4EC1">
        <w:rPr>
          <w:i/>
        </w:rPr>
        <w:t>Kapitaltillskott till Teracom AB</w:t>
      </w:r>
      <w:r w:rsidRPr="001B4EC1">
        <w:t xml:space="preserve">, 2002/03:86 </w:t>
      </w:r>
      <w:r w:rsidRPr="001B4EC1">
        <w:rPr>
          <w:i/>
        </w:rPr>
        <w:t>Åtgä</w:t>
      </w:r>
      <w:r w:rsidRPr="001B4EC1">
        <w:rPr>
          <w:i/>
        </w:rPr>
        <w:t>r</w:t>
      </w:r>
      <w:r w:rsidRPr="001B4EC1">
        <w:rPr>
          <w:i/>
        </w:rPr>
        <w:t xml:space="preserve">der för att stärka den finansiella ställningen i SJ AB </w:t>
      </w:r>
      <w:r w:rsidRPr="001B4EC1">
        <w:t xml:space="preserve">samt 2002/03:142 </w:t>
      </w:r>
      <w:r w:rsidRPr="001B4EC1">
        <w:rPr>
          <w:i/>
        </w:rPr>
        <w:t>Vissa ägarfrågor m.m. rörande AB Svensk Exportkredit</w:t>
      </w:r>
      <w:r w:rsidRPr="001B4EC1">
        <w:t>.</w:t>
      </w:r>
    </w:p>
    <w:p w:rsidR="00252869" w:rsidRPr="001B4EC1" w:rsidRDefault="00252869">
      <w:pPr>
        <w:pStyle w:val="Normaltindrag"/>
      </w:pPr>
      <w:r w:rsidRPr="001B4EC1">
        <w:t>I fråga om proposition 2002/03:24 om överl</w:t>
      </w:r>
      <w:r w:rsidRPr="001B4EC1">
        <w:t xml:space="preserve">åtelse av aktier i Svenska Skogsplantor AB anför anmälarna att det inte fanns något beslutsunderlag som angav varför den aktieöverlåtelse som föreslogs av regeringen var att föredra framför kapitaltillskott från ägaren, likvidation eller konkurs. </w:t>
      </w:r>
    </w:p>
    <w:p w:rsidR="00252869" w:rsidRPr="001B4EC1" w:rsidRDefault="00252869">
      <w:pPr>
        <w:pStyle w:val="Normaltindrag"/>
      </w:pPr>
      <w:r w:rsidRPr="001B4EC1">
        <w:t>När det gäller proposition 2002/03:64 om Teracom AB påpekar anmälarna att regeringen inte ansett att det förelegat behov av att inhämta yttranden och upplysningar från myndigheter, sammanslutningar och enskilda. Enligt a</w:t>
      </w:r>
      <w:r w:rsidRPr="001B4EC1">
        <w:t>n</w:t>
      </w:r>
      <w:r w:rsidRPr="001B4EC1">
        <w:t>mälarna var propositionen dåligt underbyggd och flera viktiga delar saknades för att riksdagen skulle kunna göra en bedömning. Anmälarna framhåller också att partierna i riksdagen inte haft möjlighet att före motionstidens u</w:t>
      </w:r>
      <w:r w:rsidRPr="001B4EC1">
        <w:t>t</w:t>
      </w:r>
      <w:r w:rsidRPr="001B4EC1">
        <w:t>gång göra en bedömning i vissa frågor, eftersom alla handlingar rörande Teracom AB var hemligstämplade i Näringsdepartementet. När Kristdem</w:t>
      </w:r>
      <w:r w:rsidRPr="001B4EC1">
        <w:t>o</w:t>
      </w:r>
      <w:r w:rsidRPr="001B4EC1">
        <w:t>kraterna i samband med att propositionen överlämnades till riksdagen begärde att få ta del av Näringsdepartementets handlingar fick man den 1 apri</w:t>
      </w:r>
      <w:r w:rsidRPr="001B4EC1">
        <w:t>l 2003 – nära två veckor efter det att framställan gjordes – besked om att man skulle få ta del av handlingarna och att de skulle sändas över med internposten. De handlingar som kom utgjordes i princip av vita sidor med Teracom AB:s och övriga inblandades brevhuvuden.</w:t>
      </w:r>
    </w:p>
    <w:p w:rsidR="00252869" w:rsidRPr="001B4EC1" w:rsidRDefault="00252869">
      <w:pPr>
        <w:pStyle w:val="Normaltindrag"/>
      </w:pPr>
      <w:r w:rsidRPr="001B4EC1">
        <w:t>Beträffande proposition 2002/03:86 om SJ AB anför anmälarna att rege</w:t>
      </w:r>
      <w:r w:rsidRPr="001B4EC1">
        <w:t>r</w:t>
      </w:r>
      <w:r w:rsidRPr="001B4EC1">
        <w:t>ingen inte ansett att det förelegat behov av att inhämta yttranden och upply</w:t>
      </w:r>
      <w:r w:rsidRPr="001B4EC1">
        <w:t>s</w:t>
      </w:r>
      <w:r w:rsidRPr="001B4EC1">
        <w:t>ningar från myndigheter, sammanslutningar eller enskilda. I stället har försl</w:t>
      </w:r>
      <w:r w:rsidRPr="001B4EC1">
        <w:t>a</w:t>
      </w:r>
      <w:r w:rsidRPr="001B4EC1">
        <w:t>gen utformats i samarbete med Vänsterpartiet och Miljöpartiet. Enligt anm</w:t>
      </w:r>
      <w:r w:rsidRPr="001B4EC1">
        <w:t>ä</w:t>
      </w:r>
      <w:r w:rsidRPr="001B4EC1">
        <w:t>larna redovisas inte heller i denna proposition något beslutsunderlag i form av problem- och konsekvensanalyser.</w:t>
      </w:r>
    </w:p>
    <w:p w:rsidR="00252869" w:rsidRPr="001B4EC1" w:rsidRDefault="00252869">
      <w:pPr>
        <w:pStyle w:val="Normaltindrag"/>
      </w:pPr>
      <w:r w:rsidRPr="001B4EC1">
        <w:t xml:space="preserve">Anmälarna framhåller att rörande frågan om förslagens överensstämmelse med EU:s konkurrens- och statsstödsregler har flera hundra sidor överlämnats från regeringen till </w:t>
      </w:r>
      <w:r w:rsidRPr="001B4EC1">
        <w:t>EG-kommissionen. Detta omfattande material har enligt anmälarna tillhandahållits riksdagen först efter det att motionstiden löpt ut. Hela inlagan till EU-kommissionen har hemligstämplats med hänvisning till bestämmelserna i 8 kap. 6 § sekretesslagen (1980:100, SekrL) om sekretess med hänsyn till främst skyddet för enskilds ekonomiska förhållanden. Anm</w:t>
      </w:r>
      <w:r w:rsidRPr="001B4EC1">
        <w:t>ä</w:t>
      </w:r>
      <w:r w:rsidRPr="001B4EC1">
        <w:t>larna påpekar att sekretessen även omfattade regeringens missivskrivelse till kommissionen. Enligt anmälarna ville Näringsdepartementet inte ge offen</w:t>
      </w:r>
      <w:r w:rsidRPr="001B4EC1">
        <w:t>t</w:t>
      </w:r>
      <w:r w:rsidRPr="001B4EC1">
        <w:t>lighet å</w:t>
      </w:r>
      <w:r w:rsidRPr="001B4EC1">
        <w:t>t ”resonemanget” i skrivelsen och det sätt på vilket regeringen närm</w:t>
      </w:r>
      <w:r w:rsidRPr="001B4EC1">
        <w:t>a</w:t>
      </w:r>
      <w:r w:rsidRPr="001B4EC1">
        <w:t>de sig kommissionen. Anmälarna anser att det är uppenbart att 8 kap. 6 §  SekrL inte utgjorde en giltigt grund för sekretessbeläggning av skrivelsen.</w:t>
      </w:r>
    </w:p>
    <w:p w:rsidR="00252869" w:rsidRPr="001B4EC1" w:rsidRDefault="00252869">
      <w:pPr>
        <w:pStyle w:val="Normaltindrag"/>
      </w:pPr>
      <w:r w:rsidRPr="001B4EC1">
        <w:t xml:space="preserve">Vidare anför anmälarna att Näringsdepartementet hävde sekretessen sedan en ledamot skriftligen begärt hos näringsutskottet att utskottet skulle lämna ut missivskrivelsen. Enligt anmälarna indikerar detta beslut att det inte fanns grund för sekretesstämpeln och att denna gjorts med hänvisning </w:t>
      </w:r>
      <w:r w:rsidRPr="001B4EC1">
        <w:t>till fel la</w:t>
      </w:r>
      <w:r w:rsidRPr="001B4EC1">
        <w:t>g</w:t>
      </w:r>
      <w:r w:rsidRPr="001B4EC1">
        <w:t>rum.</w:t>
      </w:r>
    </w:p>
    <w:p w:rsidR="00252869" w:rsidRPr="001B4EC1" w:rsidRDefault="00252869">
      <w:pPr>
        <w:pStyle w:val="Normaltindrag"/>
      </w:pPr>
      <w:r w:rsidRPr="001B4EC1">
        <w:t>Därutöver anför anmälarna att Kristdemokraterna begärde att få ut det u</w:t>
      </w:r>
      <w:r w:rsidRPr="001B4EC1">
        <w:t>n</w:t>
      </w:r>
      <w:r w:rsidRPr="001B4EC1">
        <w:t>derlag som låg till grund för bolagiseringen av affärsverket Statens Järnvägar. Först dagarna före juluppehållet 2002 – nära två veckor efter den ursprungliga begäran – gav Näringsdepartementet möjlighet till insyn i delar av handlin</w:t>
      </w:r>
      <w:r w:rsidRPr="001B4EC1">
        <w:t>g</w:t>
      </w:r>
      <w:r w:rsidRPr="001B4EC1">
        <w:t>arna. Enligt anmälarna begärde Kristdemokraterna då att få kopior på hela akten, inklusive sekretessbelagda handlingar. Den 14 januari 2003 överlä</w:t>
      </w:r>
      <w:r w:rsidRPr="001B4EC1">
        <w:t>m</w:t>
      </w:r>
      <w:r w:rsidRPr="001B4EC1">
        <w:t>nades kopior. Vidare beslutade regeringen den 6 februari att avslå ansökan om att få ta del av de sekretessbelagda handlingarna. A</w:t>
      </w:r>
      <w:r w:rsidRPr="001B4EC1">
        <w:t>nmälarna framhåller att beslutet inte expedierades förrän den 13 februari,  vilket var två månader efter det att framställan gjordes.</w:t>
      </w:r>
    </w:p>
    <w:p w:rsidR="00252869" w:rsidRPr="001B4EC1" w:rsidRDefault="00252869">
      <w:pPr>
        <w:pStyle w:val="Normaltindrag"/>
      </w:pPr>
      <w:r w:rsidRPr="001B4EC1">
        <w:t>Enligt anmälarna förhöll det sig på liknande sätt när man begärde ut u</w:t>
      </w:r>
      <w:r w:rsidRPr="001B4EC1">
        <w:t>n</w:t>
      </w:r>
      <w:r w:rsidRPr="001B4EC1">
        <w:t>derlaget till propositionen om SJ AB. Tre veckor efter det att Kristdemokr</w:t>
      </w:r>
      <w:r w:rsidRPr="001B4EC1">
        <w:t>a</w:t>
      </w:r>
      <w:r w:rsidRPr="001B4EC1">
        <w:t xml:space="preserve">terna begärt att få ta del av handlingarna hade Näringsdepartementet ännu inte tagit någon kontakt med SJ AB eller på annat sätt inlett en beredning för att utröna huruvida dokumenten omfattades av sekretess. </w:t>
      </w:r>
    </w:p>
    <w:p w:rsidR="00252869" w:rsidRPr="001B4EC1" w:rsidRDefault="00252869">
      <w:pPr>
        <w:pStyle w:val="Normaltindrag"/>
      </w:pPr>
      <w:r w:rsidRPr="001B4EC1">
        <w:t>Vad gäller proposition 2002/03:142 om AB Svensk Exportkredit anför anmälarna att det inte heller i denna proposition redovisades något beslutsu</w:t>
      </w:r>
      <w:r w:rsidRPr="001B4EC1">
        <w:t>n</w:t>
      </w:r>
      <w:r w:rsidRPr="001B4EC1">
        <w:t>derlag. Enligt anmälarna har riksdagen även i detta fall undanhållits en analys av vilka alternativ som stod till buds och regeringens argument för att den valda lösningen var att föredra.</w:t>
      </w:r>
    </w:p>
    <w:p w:rsidR="00252869" w:rsidRPr="001B4EC1" w:rsidRDefault="00252869">
      <w:pPr>
        <w:pStyle w:val="Normaltindrag"/>
      </w:pPr>
      <w:r w:rsidRPr="001B4EC1">
        <w:t>Enligt anmälarna bör konstitutionsutskottet granska om näringsministern har berett propositionerna i enlighet med bestämmelserna i 7 kap. 2 § rege</w:t>
      </w:r>
      <w:r w:rsidRPr="001B4EC1">
        <w:t>r</w:t>
      </w:r>
      <w:r w:rsidRPr="001B4EC1">
        <w:t>ingsformen, 2 kap. 1, 2, 12 och 15 §§ tryckfrihetsförordningen samt bestä</w:t>
      </w:r>
      <w:r w:rsidRPr="001B4EC1">
        <w:t>m</w:t>
      </w:r>
      <w:r w:rsidRPr="001B4EC1">
        <w:t>me</w:t>
      </w:r>
      <w:r w:rsidRPr="001B4EC1">
        <w:t>l</w:t>
      </w:r>
      <w:r w:rsidRPr="001B4EC1">
        <w:t>serna i sekretesslagen. Anmälarna framhåller följande frågeställningar:</w:t>
      </w:r>
    </w:p>
    <w:p w:rsidR="00252869" w:rsidRPr="001B4EC1" w:rsidRDefault="00252869">
      <w:pPr>
        <w:pStyle w:val="Normaltindrag"/>
        <w:numPr>
          <w:ilvl w:val="0"/>
          <w:numId w:val="25"/>
        </w:numPr>
        <w:spacing w:before="125"/>
      </w:pPr>
      <w:r w:rsidRPr="001B4EC1">
        <w:t>Är det förenligt med regeringsformen att i ärenden av betydande ek</w:t>
      </w:r>
      <w:r w:rsidRPr="001B4EC1">
        <w:t>o</w:t>
      </w:r>
      <w:r w:rsidRPr="001B4EC1">
        <w:t>nomisk omfattning underlåta att inhämta yttranden och hemligstämpla allt beslutsu</w:t>
      </w:r>
      <w:r w:rsidRPr="001B4EC1">
        <w:t>n</w:t>
      </w:r>
      <w:r w:rsidRPr="001B4EC1">
        <w:t>derlag?</w:t>
      </w:r>
    </w:p>
    <w:p w:rsidR="00252869" w:rsidRPr="001B4EC1" w:rsidRDefault="00252869">
      <w:pPr>
        <w:pStyle w:val="Normaltindrag"/>
        <w:numPr>
          <w:ilvl w:val="0"/>
          <w:numId w:val="25"/>
        </w:numPr>
      </w:pPr>
      <w:r w:rsidRPr="001B4EC1">
        <w:t>Är regeringens handläggning av ärenden som rör allmänna handlingar före</w:t>
      </w:r>
      <w:r w:rsidRPr="001B4EC1">
        <w:t>n</w:t>
      </w:r>
      <w:r w:rsidRPr="001B4EC1">
        <w:t>lig med bestämmelserna i 2 kap. TF och sekretesslagen?</w:t>
      </w:r>
    </w:p>
    <w:p w:rsidR="00252869" w:rsidRPr="001B4EC1" w:rsidRDefault="00252869">
      <w:pPr>
        <w:pStyle w:val="Normaltindrag"/>
        <w:numPr>
          <w:ilvl w:val="0"/>
          <w:numId w:val="25"/>
        </w:numPr>
      </w:pPr>
      <w:r w:rsidRPr="001B4EC1">
        <w:t>Är den tid som regeringen har tagit på sig för att handlägga ärenden om allmänna handlingar förenlig med bestämmelserna i 2 kap. 12 § TF om att en allmän handling skall lämnas ut genast eller så snart det är möjligt?</w:t>
      </w:r>
    </w:p>
    <w:p w:rsidR="00252869" w:rsidRPr="001B4EC1" w:rsidRDefault="00252869">
      <w:pPr>
        <w:pStyle w:val="Normaltindrag"/>
        <w:numPr>
          <w:ilvl w:val="0"/>
          <w:numId w:val="25"/>
        </w:numPr>
      </w:pPr>
      <w:r w:rsidRPr="001B4EC1">
        <w:t>Fanns det laglig grund för regeringen att hemligstämpla den sederm</w:t>
      </w:r>
      <w:r w:rsidRPr="001B4EC1">
        <w:t>e</w:t>
      </w:r>
      <w:r w:rsidRPr="001B4EC1">
        <w:t>ra offentliggjorda missivskrivelsen till kommissionen?</w:t>
      </w:r>
    </w:p>
    <w:p w:rsidR="00252869" w:rsidRPr="001B4EC1" w:rsidRDefault="00252869">
      <w:pPr>
        <w:pStyle w:val="Normaltindrag"/>
        <w:numPr>
          <w:ilvl w:val="0"/>
          <w:numId w:val="25"/>
        </w:numPr>
      </w:pPr>
      <w:r w:rsidRPr="001B4EC1">
        <w:t>Skedde i så fall hemligstämplingen av skrivelsen med hänvisning till rätt lagrum?</w:t>
      </w:r>
    </w:p>
    <w:p w:rsidR="00252869" w:rsidRPr="001B4EC1" w:rsidRDefault="00252869">
      <w:r w:rsidRPr="001B4EC1">
        <w:t xml:space="preserve">Till grund för granskningen har bl.a. legat en promemoria upprättad inom Näringsdepartementet, </w:t>
      </w:r>
      <w:r w:rsidRPr="001B4EC1">
        <w:rPr>
          <w:i/>
        </w:rPr>
        <w:t>bilaga A3.2.2</w:t>
      </w:r>
      <w:r w:rsidRPr="001B4EC1">
        <w:t xml:space="preserve">, samt en utfrågning med näringsminister Leif Pagrotsky, </w:t>
      </w:r>
      <w:r w:rsidRPr="001B4EC1">
        <w:rPr>
          <w:i/>
        </w:rPr>
        <w:t>bilaga B8</w:t>
      </w:r>
      <w:r w:rsidRPr="001B4EC1">
        <w:t xml:space="preserve">. </w:t>
      </w:r>
    </w:p>
    <w:p w:rsidR="00252869" w:rsidRPr="001B4EC1" w:rsidRDefault="00252869">
      <w:pPr>
        <w:pStyle w:val="R3"/>
      </w:pPr>
      <w:r w:rsidRPr="001B4EC1">
        <w:t>Regeringens beslut den 6 februari 2003 rörande en begäran om att få ta del av allmän handling</w:t>
      </w:r>
    </w:p>
    <w:p w:rsidR="00252869" w:rsidRPr="001B4EC1" w:rsidRDefault="00252869">
      <w:r w:rsidRPr="001B4EC1">
        <w:t>Regeringen beslutade den 6 februari 2003 att avslå en begäran från Magnus Kolsjö, politisk sekreterare, Kristdemokraterna i Sveriges riksdag om att få ta del av allmän handling såvitt avsåg handlingarna som inte redan hade lämnats ut till honom.</w:t>
      </w:r>
    </w:p>
    <w:p w:rsidR="00252869" w:rsidRPr="001B4EC1" w:rsidRDefault="00252869">
      <w:pPr>
        <w:pStyle w:val="Normaltindrag"/>
      </w:pPr>
      <w:r w:rsidRPr="001B4EC1">
        <w:t>I beslutet redovisas att Magnus Kolsjö den 12 december 2002 begärt att få ta del av handlingar som registrerats med diarienummer N2000/5358/SÄ. Delar av handlingarna har enligt beslutet lämnats ut till denne. De handlingar som inte lämnats ut finns förtecknade i en bilaga till beslutet. Dessa handlin</w:t>
      </w:r>
      <w:r w:rsidRPr="001B4EC1">
        <w:t>g</w:t>
      </w:r>
      <w:r w:rsidRPr="001B4EC1">
        <w:t>ar innehåller uppgifter om värderingar, strategier, affärsplaner och leasinga</w:t>
      </w:r>
      <w:r w:rsidRPr="001B4EC1">
        <w:t>v</w:t>
      </w:r>
      <w:r w:rsidRPr="001B4EC1">
        <w:t>tal. För dessa uppgifter gäller enligt beslutet sekretess enlig 8 kap. 6 § sekr</w:t>
      </w:r>
      <w:r w:rsidRPr="001B4EC1">
        <w:t>e</w:t>
      </w:r>
      <w:r w:rsidRPr="001B4EC1">
        <w:t>tesslagen, 2 § sekretessförordningen (1980:657) samt punkten 1 och 10 i bilagan till sekretessförordningen, eftersom uppgifterna avser enskilds affär</w:t>
      </w:r>
      <w:r w:rsidRPr="001B4EC1">
        <w:t>s</w:t>
      </w:r>
      <w:r w:rsidRPr="001B4EC1">
        <w:t>förhållanden och det kan antas att den enskilde lider skada om uppgifterna röjs.</w:t>
      </w:r>
    </w:p>
    <w:p w:rsidR="00252869" w:rsidRPr="001B4EC1" w:rsidRDefault="00252869">
      <w:pPr>
        <w:pStyle w:val="R3"/>
      </w:pPr>
      <w:r w:rsidRPr="001B4EC1">
        <w:t>Riksdagsbehandlingen av de i anmälan omtalade propositionerna</w:t>
      </w:r>
    </w:p>
    <w:p w:rsidR="00252869" w:rsidRPr="001B4EC1" w:rsidRDefault="00252869">
      <w:pPr>
        <w:pStyle w:val="R4"/>
      </w:pPr>
      <w:r w:rsidRPr="001B4EC1">
        <w:t>Överlåtelse av aktier i Svenska Skogsplantor AB</w:t>
      </w:r>
    </w:p>
    <w:p w:rsidR="00252869" w:rsidRPr="001B4EC1" w:rsidRDefault="00252869">
      <w:r w:rsidRPr="001B4EC1">
        <w:t xml:space="preserve">I proposition 2002/03:24 </w:t>
      </w:r>
      <w:r w:rsidRPr="001B4EC1">
        <w:rPr>
          <w:i/>
        </w:rPr>
        <w:t xml:space="preserve">Överlåtelse av aktier i Svenska Skogsplantor AB till Sveaskog AB </w:t>
      </w:r>
      <w:r w:rsidRPr="001B4EC1">
        <w:t>föreslog regeringen att riksdagen skulle godkänna att samtliga aktier i det helstatliga bolaget Svenska Skogsplantor AB överläts på det likaså helstatliga bolaget Sveaskog AB. Regeringen ansåg att frågan om överlåtelse var av sådan karaktär att det inte förelegat behov av att inhämta yttranden och upplysningar från några myndigheter, sammanslutningar eller enskilda (prop. s. 6).</w:t>
      </w:r>
    </w:p>
    <w:p w:rsidR="00252869" w:rsidRPr="001B4EC1" w:rsidRDefault="00252869">
      <w:pPr>
        <w:pStyle w:val="Normaltindrag"/>
      </w:pPr>
      <w:r w:rsidRPr="001B4EC1">
        <w:t>I samband med riksdagsbehandlingen av propositionen bereddes på n</w:t>
      </w:r>
      <w:r w:rsidRPr="001B4EC1">
        <w:t>ä</w:t>
      </w:r>
      <w:r w:rsidRPr="001B4EC1">
        <w:t>r</w:t>
      </w:r>
      <w:r w:rsidRPr="001B4EC1">
        <w:t>ingsutskottets initiativ ett urval av företrädare för skogsnäringen möjlighet att komma in med yttranden över propositionen och följdmotioner. Remisstiden var starkt begränsad.</w:t>
      </w:r>
    </w:p>
    <w:p w:rsidR="00252869" w:rsidRPr="001B4EC1" w:rsidRDefault="00252869">
      <w:pPr>
        <w:pStyle w:val="Normaltindrag"/>
      </w:pPr>
      <w:r w:rsidRPr="001B4EC1">
        <w:t>Näringsutskottet tillstyrkte att riksdagen skulle godkänna aktieöverlåtelsen (bet. 2002/03:NU4). I två reservationer från (m, fp) respektive (kd) yrkades avslag på propositionen. Ett enigt utskott konstaterade emellertid att propos</w:t>
      </w:r>
      <w:r w:rsidRPr="001B4EC1">
        <w:t>i</w:t>
      </w:r>
      <w:r w:rsidRPr="001B4EC1">
        <w:t>tionen inte motsvarat de krav som riksdagen normalt bör ställa vad gäller underlagsmaterial från regeringen. Utskottet saknade en redovisning av r</w:t>
      </w:r>
      <w:r w:rsidRPr="001B4EC1">
        <w:t>e</w:t>
      </w:r>
      <w:r w:rsidRPr="001B4EC1">
        <w:t xml:space="preserve">geringens analys av olika tänkbara, alternativa lösningar. Enligt utskottets mening borde regeringen också ha inhämtat remissynpunkter i ärendet. </w:t>
      </w:r>
    </w:p>
    <w:p w:rsidR="00252869" w:rsidRPr="001B4EC1" w:rsidRDefault="00252869">
      <w:pPr>
        <w:pStyle w:val="Normaltindrag"/>
      </w:pPr>
      <w:r w:rsidRPr="001B4EC1">
        <w:t>Riksdagen följde utskottets förslag (prot. 2002/03:66).</w:t>
      </w:r>
    </w:p>
    <w:p w:rsidR="00252869" w:rsidRPr="001B4EC1" w:rsidRDefault="00252869">
      <w:pPr>
        <w:pStyle w:val="R4"/>
      </w:pPr>
      <w:r w:rsidRPr="001B4EC1">
        <w:t>Kapitaltillskott till Teracom AB</w:t>
      </w:r>
    </w:p>
    <w:p w:rsidR="00252869" w:rsidRPr="001B4EC1" w:rsidRDefault="00252869">
      <w:r w:rsidRPr="001B4EC1">
        <w:t xml:space="preserve">I proposition 2002/03:64 </w:t>
      </w:r>
      <w:r w:rsidRPr="001B4EC1">
        <w:rPr>
          <w:i/>
        </w:rPr>
        <w:t xml:space="preserve">Kapitaltillskott till Teracom AB </w:t>
      </w:r>
      <w:r w:rsidRPr="001B4EC1">
        <w:t>föreslog regeringen att riksdagen bemyndigade regeringen att, inom den ram som för 2003 anv</w:t>
      </w:r>
      <w:r w:rsidRPr="001B4EC1">
        <w:t>i</w:t>
      </w:r>
      <w:r w:rsidRPr="001B4EC1">
        <w:t>sats för lån i Riksgäldskontoret för investeringar i anläggningstillgångar som används i statens verksamhet, besluta om ett lån för att finansiera ett villkorat kapitaltillskott på högst 500 000 000 kr till Teracom AB. Regeringen ansåg att frågan om kapitaltillskott till Teracom AB var av sådan karaktär att det inte förelegat behov av att inhämta yttranden och upplysningar från myndi</w:t>
      </w:r>
      <w:r w:rsidRPr="001B4EC1">
        <w:t>g</w:t>
      </w:r>
      <w:r w:rsidRPr="001B4EC1">
        <w:t>heter, sammanslutningar eller enskilda (prop. s. 6).</w:t>
      </w:r>
    </w:p>
    <w:p w:rsidR="00252869" w:rsidRPr="001B4EC1" w:rsidRDefault="00252869">
      <w:pPr>
        <w:pStyle w:val="Normaltindrag"/>
      </w:pPr>
      <w:r w:rsidRPr="001B4EC1">
        <w:t>Kulturutskottet behandlade bl.a. propositionen jämte följdmotioner i b</w:t>
      </w:r>
      <w:r w:rsidRPr="001B4EC1">
        <w:t>e</w:t>
      </w:r>
      <w:r w:rsidRPr="001B4EC1">
        <w:t>tänkande 2002/03:KrU7. Utskottet avstyrkte ett motionsyrkande om att r</w:t>
      </w:r>
      <w:r w:rsidRPr="001B4EC1">
        <w:t>e</w:t>
      </w:r>
      <w:r w:rsidRPr="001B4EC1">
        <w:t>geringen skulle återkomma till riksdagen med ett mer genomarbetat förslag. Härefter tillstyrkte utskottet regeringens förslag. I två reservationer från (m, fp) respektive (kd) yrkades avslag på propositionen. Som skäl angavs bl.a. att regeringens underlag för propositionen inte var tillräckligt.</w:t>
      </w:r>
    </w:p>
    <w:p w:rsidR="00252869" w:rsidRPr="001B4EC1" w:rsidRDefault="00252869">
      <w:pPr>
        <w:pStyle w:val="Normaltindrag"/>
      </w:pPr>
      <w:r w:rsidRPr="001B4EC1">
        <w:t>Riksdagen beslutade i enlighet med utsko</w:t>
      </w:r>
      <w:r w:rsidRPr="001B4EC1">
        <w:t>t</w:t>
      </w:r>
      <w:r w:rsidRPr="001B4EC1">
        <w:t>tets förslag (prot. 2002/03:113).</w:t>
      </w:r>
    </w:p>
    <w:p w:rsidR="00252869" w:rsidRPr="001B4EC1" w:rsidRDefault="00252869">
      <w:pPr>
        <w:pStyle w:val="R4"/>
      </w:pPr>
      <w:r w:rsidRPr="001B4EC1">
        <w:t>Åtgärder för att stärka den finansiella ställningen i SJ AB</w:t>
      </w:r>
    </w:p>
    <w:p w:rsidR="00252869" w:rsidRPr="001B4EC1" w:rsidRDefault="00252869">
      <w:r w:rsidRPr="001B4EC1">
        <w:t xml:space="preserve">I proposition 2002/03:86 </w:t>
      </w:r>
      <w:r w:rsidRPr="001B4EC1">
        <w:rPr>
          <w:i/>
        </w:rPr>
        <w:t xml:space="preserve">Åtgärder för att stärka den finansiella ställningen i SJ AB </w:t>
      </w:r>
      <w:r w:rsidRPr="001B4EC1">
        <w:t>föreslog regeringen att riksdagen bemyndigade regeringen att tilldela SJ AB ett kapitaltillskott om högst 1 855 mnkr, att ge SJ AB en låneram i Riksgäldskontoret om 2 000 mnkr för perioden 2004–2007 (avsnitt 5) samt att vidta de åtgärder som i övrigt behövdes för att stärka den finansiella stäl</w:t>
      </w:r>
      <w:r w:rsidRPr="001B4EC1">
        <w:t>l</w:t>
      </w:r>
      <w:r w:rsidRPr="001B4EC1">
        <w:t>ningen i SJ AB. Regeringen ansåg att frågorna om kapitaltillskott m.m. var av sådan karaktär att det inte förelegat behov av att inhämta yttranden och up</w:t>
      </w:r>
      <w:r w:rsidRPr="001B4EC1">
        <w:t>p</w:t>
      </w:r>
      <w:r w:rsidRPr="001B4EC1">
        <w:t>ly</w:t>
      </w:r>
      <w:r w:rsidRPr="001B4EC1">
        <w:t>sningar från myndigheter, sammanslutningar eller enskilda (prop. s. 4).</w:t>
      </w:r>
    </w:p>
    <w:p w:rsidR="00252869" w:rsidRPr="001B4EC1" w:rsidRDefault="00252869">
      <w:pPr>
        <w:pStyle w:val="Normaltindrag"/>
      </w:pPr>
      <w:r w:rsidRPr="001B4EC1">
        <w:t>Näringsutskottet behandlade propositionen jämte följdmotioner i betä</w:t>
      </w:r>
      <w:r w:rsidRPr="001B4EC1">
        <w:t>n</w:t>
      </w:r>
      <w:r w:rsidRPr="001B4EC1">
        <w:t>kande 2002/03:NU13. Utskottet hade därvid berett trafikutskottet tillfälle att yttra sig över propositionen och motionerna (yttr. 2002/03:TU7y). I betä</w:t>
      </w:r>
      <w:r w:rsidRPr="001B4EC1">
        <w:t>n</w:t>
      </w:r>
      <w:r w:rsidRPr="001B4EC1">
        <w:t>kandet redovisade näringsutskottet att det under motionstiden hade begärt in akten rörande propositionen om SJ AB från Näringsdepartementet. Utskottet anförde att materialet i akten, som var sekretessbelagt hos departementet, hade kommit in till utskottet tre dagar före motionstidens utgång och hade därefter – med fortsatt sekretess – varit tillgängligt för</w:t>
      </w:r>
      <w:r w:rsidRPr="001B4EC1">
        <w:t xml:space="preserve"> utskottets ledamöter och suppleanter. I materialet ingick enligt utskottet främst underlag från den externa ekonomiska och juridiska expertis som departementet anlitat i utre</w:t>
      </w:r>
      <w:r w:rsidRPr="001B4EC1">
        <w:t>d</w:t>
      </w:r>
      <w:r w:rsidRPr="001B4EC1">
        <w:t>ningsarbetet. Därutöver redovisade utskottet bl.a. att närings-, finans- och trafikutskotten hade genomfört en gemensam, icke offentlig, utfrågning med näringsminister Leif Pagrotsky i december 2002 om SJ:s ekonomiska situ</w:t>
      </w:r>
      <w:r w:rsidRPr="001B4EC1">
        <w:t>a</w:t>
      </w:r>
      <w:r w:rsidRPr="001B4EC1">
        <w:t>tion. Bakgrunden var den kontrollbalansräkning som SJ hade upprättat och som visade att det egna kapitalet unders</w:t>
      </w:r>
      <w:r w:rsidRPr="001B4EC1">
        <w:t>teg hälften av det registrerade akti</w:t>
      </w:r>
      <w:r w:rsidRPr="001B4EC1">
        <w:t>e</w:t>
      </w:r>
      <w:r w:rsidRPr="001B4EC1">
        <w:t>kapitalet. Vid utfrågningen redovisade näringsministern det arbete som satts i gång inom departementet.</w:t>
      </w:r>
    </w:p>
    <w:p w:rsidR="00252869" w:rsidRPr="001B4EC1" w:rsidRDefault="00252869">
      <w:pPr>
        <w:pStyle w:val="Normaltindrag"/>
      </w:pPr>
      <w:r w:rsidRPr="001B4EC1">
        <w:t>Enligt näringsutskottet borde riksdagen avvisa motioner med förslag om avslag på propositionen. Enligt utskottets mening var det underlag som pr</w:t>
      </w:r>
      <w:r w:rsidRPr="001B4EC1">
        <w:t>e</w:t>
      </w:r>
      <w:r w:rsidRPr="001B4EC1">
        <w:t>senterades i propositionen tillräckligt som underlag för ett riksdagsbeslut. Mot utskottets ställningstagande i denna del reserverade sig ledamöter från (m, fp, kd och c). De ansåg att det underlag som regeringen presenterar i en propos</w:t>
      </w:r>
      <w:r w:rsidRPr="001B4EC1">
        <w:t>i</w:t>
      </w:r>
      <w:r w:rsidRPr="001B4EC1">
        <w:t>tion skall vara av sådan karaktär att det självständigt kan ligga till grund för ett riksdagsbeslut. Det kan inte kompenseras i efterhand genom att sekretes</w:t>
      </w:r>
      <w:r w:rsidRPr="001B4EC1">
        <w:t>s</w:t>
      </w:r>
      <w:r w:rsidRPr="001B4EC1">
        <w:t>belagt material ställs till utskottets förfogande.</w:t>
      </w:r>
    </w:p>
    <w:p w:rsidR="00252869" w:rsidRPr="001B4EC1" w:rsidRDefault="00252869">
      <w:pPr>
        <w:pStyle w:val="Normaltindrag"/>
      </w:pPr>
      <w:r w:rsidRPr="001B4EC1">
        <w:t>Utskottet tillstyrkte härefter regeringens förslag om åtgärder för</w:t>
      </w:r>
      <w:r w:rsidRPr="001B4EC1">
        <w:t xml:space="preserve"> att stärka den finansiella ställningen i SJ AB. Liksom trafikutskottet delade näringsu</w:t>
      </w:r>
      <w:r w:rsidRPr="001B4EC1">
        <w:t>t</w:t>
      </w:r>
      <w:r w:rsidRPr="001B4EC1">
        <w:t>skottet regeringens bedömning att åtgärder måste vidtas för att reda upp den ekonomiska krisen i SJ. Riksdagen beslutade i enlighet med utskottets förslag (rskr. 2002/03:243).</w:t>
      </w:r>
    </w:p>
    <w:p w:rsidR="00252869" w:rsidRPr="001B4EC1" w:rsidRDefault="00252869">
      <w:r w:rsidRPr="001B4EC1">
        <w:t>Konstitutionsutskottet har från näringsutskottets kansli inhämtat att motion</w:t>
      </w:r>
      <w:r w:rsidRPr="001B4EC1">
        <w:t>s</w:t>
      </w:r>
      <w:r w:rsidRPr="001B4EC1">
        <w:t>tiden för den aktuella propositionen löpte ut den 9 maj 2003. Materialet till EG-kommissionen med tillhörande missivskrivelse sändes till kommissionen från regeringen den 12 maj 2003. Näringsutskottet tillhandahölls samma dag detta material med missivskrive</w:t>
      </w:r>
      <w:r w:rsidRPr="001B4EC1">
        <w:t>l</w:t>
      </w:r>
      <w:r w:rsidRPr="001B4EC1">
        <w:t>sen.</w:t>
      </w:r>
    </w:p>
    <w:p w:rsidR="00252869" w:rsidRPr="001B4EC1" w:rsidRDefault="00252869">
      <w:pPr>
        <w:pStyle w:val="Normaltindrag"/>
      </w:pPr>
      <w:r w:rsidRPr="001B4EC1">
        <w:t>Vidare uppgav man från näringsutskottets kansli att en skriftlig begäran att få ut missivskrivelsen lämnades in till utskottet den 20 maj 2003. Utskottet beslutade den 23 maj, efter samråd med Näringsdepartementet, att lämna ut skrivelsen.</w:t>
      </w:r>
    </w:p>
    <w:p w:rsidR="00252869" w:rsidRPr="001B4EC1" w:rsidRDefault="00252869">
      <w:pPr>
        <w:pStyle w:val="R4"/>
      </w:pPr>
      <w:r w:rsidRPr="001B4EC1">
        <w:t>Vissa ägarfrågor m.m. rörande AB Svensk Exportkredit</w:t>
      </w:r>
    </w:p>
    <w:p w:rsidR="00252869" w:rsidRPr="001B4EC1" w:rsidRDefault="00252869">
      <w:r w:rsidRPr="001B4EC1">
        <w:t xml:space="preserve">I proposition 2002/03:142 </w:t>
      </w:r>
      <w:r w:rsidRPr="001B4EC1">
        <w:rPr>
          <w:i/>
        </w:rPr>
        <w:t>Vissa ägarfrågor m.m. rörande AB Svensk Expor</w:t>
      </w:r>
      <w:r w:rsidRPr="001B4EC1">
        <w:rPr>
          <w:i/>
        </w:rPr>
        <w:t>t</w:t>
      </w:r>
      <w:r w:rsidRPr="001B4EC1">
        <w:rPr>
          <w:i/>
        </w:rPr>
        <w:t xml:space="preserve">kredit </w:t>
      </w:r>
      <w:r w:rsidRPr="001B4EC1">
        <w:t>föreslog regeringen att riksdagen skulle godkänna att staten på det sätt som regeringen redogjorde för i propositionen förvärvade samtliga ABB Structured Investment AB:s aktier i AB Svensk Exportkredit. Vidare föreslog regeringen att riksdagen bemyndigade regeringen att dels vidta de åtgärder i övrigt som krävdes för att genomföra förvärvet, dels – i samband med att den garantiförbindelse som ABB Structured Finance Investment AB ingått gen</w:t>
      </w:r>
      <w:r w:rsidRPr="001B4EC1">
        <w:t>t</w:t>
      </w:r>
      <w:r w:rsidRPr="001B4EC1">
        <w:t xml:space="preserve">emot AB Svensk </w:t>
      </w:r>
      <w:r w:rsidRPr="001B4EC1">
        <w:t>Exportkredit upphörde att gälla – ställa ut garantiförbindelse gentemot AB Svensk Exportkredit om högst 600 miljoner kronor som fick ha en löptid på 30 år. Därutöver föreslog regeringen att riksdagen beslutade att förkorta motionstiden till en dag.</w:t>
      </w:r>
    </w:p>
    <w:p w:rsidR="00252869" w:rsidRPr="001B4EC1" w:rsidRDefault="00252869">
      <w:pPr>
        <w:pStyle w:val="Normaltindrag"/>
      </w:pPr>
      <w:r w:rsidRPr="001B4EC1">
        <w:t>Näringsutskottet behandlade propositionen jämte följdmotioner i betä</w:t>
      </w:r>
      <w:r w:rsidRPr="001B4EC1">
        <w:t>n</w:t>
      </w:r>
      <w:r w:rsidRPr="001B4EC1">
        <w:t>kande 2002/03:NU14. Utskottet redovisade i betänkandet att propositionen bordlades i riksdagen den 4 juni 2003. På förslag av näringsutskottets ordf</w:t>
      </w:r>
      <w:r w:rsidRPr="001B4EC1">
        <w:t>ö</w:t>
      </w:r>
      <w:r w:rsidRPr="001B4EC1">
        <w:t>rande Marie Granlund (s) beslutade riksdagen den 5 juni att motionstiden – till skillnad från regeringens förslag om en tid av en dag – skulle uppgå till två dagar. Utskottet noterade att cirka två arbetsdagar förelåg enligt arbet</w:t>
      </w:r>
      <w:r w:rsidRPr="001B4EC1">
        <w:t>s</w:t>
      </w:r>
      <w:r w:rsidRPr="001B4EC1">
        <w:t>planeringen efter motionstidens utgång för utskottets hantering m.m. Enligt samma planering skulle betänkandet, efter endast en bor</w:t>
      </w:r>
      <w:r w:rsidRPr="001B4EC1">
        <w:t>dläggning i kamm</w:t>
      </w:r>
      <w:r w:rsidRPr="001B4EC1">
        <w:t>a</w:t>
      </w:r>
      <w:r w:rsidRPr="001B4EC1">
        <w:t>ren, diskuteras och beslutas av riksdagen den 12 juni. Vidare redovisade utskottet att de i propositionen nämnda avtalen var sekretessbelagda hos Näringsdepartementet. Under motionstiden hade de – med fortsatt sekretess – funnits til</w:t>
      </w:r>
      <w:r w:rsidRPr="001B4EC1">
        <w:t>l</w:t>
      </w:r>
      <w:r w:rsidRPr="001B4EC1">
        <w:t>gängliga för utskottets ledamöter och suppleanter.</w:t>
      </w:r>
    </w:p>
    <w:p w:rsidR="00252869" w:rsidRPr="001B4EC1" w:rsidRDefault="00252869">
      <w:pPr>
        <w:pStyle w:val="Normaltindrag"/>
      </w:pPr>
      <w:r w:rsidRPr="001B4EC1">
        <w:t>I betänkandet föreslog utskottet att riksdagen skulle avslå motionsyrka</w:t>
      </w:r>
      <w:r w:rsidRPr="001B4EC1">
        <w:t>n</w:t>
      </w:r>
      <w:r w:rsidRPr="001B4EC1">
        <w:t>den om att beslutsunderlaget inte var tillräckligt och där tidsbristen i ärendet påtalades. Utskottet anförde bl.a. att det uppenbart hade varit positivt att få en fylligare bakgrundsbeskrivning och en analys av alternativa tillvägagångssätt. Detta hade dock inte varit möjligt av tidsskäl. Utskottet hade förståelse för att tidsbristen i första hand var en konsekvens av omsorgen om AB Svensk E</w:t>
      </w:r>
      <w:r w:rsidRPr="001B4EC1">
        <w:t>x</w:t>
      </w:r>
      <w:r w:rsidRPr="001B4EC1">
        <w:t xml:space="preserve">portkredit (SEK) och ABB. Utskottet anförde att genom beslut av riksdagen möjliggjordes en motionstid på två dagar </w:t>
      </w:r>
      <w:r w:rsidRPr="001B4EC1">
        <w:t>i stället för den av regeringen föro</w:t>
      </w:r>
      <w:r w:rsidRPr="001B4EC1">
        <w:t>r</w:t>
      </w:r>
      <w:r w:rsidRPr="001B4EC1">
        <w:t>dade motionstiden om en dag. Beträffande denna del av utskottets ställning</w:t>
      </w:r>
      <w:r w:rsidRPr="001B4EC1">
        <w:t>s</w:t>
      </w:r>
      <w:r w:rsidRPr="001B4EC1">
        <w:t>tagande reserverade sig (m, fp, kd och c). Utskottet föreslog härefter att rik</w:t>
      </w:r>
      <w:r w:rsidRPr="001B4EC1">
        <w:t>s</w:t>
      </w:r>
      <w:r w:rsidRPr="001B4EC1">
        <w:t>dagen skulle bifalla propositionen i dess helhet. I denna del lämnades en reservation (fp) med yrkande om avslag på propositionen samt två motivr</w:t>
      </w:r>
      <w:r w:rsidRPr="001B4EC1">
        <w:t>e</w:t>
      </w:r>
      <w:r w:rsidRPr="001B4EC1">
        <w:t>serv</w:t>
      </w:r>
      <w:r w:rsidRPr="001B4EC1">
        <w:t>a</w:t>
      </w:r>
      <w:r w:rsidRPr="001B4EC1">
        <w:t>tioner (m) och (kd).</w:t>
      </w:r>
    </w:p>
    <w:p w:rsidR="00252869" w:rsidRPr="001B4EC1" w:rsidRDefault="00252869">
      <w:pPr>
        <w:pStyle w:val="Normaltindrag"/>
      </w:pPr>
      <w:r w:rsidRPr="001B4EC1">
        <w:t>Riksdagen beslutade i enlighet med utskottets förslag (prot. 2002/03:121).</w:t>
      </w:r>
    </w:p>
    <w:p w:rsidR="00252869" w:rsidRPr="001B4EC1" w:rsidRDefault="00252869">
      <w:pPr>
        <w:pStyle w:val="R3"/>
      </w:pPr>
      <w:r w:rsidRPr="001B4EC1">
        <w:t>Interpellationsdebatt om öppenhet i de statliga bolagen</w:t>
      </w:r>
    </w:p>
    <w:p w:rsidR="00252869" w:rsidRPr="001B4EC1" w:rsidRDefault="00252869">
      <w:r w:rsidRPr="001B4EC1">
        <w:t>Näringsminister Leif Pagrotsky besvarade den 13 maj 2003 en interpellation av Mikael Odenberg (m) om öppenheten i de statliga företagen (ip. 2002/03:278). Interpellanten hade bl.a. ställt frågan om vilka åtgärder mini</w:t>
      </w:r>
      <w:r w:rsidRPr="001B4EC1">
        <w:t>s</w:t>
      </w:r>
      <w:r w:rsidRPr="001B4EC1">
        <w:t>tern avsåg att vidta för att öka riksdagsledamöternas insyn i de statliga bol</w:t>
      </w:r>
      <w:r w:rsidRPr="001B4EC1">
        <w:t>a</w:t>
      </w:r>
      <w:r w:rsidRPr="001B4EC1">
        <w:t>gen. Som exempel nämndes att SJ AB:s kontrollbalansräkning i det längsta hade hemlighållits inför närings-, trafik- och finansutskottens gemensamma utfrågning om situationen i SJ i december 2002. Interpellanten ansåg att ett sådant hemlighetsmakeri försvårar för riksdagsledamöter att få tillgång till det underlag som finns för olika förslag till beslut och att riksdagsledamöternas möjligheter att fullgöra sin uppgift som ombud fö</w:t>
      </w:r>
      <w:r w:rsidRPr="001B4EC1">
        <w:t>r ägarna – svenska folket – därmed försvåras.</w:t>
      </w:r>
    </w:p>
    <w:p w:rsidR="00252869" w:rsidRPr="001B4EC1" w:rsidRDefault="00252869">
      <w:pPr>
        <w:pStyle w:val="Normaltindrag"/>
      </w:pPr>
      <w:r w:rsidRPr="001B4EC1">
        <w:t>När det gällde frågan om riksdagsledamöternas insyn i de statliga bolagen beklagade näringsministern att riksdagsledamöterna sällan utnyttjar sin mö</w:t>
      </w:r>
      <w:r w:rsidRPr="001B4EC1">
        <w:t>j</w:t>
      </w:r>
      <w:r w:rsidRPr="001B4EC1">
        <w:t>lighet att vara med vid bolagsstämmorna i de statliga bolagen. Vidare anförde han att riksdagen och dess utskott kan ta del av alla uppgifter hos Regering</w:t>
      </w:r>
      <w:r w:rsidRPr="001B4EC1">
        <w:t>s</w:t>
      </w:r>
      <w:r w:rsidRPr="001B4EC1">
        <w:t>kansliet rörande statliga bolag, även sådana uppgifter som omfattas av sekr</w:t>
      </w:r>
      <w:r w:rsidRPr="001B4EC1">
        <w:t>e</w:t>
      </w:r>
      <w:r w:rsidRPr="001B4EC1">
        <w:t>tess. Han framhöll att Regeringskansliet ansvarar för förvaltningen av akti</w:t>
      </w:r>
      <w:r w:rsidRPr="001B4EC1">
        <w:t>e</w:t>
      </w:r>
      <w:r w:rsidRPr="001B4EC1">
        <w:t>bolag som lyder under aktiebolagslagen. Samtidigt gäller att flertalet bolag är konkurrensutsatta och därför måste ges möjlighet att verka på samma villkor som sina konkurrenter. Därför förekom det att ha</w:t>
      </w:r>
      <w:r w:rsidRPr="001B4EC1">
        <w:t>ndlingar som innehåller affärshemligheter hemligstämplas. Näringsministern hade inte för avsikt att verka för att denna or</w:t>
      </w:r>
      <w:r w:rsidRPr="001B4EC1">
        <w:t>d</w:t>
      </w:r>
      <w:r w:rsidRPr="001B4EC1">
        <w:t xml:space="preserve">ning skulle ändras. </w:t>
      </w:r>
    </w:p>
    <w:p w:rsidR="00252869" w:rsidRPr="001B4EC1" w:rsidRDefault="00252869">
      <w:pPr>
        <w:pStyle w:val="R3"/>
      </w:pPr>
      <w:r w:rsidRPr="001B4EC1">
        <w:t>Regeringens skrivelse om statliga företag</w:t>
      </w:r>
    </w:p>
    <w:p w:rsidR="00252869" w:rsidRPr="001B4EC1" w:rsidRDefault="00252869">
      <w:r w:rsidRPr="001B4EC1">
        <w:t>Riksdagen har under innevarande riksmöte behandlat regeringens skrivelse 2002/03:120 med 2003 års redogörelse för företag med statligt ägande (bet. 2003/04:NU4, prot. 2003/04:27).</w:t>
      </w:r>
    </w:p>
    <w:p w:rsidR="00252869" w:rsidRPr="001B4EC1" w:rsidRDefault="00252869">
      <w:pPr>
        <w:pStyle w:val="Normaltindrag"/>
      </w:pPr>
      <w:r w:rsidRPr="001B4EC1">
        <w:t>I skrivelsen redovisar regeringen att svenska staten är Sveriges största f</w:t>
      </w:r>
      <w:r w:rsidRPr="001B4EC1">
        <w:t>ö</w:t>
      </w:r>
      <w:r w:rsidRPr="001B4EC1">
        <w:t>retagsägare (a. skr. s. 15). Genom Regeringskansliet förvaltas 59 för</w:t>
      </w:r>
      <w:r w:rsidRPr="001B4EC1">
        <w:t>e</w:t>
      </w:r>
      <w:r w:rsidRPr="001B4EC1">
        <w:t>tag/koncerner varav 44 ägs helt och 15 tillsammans med andra. Totalt är ca 200 000 personer anställda i dessa företag. Svenska staten är dessutom den största ägaren på Stockholmsbörsen. Regeringen framhåller att detta medför ett stort ansvar och ställer krav på en långsiktig och professionell förvaltning.</w:t>
      </w:r>
    </w:p>
    <w:p w:rsidR="00252869" w:rsidRPr="001B4EC1" w:rsidRDefault="00252869">
      <w:pPr>
        <w:pStyle w:val="Normaltindrag"/>
      </w:pPr>
      <w:r w:rsidRPr="001B4EC1">
        <w:t>När det gäller statens ägarpolitik anför regeringen att på samma sätt som företag som ägs av andra ägare möter de statliga företagen e</w:t>
      </w:r>
      <w:r w:rsidRPr="001B4EC1">
        <w:t>n allt hårdare konkurrens (a. skr. s. 15 f.). För att kunna värdera företagens prestationer i en hårdare konkurrenssituation krävs enligt regeringen en föredömlig transp</w:t>
      </w:r>
      <w:r w:rsidRPr="001B4EC1">
        <w:t>a</w:t>
      </w:r>
      <w:r w:rsidRPr="001B4EC1">
        <w:t>rens. Statens ägarförvaltning kräver därför en tydlig och öppen ägarpolitik som anpassas till de ökade krav som ställs i en föränderlig omvärld. Vidare är statens ägarroll och förvaltning komplex då staten äger företag aktiva i ver</w:t>
      </w:r>
      <w:r w:rsidRPr="001B4EC1">
        <w:t>k</w:t>
      </w:r>
      <w:r w:rsidRPr="001B4EC1">
        <w:t xml:space="preserve">samhet som spänner från gruvindustri till opera, från fastigheter till spel. </w:t>
      </w:r>
    </w:p>
    <w:p w:rsidR="00252869" w:rsidRPr="001B4EC1" w:rsidRDefault="00252869">
      <w:pPr>
        <w:pStyle w:val="Normaltindrag"/>
      </w:pPr>
      <w:r w:rsidRPr="001B4EC1">
        <w:t>Regeringen har värdeskapande som</w:t>
      </w:r>
      <w:r w:rsidRPr="001B4EC1">
        <w:t xml:space="preserve"> övergripande mål. </w:t>
      </w:r>
    </w:p>
    <w:p w:rsidR="00252869" w:rsidRPr="001B4EC1" w:rsidRDefault="00252869">
      <w:pPr>
        <w:pStyle w:val="Normaltindrag"/>
      </w:pPr>
      <w:r w:rsidRPr="001B4EC1">
        <w:t>Vidare framhåller regeringen att den likt andra ägare har tillgång till olika verktyg för att nå uppsatta mål. Styrelsesammansättning, genomlysning och revisorer är exempel på tre viktiga verktyg.</w:t>
      </w:r>
    </w:p>
    <w:p w:rsidR="00252869" w:rsidRPr="001B4EC1" w:rsidRDefault="00252869">
      <w:pPr>
        <w:pStyle w:val="Normaltindrag"/>
        <w:rPr>
          <w:snapToGrid w:val="0"/>
          <w:lang w:eastAsia="sv-SE"/>
        </w:rPr>
      </w:pPr>
      <w:r w:rsidRPr="001B4EC1">
        <w:rPr>
          <w:snapToGrid w:val="0"/>
          <w:lang w:eastAsia="sv-SE"/>
        </w:rPr>
        <w:t>I skrivelsen anges uppdragets mål och förutsättningar i följande punkter:</w:t>
      </w:r>
    </w:p>
    <w:p w:rsidR="00252869" w:rsidRPr="001B4EC1" w:rsidRDefault="00252869">
      <w:pPr>
        <w:pStyle w:val="Normaltindrag"/>
        <w:numPr>
          <w:ilvl w:val="0"/>
          <w:numId w:val="25"/>
        </w:numPr>
        <w:spacing w:before="125"/>
        <w:rPr>
          <w:snapToGrid w:val="0"/>
          <w:lang w:eastAsia="sv-SE"/>
        </w:rPr>
      </w:pPr>
      <w:r w:rsidRPr="001B4EC1">
        <w:rPr>
          <w:snapToGrid w:val="0"/>
          <w:lang w:eastAsia="sv-SE"/>
        </w:rPr>
        <w:t>Uppdraget är att professionellt förvalta de tillgångar de statligt ägda föret</w:t>
      </w:r>
      <w:r w:rsidRPr="001B4EC1">
        <w:rPr>
          <w:snapToGrid w:val="0"/>
          <w:lang w:eastAsia="sv-SE"/>
        </w:rPr>
        <w:t>a</w:t>
      </w:r>
      <w:r w:rsidRPr="001B4EC1">
        <w:rPr>
          <w:snapToGrid w:val="0"/>
          <w:lang w:eastAsia="sv-SE"/>
        </w:rPr>
        <w:t>gen utgör.</w:t>
      </w:r>
    </w:p>
    <w:p w:rsidR="00252869" w:rsidRPr="001B4EC1" w:rsidRDefault="00252869">
      <w:pPr>
        <w:pStyle w:val="Normaltindrag"/>
        <w:numPr>
          <w:ilvl w:val="0"/>
          <w:numId w:val="25"/>
        </w:numPr>
        <w:rPr>
          <w:snapToGrid w:val="0"/>
          <w:lang w:eastAsia="sv-SE"/>
        </w:rPr>
      </w:pPr>
      <w:r w:rsidRPr="001B4EC1">
        <w:rPr>
          <w:snapToGrid w:val="0"/>
          <w:lang w:eastAsia="sv-SE"/>
        </w:rPr>
        <w:t>Målet är att skapa värde för ägaren.</w:t>
      </w:r>
    </w:p>
    <w:p w:rsidR="00252869" w:rsidRPr="001B4EC1" w:rsidRDefault="00252869">
      <w:pPr>
        <w:pStyle w:val="Normaltindrag"/>
        <w:numPr>
          <w:ilvl w:val="0"/>
          <w:numId w:val="25"/>
        </w:numPr>
        <w:rPr>
          <w:snapToGrid w:val="0"/>
          <w:lang w:eastAsia="sv-SE"/>
        </w:rPr>
      </w:pPr>
      <w:r w:rsidRPr="001B4EC1">
        <w:rPr>
          <w:snapToGrid w:val="0"/>
          <w:lang w:eastAsia="sv-SE"/>
        </w:rPr>
        <w:t>De konkurrensutsatta statligt ägda företagen skall ges samma föru</w:t>
      </w:r>
      <w:r w:rsidRPr="001B4EC1">
        <w:rPr>
          <w:snapToGrid w:val="0"/>
          <w:lang w:eastAsia="sv-SE"/>
        </w:rPr>
        <w:t>t</w:t>
      </w:r>
      <w:r w:rsidRPr="001B4EC1">
        <w:rPr>
          <w:snapToGrid w:val="0"/>
          <w:lang w:eastAsia="sv-SE"/>
        </w:rPr>
        <w:t>sättnin</w:t>
      </w:r>
      <w:r w:rsidRPr="001B4EC1">
        <w:rPr>
          <w:snapToGrid w:val="0"/>
          <w:lang w:eastAsia="sv-SE"/>
        </w:rPr>
        <w:t>g</w:t>
      </w:r>
      <w:r w:rsidRPr="001B4EC1">
        <w:rPr>
          <w:snapToGrid w:val="0"/>
          <w:lang w:eastAsia="sv-SE"/>
        </w:rPr>
        <w:t>ar och har samma krav på sin verksamhet som andra aktörer.</w:t>
      </w:r>
    </w:p>
    <w:p w:rsidR="00252869" w:rsidRPr="001B4EC1" w:rsidRDefault="00252869">
      <w:pPr>
        <w:pStyle w:val="Normaltindrag"/>
        <w:numPr>
          <w:ilvl w:val="0"/>
          <w:numId w:val="25"/>
        </w:numPr>
        <w:rPr>
          <w:snapToGrid w:val="0"/>
          <w:lang w:eastAsia="sv-SE"/>
        </w:rPr>
      </w:pPr>
      <w:r w:rsidRPr="001B4EC1">
        <w:rPr>
          <w:snapToGrid w:val="0"/>
          <w:lang w:eastAsia="sv-SE"/>
        </w:rPr>
        <w:t>Ett antal statligt ägda företag har främst till uppgift att uppfylla sä</w:t>
      </w:r>
      <w:r w:rsidRPr="001B4EC1">
        <w:rPr>
          <w:snapToGrid w:val="0"/>
          <w:lang w:eastAsia="sv-SE"/>
        </w:rPr>
        <w:t>r</w:t>
      </w:r>
      <w:r w:rsidRPr="001B4EC1">
        <w:rPr>
          <w:snapToGrid w:val="0"/>
          <w:lang w:eastAsia="sv-SE"/>
        </w:rPr>
        <w:t>skilda samhällsintressen. I dessa företag skapas värde framför allt g</w:t>
      </w:r>
      <w:r w:rsidRPr="001B4EC1">
        <w:rPr>
          <w:snapToGrid w:val="0"/>
          <w:lang w:eastAsia="sv-SE"/>
        </w:rPr>
        <w:t>e</w:t>
      </w:r>
      <w:r w:rsidRPr="001B4EC1">
        <w:rPr>
          <w:snapToGrid w:val="0"/>
          <w:lang w:eastAsia="sv-SE"/>
        </w:rPr>
        <w:t>nom den sa</w:t>
      </w:r>
      <w:r w:rsidRPr="001B4EC1">
        <w:rPr>
          <w:snapToGrid w:val="0"/>
          <w:lang w:eastAsia="sv-SE"/>
        </w:rPr>
        <w:t>m</w:t>
      </w:r>
      <w:r w:rsidRPr="001B4EC1">
        <w:rPr>
          <w:snapToGrid w:val="0"/>
          <w:lang w:eastAsia="sv-SE"/>
        </w:rPr>
        <w:t>hällsnytta företagen åstadkommer.</w:t>
      </w:r>
    </w:p>
    <w:p w:rsidR="00252869" w:rsidRPr="001B4EC1" w:rsidRDefault="00252869">
      <w:pPr>
        <w:pStyle w:val="Normaltindrag"/>
        <w:spacing w:before="125"/>
        <w:ind w:firstLine="0"/>
        <w:rPr>
          <w:snapToGrid w:val="0"/>
          <w:lang w:eastAsia="sv-SE"/>
        </w:rPr>
      </w:pPr>
      <w:r w:rsidRPr="001B4EC1">
        <w:rPr>
          <w:snapToGrid w:val="0"/>
          <w:lang w:eastAsia="sv-SE"/>
        </w:rPr>
        <w:t>Ägarförvaltningens ramverk och verktyg redovisas i följande punkter:</w:t>
      </w:r>
    </w:p>
    <w:p w:rsidR="00252869" w:rsidRPr="001B4EC1" w:rsidRDefault="00252869">
      <w:pPr>
        <w:pStyle w:val="Normaltindrag"/>
        <w:numPr>
          <w:ilvl w:val="0"/>
          <w:numId w:val="41"/>
        </w:numPr>
        <w:spacing w:before="125"/>
        <w:rPr>
          <w:snapToGrid w:val="0"/>
          <w:lang w:eastAsia="sv-SE"/>
        </w:rPr>
      </w:pPr>
      <w:r w:rsidRPr="001B4EC1">
        <w:rPr>
          <w:snapToGrid w:val="0"/>
          <w:lang w:eastAsia="sv-SE"/>
        </w:rPr>
        <w:t>Aktiebolagslagen (1975:1385) ger ramen för företagen och i bolag</w:t>
      </w:r>
      <w:r w:rsidRPr="001B4EC1">
        <w:rPr>
          <w:snapToGrid w:val="0"/>
          <w:lang w:eastAsia="sv-SE"/>
        </w:rPr>
        <w:t>s</w:t>
      </w:r>
      <w:r w:rsidRPr="001B4EC1">
        <w:rPr>
          <w:snapToGrid w:val="0"/>
          <w:lang w:eastAsia="sv-SE"/>
        </w:rPr>
        <w:t>ordnin</w:t>
      </w:r>
      <w:r w:rsidRPr="001B4EC1">
        <w:rPr>
          <w:snapToGrid w:val="0"/>
          <w:lang w:eastAsia="sv-SE"/>
        </w:rPr>
        <w:t>g</w:t>
      </w:r>
      <w:r w:rsidRPr="001B4EC1">
        <w:rPr>
          <w:snapToGrid w:val="0"/>
          <w:lang w:eastAsia="sv-SE"/>
        </w:rPr>
        <w:t>en anges företagets allmänna inriktning.</w:t>
      </w:r>
    </w:p>
    <w:p w:rsidR="00252869" w:rsidRPr="001B4EC1" w:rsidRDefault="00252869">
      <w:pPr>
        <w:pStyle w:val="Normaltindrag"/>
        <w:numPr>
          <w:ilvl w:val="0"/>
          <w:numId w:val="41"/>
        </w:numPr>
        <w:rPr>
          <w:snapToGrid w:val="0"/>
          <w:lang w:eastAsia="sv-SE"/>
        </w:rPr>
      </w:pPr>
      <w:r w:rsidRPr="001B4EC1">
        <w:rPr>
          <w:snapToGrid w:val="0"/>
          <w:lang w:eastAsia="sv-SE"/>
        </w:rPr>
        <w:t>Styrelserna har fullt ansvar för företagens verksamhet.</w:t>
      </w:r>
    </w:p>
    <w:p w:rsidR="00252869" w:rsidRPr="001B4EC1" w:rsidRDefault="00252869">
      <w:pPr>
        <w:pStyle w:val="Normaltindrag"/>
        <w:numPr>
          <w:ilvl w:val="0"/>
          <w:numId w:val="41"/>
        </w:numPr>
        <w:rPr>
          <w:snapToGrid w:val="0"/>
          <w:lang w:eastAsia="sv-SE"/>
        </w:rPr>
      </w:pPr>
      <w:r w:rsidRPr="001B4EC1">
        <w:rPr>
          <w:snapToGrid w:val="0"/>
          <w:lang w:eastAsia="sv-SE"/>
        </w:rPr>
        <w:t>Företagens särskilda uppdrag beslutas av riksdagen och regleras i lag eller i avtal mellan företaget och staten.</w:t>
      </w:r>
    </w:p>
    <w:p w:rsidR="00252869" w:rsidRPr="001B4EC1" w:rsidRDefault="00252869">
      <w:pPr>
        <w:pStyle w:val="Normaltindrag"/>
        <w:numPr>
          <w:ilvl w:val="0"/>
          <w:numId w:val="41"/>
        </w:numPr>
        <w:rPr>
          <w:snapToGrid w:val="0"/>
          <w:lang w:eastAsia="sv-SE"/>
        </w:rPr>
      </w:pPr>
      <w:r w:rsidRPr="001B4EC1">
        <w:rPr>
          <w:snapToGrid w:val="0"/>
          <w:lang w:eastAsia="sv-SE"/>
        </w:rPr>
        <w:t>För att få till stånd en enhetlig förvaltning ger regeringen riktlinjer för extern rapportering, anställningsvillkor m.m.</w:t>
      </w:r>
    </w:p>
    <w:p w:rsidR="00252869" w:rsidRPr="001B4EC1" w:rsidRDefault="00252869">
      <w:pPr>
        <w:pStyle w:val="Normaltindrag"/>
        <w:numPr>
          <w:ilvl w:val="0"/>
          <w:numId w:val="41"/>
        </w:numPr>
      </w:pPr>
      <w:r w:rsidRPr="001B4EC1">
        <w:rPr>
          <w:snapToGrid w:val="0"/>
          <w:lang w:eastAsia="sv-SE"/>
        </w:rPr>
        <w:t>Regeringskansliet värderar fortlöpande styrelsernas prestationer och hant</w:t>
      </w:r>
      <w:r w:rsidRPr="001B4EC1">
        <w:rPr>
          <w:snapToGrid w:val="0"/>
          <w:lang w:eastAsia="sv-SE"/>
        </w:rPr>
        <w:t>e</w:t>
      </w:r>
      <w:r w:rsidRPr="001B4EC1">
        <w:rPr>
          <w:snapToGrid w:val="0"/>
          <w:lang w:eastAsia="sv-SE"/>
        </w:rPr>
        <w:t>rar de ägarfrågor som uppkommer.</w:t>
      </w:r>
    </w:p>
    <w:p w:rsidR="00252869" w:rsidRPr="001B4EC1" w:rsidRDefault="00252869">
      <w:pPr>
        <w:spacing w:before="187"/>
        <w:rPr>
          <w:snapToGrid w:val="0"/>
          <w:lang w:eastAsia="sv-SE"/>
        </w:rPr>
      </w:pPr>
      <w:r w:rsidRPr="001B4EC1">
        <w:rPr>
          <w:snapToGrid w:val="0"/>
          <w:lang w:eastAsia="sv-SE"/>
        </w:rPr>
        <w:t>Beträffande verktyget genomlysning anför regeringen att detta krav är en demokratifråga eftersom företagen ytterst ägs av svenska folket. Regeringen anser att företagen med statligt ägande skall vara minst lika genomlysta som börsnoterade företag. Härvid framhåller regeringen att ur ägarens synvinkel är företagens rapportering av speciell vikt eftersom den är ett viktigt styrinstr</w:t>
      </w:r>
      <w:r w:rsidRPr="001B4EC1">
        <w:rPr>
          <w:snapToGrid w:val="0"/>
          <w:lang w:eastAsia="sv-SE"/>
        </w:rPr>
        <w:t>u</w:t>
      </w:r>
      <w:r w:rsidRPr="001B4EC1">
        <w:rPr>
          <w:snapToGrid w:val="0"/>
          <w:lang w:eastAsia="sv-SE"/>
        </w:rPr>
        <w:t>ment i uppföljningen och utvärderingen av företaget. Den ekonomiska info</w:t>
      </w:r>
      <w:r w:rsidRPr="001B4EC1">
        <w:rPr>
          <w:snapToGrid w:val="0"/>
          <w:lang w:eastAsia="sv-SE"/>
        </w:rPr>
        <w:t>r</w:t>
      </w:r>
      <w:r w:rsidRPr="001B4EC1">
        <w:rPr>
          <w:snapToGrid w:val="0"/>
          <w:lang w:eastAsia="sv-SE"/>
        </w:rPr>
        <w:t>mationen är grunden för företagens offentliga rapportering och bör komplett</w:t>
      </w:r>
      <w:r w:rsidRPr="001B4EC1">
        <w:rPr>
          <w:snapToGrid w:val="0"/>
          <w:lang w:eastAsia="sv-SE"/>
        </w:rPr>
        <w:t>e</w:t>
      </w:r>
      <w:r w:rsidRPr="001B4EC1">
        <w:rPr>
          <w:snapToGrid w:val="0"/>
          <w:lang w:eastAsia="sv-SE"/>
        </w:rPr>
        <w:t>ras med beskrivningar av marknadsutveckling, känslighetsanalyser, etc. för att ge vägledning i tolkningen av de faktorer som skapar värde i företaget. I vilken mån de berörda särskilda samhällsintressena uppfyllts bör betraktas som lika väsentligt som annan redovisning. Även den miljö-, jämställdhets- och mångfaldsrelaterade rapporteringen bör i möjligaste mån</w:t>
      </w:r>
      <w:r w:rsidRPr="001B4EC1">
        <w:rPr>
          <w:snapToGrid w:val="0"/>
          <w:lang w:eastAsia="sv-SE"/>
        </w:rPr>
        <w:t xml:space="preserve"> integreras i årsredovisningen. Regeringen beslutade i mars 2002 om riktlinjer för den externa ekonomiska rapporteringen för företag med statligt ägande. Därtill finns en uttalad ambition att de statligt ägda företagen skall lämna bokslut</w:t>
      </w:r>
      <w:r w:rsidRPr="001B4EC1">
        <w:rPr>
          <w:snapToGrid w:val="0"/>
          <w:lang w:eastAsia="sv-SE"/>
        </w:rPr>
        <w:t>s</w:t>
      </w:r>
      <w:r w:rsidRPr="001B4EC1">
        <w:rPr>
          <w:snapToGrid w:val="0"/>
          <w:lang w:eastAsia="sv-SE"/>
        </w:rPr>
        <w:t>kommuniké före den 31 januari fr.o.m. 2004 års bokslut.</w:t>
      </w:r>
    </w:p>
    <w:p w:rsidR="00252869" w:rsidRPr="001B4EC1" w:rsidRDefault="00252869">
      <w:pPr>
        <w:pStyle w:val="Normaltindrag"/>
        <w:rPr>
          <w:snapToGrid w:val="0"/>
          <w:lang w:eastAsia="sv-SE"/>
        </w:rPr>
      </w:pPr>
      <w:r w:rsidRPr="001B4EC1">
        <w:rPr>
          <w:snapToGrid w:val="0"/>
          <w:lang w:eastAsia="sv-SE"/>
        </w:rPr>
        <w:t>När det gäller bolagsstämmor framhåller regeringen att dessa – i aktieb</w:t>
      </w:r>
      <w:r w:rsidRPr="001B4EC1">
        <w:rPr>
          <w:snapToGrid w:val="0"/>
          <w:lang w:eastAsia="sv-SE"/>
        </w:rPr>
        <w:t>o</w:t>
      </w:r>
      <w:r w:rsidRPr="001B4EC1">
        <w:rPr>
          <w:snapToGrid w:val="0"/>
          <w:lang w:eastAsia="sv-SE"/>
        </w:rPr>
        <w:t>lag – syftar till att bereda aktieägarna möjlighet att besluta i företagets ang</w:t>
      </w:r>
      <w:r w:rsidRPr="001B4EC1">
        <w:rPr>
          <w:snapToGrid w:val="0"/>
          <w:lang w:eastAsia="sv-SE"/>
        </w:rPr>
        <w:t>e</w:t>
      </w:r>
      <w:r w:rsidRPr="001B4EC1">
        <w:rPr>
          <w:snapToGrid w:val="0"/>
          <w:lang w:eastAsia="sv-SE"/>
        </w:rPr>
        <w:t>lägenheter. Regeringen påpekar att det i aktiebolagslagen inte görs någon skillnad mellan statligt ägda aktiebolag och privata aktiebolag. Bolagsstäm-</w:t>
      </w:r>
      <w:r w:rsidRPr="001B4EC1">
        <w:rPr>
          <w:snapToGrid w:val="0"/>
          <w:lang w:eastAsia="sv-SE"/>
        </w:rPr>
        <w:br/>
        <w:t>man är således i första hand en sammankomst för aktieägarna, men det finns inga hinder, om bolagsstämman medger det, att stämman öppnas för allmä</w:t>
      </w:r>
      <w:r w:rsidRPr="001B4EC1">
        <w:rPr>
          <w:snapToGrid w:val="0"/>
          <w:lang w:eastAsia="sv-SE"/>
        </w:rPr>
        <w:t>n</w:t>
      </w:r>
      <w:r w:rsidRPr="001B4EC1">
        <w:rPr>
          <w:snapToGrid w:val="0"/>
          <w:lang w:eastAsia="sv-SE"/>
        </w:rPr>
        <w:t>heten. Därför är det enligt regeringen lämpligt att de helstatliga företagen erbjuder någon form av utåtriktad aktivitet i samband med</w:t>
      </w:r>
      <w:r w:rsidRPr="001B4EC1">
        <w:rPr>
          <w:snapToGrid w:val="0"/>
          <w:lang w:eastAsia="sv-SE"/>
        </w:rPr>
        <w:t xml:space="preserve"> bolagsstämman där även allmänheten bereds möjlighet att ställa frågor till företagsledningen. Hur stämman praktiskt skall genomföras är en fråga för företagets ledning och styrelse. Regeringen anser att det av planeringsskäl är rimligt att de som ön</w:t>
      </w:r>
      <w:r w:rsidRPr="001B4EC1">
        <w:rPr>
          <w:snapToGrid w:val="0"/>
          <w:lang w:eastAsia="sv-SE"/>
        </w:rPr>
        <w:t>s</w:t>
      </w:r>
      <w:r w:rsidRPr="001B4EC1">
        <w:rPr>
          <w:snapToGrid w:val="0"/>
          <w:lang w:eastAsia="sv-SE"/>
        </w:rPr>
        <w:t>kar komma till stämman eller den i anslutning till stämman utåtriktade akt</w:t>
      </w:r>
      <w:r w:rsidRPr="001B4EC1">
        <w:rPr>
          <w:snapToGrid w:val="0"/>
          <w:lang w:eastAsia="sv-SE"/>
        </w:rPr>
        <w:t>i</w:t>
      </w:r>
      <w:r w:rsidRPr="001B4EC1">
        <w:rPr>
          <w:snapToGrid w:val="0"/>
          <w:lang w:eastAsia="sv-SE"/>
        </w:rPr>
        <w:t>viteten måste anmäla sin närvaro till företaget i god tid. Det finns flera akt</w:t>
      </w:r>
      <w:r w:rsidRPr="001B4EC1">
        <w:rPr>
          <w:snapToGrid w:val="0"/>
          <w:lang w:eastAsia="sv-SE"/>
        </w:rPr>
        <w:t>i</w:t>
      </w:r>
      <w:r w:rsidRPr="001B4EC1">
        <w:rPr>
          <w:snapToGrid w:val="0"/>
          <w:lang w:eastAsia="sv-SE"/>
        </w:rPr>
        <w:t>viteter som i olika former kan rikta sig till allmänheten, medier eller andra intressenter inom det aktuell</w:t>
      </w:r>
      <w:r w:rsidRPr="001B4EC1">
        <w:rPr>
          <w:snapToGrid w:val="0"/>
          <w:lang w:eastAsia="sv-SE"/>
        </w:rPr>
        <w:t>a företagets intressesfär. Hänsyn måste dock tas till företagets storlek och förekommande allmänintresse, då en bolagsstämma och anslutande aktiviteter är resurskrävande. Regeringen anser att det normalt sett inte bör begäras av företag med färre än tio anställda eller mindre än 24 miljoner kronor i omsättning att de skall ordna särskilda aktiviteter i sa</w:t>
      </w:r>
      <w:r w:rsidRPr="001B4EC1">
        <w:rPr>
          <w:snapToGrid w:val="0"/>
          <w:lang w:eastAsia="sv-SE"/>
        </w:rPr>
        <w:t>m</w:t>
      </w:r>
      <w:r w:rsidRPr="001B4EC1">
        <w:rPr>
          <w:snapToGrid w:val="0"/>
          <w:lang w:eastAsia="sv-SE"/>
        </w:rPr>
        <w:t>band med bolagsstämmorna. Motsvarande kan även gälla för större företag i de fall det saknas ett direkt allmäni</w:t>
      </w:r>
      <w:r w:rsidRPr="001B4EC1">
        <w:rPr>
          <w:snapToGrid w:val="0"/>
          <w:lang w:eastAsia="sv-SE"/>
        </w:rPr>
        <w:t>n</w:t>
      </w:r>
      <w:r w:rsidRPr="001B4EC1">
        <w:rPr>
          <w:snapToGrid w:val="0"/>
          <w:lang w:eastAsia="sv-SE"/>
        </w:rPr>
        <w:t>tresse.</w:t>
      </w:r>
    </w:p>
    <w:p w:rsidR="00252869" w:rsidRPr="001B4EC1" w:rsidRDefault="00252869">
      <w:pPr>
        <w:pStyle w:val="Normaltindrag"/>
        <w:rPr>
          <w:snapToGrid w:val="0"/>
          <w:lang w:eastAsia="sv-SE"/>
        </w:rPr>
      </w:pPr>
      <w:r w:rsidRPr="001B4EC1">
        <w:rPr>
          <w:snapToGrid w:val="0"/>
          <w:lang w:eastAsia="sv-SE"/>
        </w:rPr>
        <w:t>Beträffande riksdagsledamöters rät</w:t>
      </w:r>
      <w:r w:rsidRPr="001B4EC1">
        <w:rPr>
          <w:snapToGrid w:val="0"/>
          <w:lang w:eastAsia="sv-SE"/>
        </w:rPr>
        <w:t>t att närvara vid bolagsstämmor fra</w:t>
      </w:r>
      <w:r w:rsidRPr="001B4EC1">
        <w:rPr>
          <w:snapToGrid w:val="0"/>
          <w:lang w:eastAsia="sv-SE"/>
        </w:rPr>
        <w:t>m</w:t>
      </w:r>
      <w:r w:rsidRPr="001B4EC1">
        <w:rPr>
          <w:snapToGrid w:val="0"/>
          <w:lang w:eastAsia="sv-SE"/>
        </w:rPr>
        <w:t>håller regeringen att det är styrelsens ansvar att kallelse till bolagsstämman skickas till riksdagen senast fyra veckor och tidigast sex veckor före bolag</w:t>
      </w:r>
      <w:r w:rsidRPr="001B4EC1">
        <w:rPr>
          <w:snapToGrid w:val="0"/>
          <w:lang w:eastAsia="sv-SE"/>
        </w:rPr>
        <w:t>s</w:t>
      </w:r>
      <w:r w:rsidRPr="001B4EC1">
        <w:rPr>
          <w:snapToGrid w:val="0"/>
          <w:lang w:eastAsia="sv-SE"/>
        </w:rPr>
        <w:t>stämman. Riksdagsledamöters önskan att närvara på stämman skall anmälas till företagets styrelse senast två veckor i förväg. Detta gäller samtliga företag i vilka staten äger minst 50 % av aktierna och som har fler än 50 anställda.</w:t>
      </w:r>
    </w:p>
    <w:p w:rsidR="00252869" w:rsidRPr="001B4EC1" w:rsidRDefault="00252869">
      <w:pPr>
        <w:pStyle w:val="Normaltindrag"/>
      </w:pPr>
      <w:r w:rsidRPr="001B4EC1">
        <w:rPr>
          <w:snapToGrid w:val="0"/>
          <w:lang w:eastAsia="sv-SE"/>
        </w:rPr>
        <w:t>Näringsutskottet föreslog att riksdagen skulle lägga skrivelsen till han</w:t>
      </w:r>
      <w:r w:rsidRPr="001B4EC1">
        <w:rPr>
          <w:snapToGrid w:val="0"/>
          <w:lang w:eastAsia="sv-SE"/>
        </w:rPr>
        <w:t>d</w:t>
      </w:r>
      <w:r w:rsidRPr="001B4EC1">
        <w:rPr>
          <w:snapToGrid w:val="0"/>
          <w:lang w:eastAsia="sv-SE"/>
        </w:rPr>
        <w:t>lingarna. Vad gällde synen på statligt ägande anförde utskottet bl.a. att u</w:t>
      </w:r>
      <w:r w:rsidRPr="001B4EC1">
        <w:rPr>
          <w:snapToGrid w:val="0"/>
          <w:lang w:eastAsia="sv-SE"/>
        </w:rPr>
        <w:t>t</w:t>
      </w:r>
      <w:r w:rsidRPr="001B4EC1">
        <w:t>skottet intar en pragmatisk hållning i frågan om huruvida staten skall äga vissa företag eller inte. Det kan enligt utskottet i vissa fall vara motiverat med försäljning av del av eller hela det statliga ägandet i ett bolag. Den ordning som för närvarande gäller och som innebär att regeringen – i det fall den inte redan har beslutsmöjlighet – lägger fram förslag till riksdagen om försäljning, anser utskottet vara ändamålsenlig.</w:t>
      </w:r>
    </w:p>
    <w:p w:rsidR="00252869" w:rsidRPr="001B4EC1" w:rsidRDefault="00252869">
      <w:pPr>
        <w:pStyle w:val="Normaltindrag"/>
      </w:pPr>
      <w:r w:rsidRPr="001B4EC1">
        <w:t>Rik</w:t>
      </w:r>
      <w:r w:rsidRPr="001B4EC1">
        <w:t>sdagen följde utskottets förslag.</w:t>
      </w:r>
    </w:p>
    <w:p w:rsidR="00252869" w:rsidRPr="001B4EC1" w:rsidRDefault="00252869">
      <w:pPr>
        <w:pStyle w:val="R3"/>
      </w:pPr>
      <w:r w:rsidRPr="001B4EC1">
        <w:t>Gällande bestämmelser</w:t>
      </w:r>
    </w:p>
    <w:p w:rsidR="00252869" w:rsidRPr="001B4EC1" w:rsidRDefault="00252869">
      <w:pPr>
        <w:pStyle w:val="R4"/>
      </w:pPr>
      <w:r w:rsidRPr="001B4EC1">
        <w:t>Regeringsformens beredningskrav</w:t>
      </w:r>
    </w:p>
    <w:p w:rsidR="00252869" w:rsidRPr="001B4EC1" w:rsidRDefault="00252869">
      <w:r w:rsidRPr="001B4EC1">
        <w:t>Enligt 7 kap. 1 § regeringsformen (RF) skall det för beredning av regering</w:t>
      </w:r>
      <w:r w:rsidRPr="001B4EC1">
        <w:t>s</w:t>
      </w:r>
      <w:r w:rsidRPr="001B4EC1">
        <w:t>ärenden finnas ett regeringskansli. I detta ingår departement för skilda ver</w:t>
      </w:r>
      <w:r w:rsidRPr="001B4EC1">
        <w:t>k</w:t>
      </w:r>
      <w:r w:rsidRPr="001B4EC1">
        <w:t>samhetsgrenar. Regeringen fördelar ärendena mellan departementen. Statsm</w:t>
      </w:r>
      <w:r w:rsidRPr="001B4EC1">
        <w:t>i</w:t>
      </w:r>
      <w:r w:rsidRPr="001B4EC1">
        <w:t>nistern utser bland statsråden chefer för departementen.</w:t>
      </w:r>
    </w:p>
    <w:p w:rsidR="00252869" w:rsidRPr="001B4EC1" w:rsidRDefault="00252869">
      <w:pPr>
        <w:pStyle w:val="Normaltindrag"/>
      </w:pPr>
      <w:r w:rsidRPr="001B4EC1">
        <w:t>Vidare föreskrivs i 7 kap. 2 § RF att behövliga upplysningar och yttranden skall inhämtas från berörda myndigheter vid beredningen av regeringsäre</w:t>
      </w:r>
      <w:r w:rsidRPr="001B4EC1">
        <w:t>n</w:t>
      </w:r>
      <w:r w:rsidRPr="001B4EC1">
        <w:t>den.</w:t>
      </w:r>
    </w:p>
    <w:p w:rsidR="00252869" w:rsidRPr="001B4EC1" w:rsidRDefault="00252869">
      <w:r w:rsidRPr="001B4EC1">
        <w:t xml:space="preserve">I Statsrådsberedningens skrift </w:t>
      </w:r>
      <w:r w:rsidRPr="001B4EC1">
        <w:rPr>
          <w:i/>
        </w:rPr>
        <w:t xml:space="preserve">Propositionshandboken </w:t>
      </w:r>
      <w:r w:rsidRPr="001B4EC1">
        <w:t>(Ds 1997:1) beskrivs gången i propositionsarbetet och visas möjliga sätt att förenkla arbete och att klara de praktiska problem som möter propositionsskrivaren. Den innehåller också bl.a. riktlinjer för den formella utformningen av propositioner och lagrådsremisser.</w:t>
      </w:r>
    </w:p>
    <w:p w:rsidR="00252869" w:rsidRPr="001B4EC1" w:rsidRDefault="00252869">
      <w:pPr>
        <w:pStyle w:val="Normaltindrag"/>
      </w:pPr>
      <w:r w:rsidRPr="001B4EC1">
        <w:t xml:space="preserve">När det gäller beredningskravet i 7 kap. 2 § RF framhålls i handboken att det traditionella sättet för regeringen att få upplysningar och yttranden är att skicka ut betänkanden och promemorior på remiss (s. 27). Regeringen </w:t>
      </w:r>
      <w:r w:rsidRPr="001B4EC1">
        <w:t>kan dock även på annat sätt skaffa sig information, främst genom remissmöten och genom att hämta in underhandskontakter. I promemorian anförs att alla komplicerade lagstiftningsärenden skall föregås av remissbehandling. R</w:t>
      </w:r>
      <w:r w:rsidRPr="001B4EC1">
        <w:t>e</w:t>
      </w:r>
      <w:r w:rsidRPr="001B4EC1">
        <w:t>missmöten kan dock i sådana fall användas som en del av beredningsförf</w:t>
      </w:r>
      <w:r w:rsidRPr="001B4EC1">
        <w:t>a</w:t>
      </w:r>
      <w:r w:rsidRPr="001B4EC1">
        <w:t>randet, om ärendet har föregåtts av tidigare utredningar och remissförfara</w:t>
      </w:r>
      <w:r w:rsidRPr="001B4EC1">
        <w:t>n</w:t>
      </w:r>
      <w:r w:rsidRPr="001B4EC1">
        <w:t>den. Det skall enligt handboken starkt understrykas att det endast är i verkliga undantagssituationer som regeringen i stället för remissbehandl</w:t>
      </w:r>
      <w:r w:rsidRPr="001B4EC1">
        <w:t>ing eller r</w:t>
      </w:r>
      <w:r w:rsidRPr="001B4EC1">
        <w:t>e</w:t>
      </w:r>
      <w:r w:rsidRPr="001B4EC1">
        <w:t>missmöte kan ta kontakt med berörda myndigheter under hand och ha öve</w:t>
      </w:r>
      <w:r w:rsidRPr="001B4EC1">
        <w:t>r</w:t>
      </w:r>
      <w:r w:rsidRPr="001B4EC1">
        <w:t>läggningar med dessa. Vidare framhålls att det måste i varje fall bedömas om situationen är sådan att remissbehandling kan underlåtas.</w:t>
      </w:r>
    </w:p>
    <w:p w:rsidR="00252869" w:rsidRPr="001B4EC1" w:rsidRDefault="00252869">
      <w:pPr>
        <w:pStyle w:val="Normaltindrag"/>
      </w:pPr>
      <w:r w:rsidRPr="001B4EC1">
        <w:t>Vikten av sedvanlig remissbehandling har understrukits särskilt i fråga om lagstiftning</w:t>
      </w:r>
      <w:r w:rsidRPr="001B4EC1">
        <w:t>s</w:t>
      </w:r>
      <w:r w:rsidRPr="001B4EC1">
        <w:t>ärenden (jfr bet. 2003/04:KU10 s. 56).</w:t>
      </w:r>
    </w:p>
    <w:p w:rsidR="00252869" w:rsidRPr="001B4EC1" w:rsidRDefault="00252869">
      <w:pPr>
        <w:pStyle w:val="R4"/>
      </w:pPr>
      <w:r w:rsidRPr="001B4EC1">
        <w:t>Tillhandahållande av allmänna handlingar</w:t>
      </w:r>
    </w:p>
    <w:p w:rsidR="00252869" w:rsidRPr="001B4EC1" w:rsidRDefault="00252869">
      <w:r w:rsidRPr="001B4EC1">
        <w:t xml:space="preserve">I 2 kap. tryckfrihetsförordningen (TF) ges grundläggande bestämmelser om rätten att ta del av allmänna handlingar. Av 2 kap. 14 §  TF framgår att den som vill ta del av allmän handling skall, med vissa undantag, vända sig till den myndighet som förvarar handlingen. </w:t>
      </w:r>
    </w:p>
    <w:p w:rsidR="00252869" w:rsidRPr="001B4EC1" w:rsidRDefault="00252869">
      <w:pPr>
        <w:pStyle w:val="Normaltindrag"/>
      </w:pPr>
      <w:r w:rsidRPr="001B4EC1">
        <w:t xml:space="preserve">En allmän handling som inte är hemlig skall på begäran </w:t>
      </w:r>
      <w:r w:rsidRPr="001B4EC1">
        <w:rPr>
          <w:i/>
        </w:rPr>
        <w:t>genast</w:t>
      </w:r>
      <w:r w:rsidRPr="001B4EC1">
        <w:t xml:space="preserve"> eller </w:t>
      </w:r>
      <w:r w:rsidRPr="001B4EC1">
        <w:rPr>
          <w:i/>
        </w:rPr>
        <w:t xml:space="preserve">så snart det är möjligt </w:t>
      </w:r>
      <w:r w:rsidRPr="001B4EC1">
        <w:t xml:space="preserve">på stället utan avgift tillhandahållas den som önskar ta del av den (2 kap. 12 § första stycket). En begäran att få del av allmän handling skall m.a.o. prövas </w:t>
      </w:r>
      <w:r w:rsidRPr="001B4EC1">
        <w:rPr>
          <w:i/>
        </w:rPr>
        <w:t>skyndsamt</w:t>
      </w:r>
      <w:r w:rsidRPr="001B4EC1">
        <w:t xml:space="preserve"> av myndigheten. Inga onödiga dröjsmål får förekomma. En anledning att dröja kan vara att myndigheten måste pröva om handlingen är hemlig enligt sekretesslagen.</w:t>
      </w:r>
    </w:p>
    <w:p w:rsidR="00252869" w:rsidRPr="001B4EC1" w:rsidRDefault="00252869">
      <w:pPr>
        <w:pStyle w:val="Normaltindrag"/>
      </w:pPr>
      <w:r w:rsidRPr="001B4EC1">
        <w:t>Kan handlingen inte läsas eller uppfattas på något annat sätt utan något tekniskt hjälpmedel, skall myndigheten ställa ett sådant till förfogande.</w:t>
      </w:r>
      <w:r w:rsidRPr="001B4EC1">
        <w:t xml:space="preserve"> En handling får också skrivas av, fotograferas eller spelas in. Är en handling delvis hemlig, skall de delar som inte är hemliga tillhandahållas i avskrift eller k</w:t>
      </w:r>
      <w:r w:rsidRPr="001B4EC1">
        <w:t>o</w:t>
      </w:r>
      <w:r w:rsidRPr="001B4EC1">
        <w:t xml:space="preserve">pia. </w:t>
      </w:r>
    </w:p>
    <w:p w:rsidR="00252869" w:rsidRPr="001B4EC1" w:rsidRDefault="00252869">
      <w:pPr>
        <w:pStyle w:val="Normaltindrag"/>
      </w:pPr>
      <w:r w:rsidRPr="001B4EC1">
        <w:t xml:space="preserve">I 2 kap. 12 § andra stycket anges två undantag från rätten att </w:t>
      </w:r>
      <w:r w:rsidRPr="001B4EC1">
        <w:rPr>
          <w:i/>
        </w:rPr>
        <w:t xml:space="preserve">på stället </w:t>
      </w:r>
      <w:r w:rsidRPr="001B4EC1">
        <w:t>ta del av allmän handling. Det första undantaget innebär att myndigheten inte är skyldig att på stället tillhandahålla allmän handling ”</w:t>
      </w:r>
      <w:r w:rsidRPr="001B4EC1">
        <w:rPr>
          <w:i/>
        </w:rPr>
        <w:t>om betydande hinder möter</w:t>
      </w:r>
      <w:r w:rsidRPr="001B4EC1">
        <w:t>”.  Ett sådant hinder kan t.ex. vara att myndigheten, just då begäran görs, behöver handlingen för sitt eget arbete eller att den berörda personalen är upptagen av andra, viktigare åligganden. Hinder kan också vara utrymme</w:t>
      </w:r>
      <w:r w:rsidRPr="001B4EC1">
        <w:t>s</w:t>
      </w:r>
      <w:r w:rsidRPr="001B4EC1">
        <w:t>brist eller att handlingen är av så ömtålig beskaffenhet att den kan skadas vid utlämnandet (se Bohlin, Allmänna hand</w:t>
      </w:r>
      <w:r w:rsidRPr="001B4EC1">
        <w:t xml:space="preserve">lingar s. 247–249). I dylika fall bör sökanden i stället tillhandahållas en kopia eller en bestyrkt avskrift. </w:t>
      </w:r>
    </w:p>
    <w:p w:rsidR="00252869" w:rsidRPr="001B4EC1" w:rsidRDefault="00252869">
      <w:pPr>
        <w:pStyle w:val="Normaltindrag"/>
      </w:pPr>
      <w:r w:rsidRPr="001B4EC1">
        <w:t xml:space="preserve">Det andra undantaget tar sikte på </w:t>
      </w:r>
      <w:r w:rsidRPr="001B4EC1">
        <w:rPr>
          <w:i/>
        </w:rPr>
        <w:t xml:space="preserve">upptagningar </w:t>
      </w:r>
      <w:r w:rsidRPr="001B4EC1">
        <w:t>och innebär att myndigh</w:t>
      </w:r>
      <w:r w:rsidRPr="001B4EC1">
        <w:t>e</w:t>
      </w:r>
      <w:r w:rsidRPr="001B4EC1">
        <w:t>ten inte är skyldig att på stället tillhandahålla upptagning om sökanden utan beaktansvärd olägenhet kan ta del av den hos en närbelägen myndighet.</w:t>
      </w:r>
    </w:p>
    <w:p w:rsidR="00252869" w:rsidRPr="001B4EC1" w:rsidRDefault="00252869">
      <w:pPr>
        <w:pStyle w:val="Normaltindrag"/>
      </w:pPr>
      <w:r w:rsidRPr="001B4EC1">
        <w:t>Enligt 2 kap. 13 § har den som vill ta del av en allmän handling också rätt att mot avgift få en avskrift eller kopia av handlingen (se vidare avgiftsfö</w:t>
      </w:r>
      <w:r w:rsidRPr="001B4EC1">
        <w:t>r</w:t>
      </w:r>
      <w:r w:rsidRPr="001B4EC1">
        <w:t>ordningen 1992:191). Från denna regel görs undantag, t.ex. är en myndighet inte skyldig att i större utsträckning än vad som följer av lag lämna ut en upptagning för automatiserad behandling i annan form än utskrift. Begäran om att få avskrift eller kopia skall behandlas skyndsamt.</w:t>
      </w:r>
    </w:p>
    <w:p w:rsidR="00252869" w:rsidRPr="001B4EC1" w:rsidRDefault="00252869">
      <w:pPr>
        <w:pStyle w:val="Normaltindrag"/>
      </w:pPr>
      <w:r w:rsidRPr="001B4EC1">
        <w:t>Handlingen behöver inte beskrivas noga av den som begär att få ut han</w:t>
      </w:r>
      <w:r w:rsidRPr="001B4EC1">
        <w:t>d</w:t>
      </w:r>
      <w:r w:rsidRPr="001B4EC1">
        <w:t>lingen. Myndigheten är dock inte skyldig att göra några omfattande efte</w:t>
      </w:r>
      <w:r w:rsidRPr="001B4EC1">
        <w:t>r</w:t>
      </w:r>
      <w:r w:rsidRPr="001B4EC1">
        <w:t>forskningar för att få fram handlingar som sökanden inte kan beskriva närm</w:t>
      </w:r>
      <w:r w:rsidRPr="001B4EC1">
        <w:t>a</w:t>
      </w:r>
      <w:r w:rsidRPr="001B4EC1">
        <w:t xml:space="preserve">re. </w:t>
      </w:r>
    </w:p>
    <w:p w:rsidR="00252869" w:rsidRPr="001B4EC1" w:rsidRDefault="00252869">
      <w:pPr>
        <w:pStyle w:val="Normaltindrag"/>
      </w:pPr>
      <w:r w:rsidRPr="001B4EC1">
        <w:t>Myndigheten får inte på grund av att någon begär att få del av en allmän handling efterforska vem denne är eller vilket syfte han har med sin begäran (2 kap. 14 § tredje stycket). Ibland kan det vara så att detta dock är en föru</w:t>
      </w:r>
      <w:r w:rsidRPr="001B4EC1">
        <w:t>t</w:t>
      </w:r>
      <w:r w:rsidRPr="001B4EC1">
        <w:t>sättning för att myndigheten skall kunna bedöma vad ett utlämnande kan få för konsekvenser. I sådant fall måste den som begär att få ta del av handlin</w:t>
      </w:r>
      <w:r w:rsidRPr="001B4EC1">
        <w:t>g</w:t>
      </w:r>
      <w:r w:rsidRPr="001B4EC1">
        <w:t xml:space="preserve">en uppge namn och vad handlingen skall användas till.  </w:t>
      </w:r>
    </w:p>
    <w:p w:rsidR="00252869" w:rsidRPr="001B4EC1" w:rsidRDefault="00252869">
      <w:pPr>
        <w:pStyle w:val="Normaltindrag"/>
      </w:pPr>
      <w:r w:rsidRPr="001B4EC1">
        <w:t>En myndighet kan under vissa förutsättningar lämna ut en handling med förbehåll som inskränker sökandens rätt att använda den information som finns i handlingen (2 kap. 15 §). Myndigheten kan t.ex. förbjuda sökanden att föra uppgiften vidare.</w:t>
      </w:r>
    </w:p>
    <w:p w:rsidR="00252869" w:rsidRPr="001B4EC1" w:rsidRDefault="00252869">
      <w:r w:rsidRPr="001B4EC1">
        <w:t>I 15 kap. 6 § andra stycket sekretesslagen (1980:100, SekrL) finns vissa ko</w:t>
      </w:r>
      <w:r w:rsidRPr="001B4EC1">
        <w:t>m</w:t>
      </w:r>
      <w:r w:rsidRPr="001B4EC1">
        <w:t xml:space="preserve">pletterande bestämmelser. Om viss befattningshavare vid myndighet enligt arbetsordning eller särskilt beslut svarar för vården av handling, ankommer det i första hand på honom eller henne att pröva frågan om handlingen skall lämnas ut till enskild. </w:t>
      </w:r>
    </w:p>
    <w:p w:rsidR="00252869" w:rsidRPr="001B4EC1" w:rsidRDefault="00252869">
      <w:pPr>
        <w:pStyle w:val="Normaltindrag"/>
      </w:pPr>
      <w:r w:rsidRPr="001B4EC1">
        <w:t>En föredragande eller annan handläggare torde i sin vård anses ha de handlingar som lämnats till honom. Detsamma gäller registrator och arkivarie (Regner m.fl., Sekretesslagen, En kommentar, 15:16). I andra stycket anges vidare att ifrågavarande befattningshava</w:t>
      </w:r>
      <w:r w:rsidRPr="001B4EC1">
        <w:t>re skall i tveksamma fall hänskjuta frågan till myndigheten, ”om det kan ske utan omgång”. Om denne vägrar att lämna ut handlingen eller lämnar ut den med förbehåll som inskränker söka</w:t>
      </w:r>
      <w:r w:rsidRPr="001B4EC1">
        <w:t>n</w:t>
      </w:r>
      <w:r w:rsidRPr="001B4EC1">
        <w:t xml:space="preserve">dens rätt att yppa dess innehåll eller annars förfoga över den, skall han eller hon på sökandens begäran hänskjuta frågan till myndigheten. Sökanden skall underrättas om sin rätt att begära detta och att beslut av myndigheten krävs för att ett avgörande skall kunna överklagas. </w:t>
      </w:r>
    </w:p>
    <w:p w:rsidR="00252869" w:rsidRPr="001B4EC1" w:rsidRDefault="00252869">
      <w:pPr>
        <w:pStyle w:val="R4"/>
      </w:pPr>
      <w:r w:rsidRPr="001B4EC1">
        <w:t>Överklagan</w:t>
      </w:r>
    </w:p>
    <w:p w:rsidR="00252869" w:rsidRPr="001B4EC1" w:rsidRDefault="00252869">
      <w:r w:rsidRPr="001B4EC1">
        <w:t>Om annan än riksdagen eller regeringen avslår begäran att få ta del av han</w:t>
      </w:r>
      <w:r w:rsidRPr="001B4EC1">
        <w:t>d</w:t>
      </w:r>
      <w:r w:rsidRPr="001B4EC1">
        <w:t xml:space="preserve">ling eller lämnar ut allmän handling med förbehåll, får sökanden föra talan mot beslutet. Talan mot beslut av statsråd skall föras hos regeringen och talan mot beslut av annan myndighet hos domstol (2 kap. 15 § första stycket TF). </w:t>
      </w:r>
    </w:p>
    <w:p w:rsidR="00252869" w:rsidRPr="001B4EC1" w:rsidRDefault="00252869">
      <w:pPr>
        <w:pStyle w:val="Normaltindrag"/>
      </w:pPr>
      <w:r w:rsidRPr="001B4EC1">
        <w:t xml:space="preserve">Av 2 kap. 15 § första stycket TF framgår således att </w:t>
      </w:r>
      <w:r w:rsidRPr="001B4EC1">
        <w:rPr>
          <w:i/>
        </w:rPr>
        <w:t>beslut av riksdagen eller regeringen</w:t>
      </w:r>
      <w:r w:rsidRPr="001B4EC1">
        <w:t xml:space="preserve"> att avslå en begäran om att få ta del av en allmän handling inte kan överklagas. </w:t>
      </w:r>
    </w:p>
    <w:p w:rsidR="00252869" w:rsidRPr="001B4EC1" w:rsidRDefault="00252869">
      <w:pPr>
        <w:pStyle w:val="R4"/>
      </w:pPr>
      <w:r w:rsidRPr="001B4EC1">
        <w:t>Hemligstämpling</w:t>
      </w:r>
    </w:p>
    <w:p w:rsidR="00252869" w:rsidRPr="001B4EC1" w:rsidRDefault="00252869">
      <w:r w:rsidRPr="001B4EC1">
        <w:t xml:space="preserve">Grundläggande regler om hemligstämpling av allmänna handlingar finns i 2 kap. 16 § TF. Enligt denna bestämmelse får anteckning om hinder att lämna ut allmän handling göras endast på en handling som omfattas av sekretess. Tillämplig bestämmelse skall anges på handlingen. </w:t>
      </w:r>
    </w:p>
    <w:p w:rsidR="00252869" w:rsidRPr="001B4EC1" w:rsidRDefault="00252869">
      <w:pPr>
        <w:pStyle w:val="Normaltindrag"/>
      </w:pPr>
      <w:r w:rsidRPr="001B4EC1">
        <w:t>I 15 kap. 3 § SekrL finns mer detaljerade regler om hemligstämpling. Av dessa bestämmelser framgår att förutsättningen för att man skall få hemli</w:t>
      </w:r>
      <w:r w:rsidRPr="001B4EC1">
        <w:t>g</w:t>
      </w:r>
      <w:r w:rsidRPr="001B4EC1">
        <w:t>stämpla en allmän handling är att det kan antas att hinder mot utlämnande av uppgift i handlingen föreligger enligt någon tillämplig bestämmelse i sekr</w:t>
      </w:r>
      <w:r w:rsidRPr="001B4EC1">
        <w:t>e</w:t>
      </w:r>
      <w:r w:rsidRPr="001B4EC1">
        <w:t xml:space="preserve">tesslagen eller annan författning. Vidare föreskrivs att sådan anteckning skall innehålla beteckningen hemlig samt ange tillämplig bestämmelse, dagen för anteckningen och den myndighet som låtit göra den. </w:t>
      </w:r>
    </w:p>
    <w:p w:rsidR="00252869" w:rsidRPr="001B4EC1" w:rsidRDefault="00252869">
      <w:pPr>
        <w:pStyle w:val="Normaltindrag"/>
      </w:pPr>
      <w:r w:rsidRPr="001B4EC1">
        <w:t>Av ovan nämnda bestämmelser framgår att förutsättningen för att man skall få hemligstämpla en allmän handling är att det kan antas att hinder mot utlämna</w:t>
      </w:r>
      <w:r w:rsidRPr="001B4EC1">
        <w:t>nde av uppgift i handlingen föreligger enligt någon tillämplig sekr</w:t>
      </w:r>
      <w:r w:rsidRPr="001B4EC1">
        <w:t>e</w:t>
      </w:r>
      <w:r w:rsidRPr="001B4EC1">
        <w:t>tessbestämmelse. Att denna förutsättning är uppfylld innebär inte någon sky</w:t>
      </w:r>
      <w:r w:rsidRPr="001B4EC1">
        <w:t>l</w:t>
      </w:r>
      <w:r w:rsidRPr="001B4EC1">
        <w:t xml:space="preserve">dighet för myndigheten att förse handlingen med en anteckning om sekretess. Det har överlämnats åt myndigheten att avgöra i vilken utsträckning det finns anledning att göra sådana anteckningar (Regner m.fl., Sekretesslagen, En kommentar, 15:9, suppl. 6, januari 2001). </w:t>
      </w:r>
    </w:p>
    <w:p w:rsidR="00252869" w:rsidRPr="001B4EC1" w:rsidRDefault="00252869">
      <w:pPr>
        <w:pStyle w:val="Normaltindrag"/>
      </w:pPr>
      <w:r w:rsidRPr="001B4EC1">
        <w:t>En myndighets hemligstämpling innebär inte något bindande avgörande i sekretessfrågan. Den skall i</w:t>
      </w:r>
      <w:r w:rsidRPr="001B4EC1">
        <w:t xml:space="preserve"> stället ses som en ”varningsflagg” om att en no</w:t>
      </w:r>
      <w:r w:rsidRPr="001B4EC1">
        <w:t>g</w:t>
      </w:r>
      <w:r w:rsidRPr="001B4EC1">
        <w:t>grann sekretessprövning bör göras. Sekretessfrågan skall prövas varje gång någon begär att få ut handlingen.</w:t>
      </w:r>
    </w:p>
    <w:p w:rsidR="00252869" w:rsidRPr="001B4EC1" w:rsidRDefault="00252869">
      <w:pPr>
        <w:pStyle w:val="Rubrik3"/>
        <w:rPr>
          <w:noProof w:val="0"/>
        </w:rPr>
      </w:pPr>
      <w:bookmarkStart w:id="96" w:name="_Toc72648527"/>
      <w:r w:rsidRPr="001B4EC1">
        <w:rPr>
          <w:noProof w:val="0"/>
        </w:rPr>
        <w:t>Promemoria från Näringsdepartementet</w:t>
      </w:r>
      <w:bookmarkEnd w:id="96"/>
    </w:p>
    <w:p w:rsidR="00252869" w:rsidRPr="001B4EC1" w:rsidRDefault="00252869">
      <w:r w:rsidRPr="001B4EC1">
        <w:t>I en skrivelse till Regeringskansliet har utskottet begärt svar på vissa frågor. Som svar har till utskottet överlämnats en promemoria upprättad inom Nä</w:t>
      </w:r>
      <w:r w:rsidRPr="001B4EC1">
        <w:t>r</w:t>
      </w:r>
      <w:r w:rsidRPr="001B4EC1">
        <w:t xml:space="preserve">ingsdepartementet den 10 februari 2004, </w:t>
      </w:r>
      <w:r w:rsidRPr="001B4EC1">
        <w:rPr>
          <w:i/>
        </w:rPr>
        <w:t>bilaga A3.2.2</w:t>
      </w:r>
      <w:r w:rsidRPr="001B4EC1">
        <w:t xml:space="preserve">. </w:t>
      </w:r>
    </w:p>
    <w:p w:rsidR="00252869" w:rsidRPr="001B4EC1" w:rsidRDefault="00252869">
      <w:pPr>
        <w:pStyle w:val="Normaltindrag"/>
      </w:pPr>
      <w:r w:rsidRPr="001B4EC1">
        <w:t>I promemorian anförs att samtliga i granskningsärendet aktuella propos</w:t>
      </w:r>
      <w:r w:rsidRPr="001B4EC1">
        <w:t>i</w:t>
      </w:r>
      <w:r w:rsidRPr="001B4EC1">
        <w:t xml:space="preserve">tioner avser ärenden som behandlar förändringar i ägarstrukturen i bolagen som har en marknadsinriktad verksamhet. Statens aktieinnehav i bolagen representerar betydande värden. Skulle regeringen i de riksdagsärenden som innefattar känsliga affärshemliga uppgifter inhämta yttranden från enskilda, sammanslutningar och myndigheter innan regeringen beslutar en proposition skulle detta enligt promemorian allvarligt kunna skada bolagets värde och verksamhet genom bl.a. den osäkerhet om bolagets framtid som ett </w:t>
      </w:r>
      <w:r w:rsidRPr="001B4EC1">
        <w:t>remissfö</w:t>
      </w:r>
      <w:r w:rsidRPr="001B4EC1">
        <w:t>r</w:t>
      </w:r>
      <w:r w:rsidRPr="001B4EC1">
        <w:t>farande skulle skapa. I promemorian påpekas att ett remissförfarande skulle innebära att utomstående skulle få tillgång till bl.a. en detaljerad affärsplan, med problem- och konsekvensanalys, för bolag som agerar på en konkurren</w:t>
      </w:r>
      <w:r w:rsidRPr="001B4EC1">
        <w:t>s</w:t>
      </w:r>
      <w:r w:rsidRPr="001B4EC1">
        <w:t>utsatt marknad. Ett sådant förfarande skulle allvarligt kunna skada värdet på statens aktieinnehav i bolaget.</w:t>
      </w:r>
    </w:p>
    <w:p w:rsidR="00252869" w:rsidRPr="001B4EC1" w:rsidRDefault="00252869">
      <w:pPr>
        <w:pStyle w:val="Normaltindrag"/>
      </w:pPr>
      <w:r w:rsidRPr="001B4EC1">
        <w:t>Vid en avvägning av fördelarna med att inhämta yttranden och nackdela</w:t>
      </w:r>
      <w:r w:rsidRPr="001B4EC1">
        <w:t>r</w:t>
      </w:r>
      <w:r w:rsidRPr="001B4EC1">
        <w:t>na för bolagets verksamhet, kan enligt promemorian slutsatsen dras att risken för skada i samband med ett remissförfarande klart överstiger de fördelar ett remissförfarande kan innebära. En ansvarsfull bolagsförvaltare kan inte agera så att ett bolags förmögenhetsvärde och verksamhet äventyras. I promemorian framhålls att i de berörda ärendena fanns av den anledningen inte möjlighet att inhämta yttranden innan regeringen beslutade om det förslag som skulle föreläggas riksdagen.</w:t>
      </w:r>
    </w:p>
    <w:p w:rsidR="00252869" w:rsidRPr="001B4EC1" w:rsidRDefault="00252869">
      <w:pPr>
        <w:pStyle w:val="Normaltindrag"/>
      </w:pPr>
      <w:r w:rsidRPr="001B4EC1">
        <w:t xml:space="preserve">Enligt promemorian inhämtas </w:t>
      </w:r>
      <w:r w:rsidRPr="001B4EC1">
        <w:t>ekonomiska analyser och konsekvensanal</w:t>
      </w:r>
      <w:r w:rsidRPr="001B4EC1">
        <w:t>y</w:t>
      </w:r>
      <w:r w:rsidRPr="001B4EC1">
        <w:t>ser  från mycket kompetenta konsulter under beredningen av en proposition som innebär ekonomiska förändringar i den statliga bolagssfären. För att säkerställa kvaliteten i beslutsunderlaget avstäms ofta analysresultatet ytterl</w:t>
      </w:r>
      <w:r w:rsidRPr="001B4EC1">
        <w:t>i</w:t>
      </w:r>
      <w:r w:rsidRPr="001B4EC1">
        <w:t>gare. I promemorian framhålls att ett utlämnande av handlingar som innehå</w:t>
      </w:r>
      <w:r w:rsidRPr="001B4EC1">
        <w:t>l</w:t>
      </w:r>
      <w:r w:rsidRPr="001B4EC1">
        <w:t>ler detaljerade affärsplaner och problem- och konsekvensanalyser med för</w:t>
      </w:r>
      <w:r w:rsidRPr="001B4EC1">
        <w:t>e</w:t>
      </w:r>
      <w:r w:rsidRPr="001B4EC1">
        <w:t>tagshemligheter skulle, för ett aktiebolag som agerar på en konkurrensutsatt marknad, innebära stor</w:t>
      </w:r>
      <w:r w:rsidRPr="001B4EC1">
        <w:t>a risker för förmögenhetsförlust för staten. Därför finns normalt inte sådana uppgifter redovisade i propositionstexter.</w:t>
      </w:r>
    </w:p>
    <w:p w:rsidR="00252869" w:rsidRPr="001B4EC1" w:rsidRDefault="00252869">
      <w:pPr>
        <w:pStyle w:val="Normaltindrag"/>
      </w:pPr>
      <w:r w:rsidRPr="001B4EC1">
        <w:t>Vad gäller propositionen om kapitaltillskott till SJ AB (prop. 2002/03:86) avsåg förslaget enligt promemorian dessutom en brådskande åtgärd som skulle vidtas med anledning av att bolaget hade upprättat kontrollbalansrä</w:t>
      </w:r>
      <w:r w:rsidRPr="001B4EC1">
        <w:t>k</w:t>
      </w:r>
      <w:r w:rsidRPr="001B4EC1">
        <w:t>ning. I promemorian anförs att bolaget befann sig i en ekonomiskt svår situ</w:t>
      </w:r>
      <w:r w:rsidRPr="001B4EC1">
        <w:t>a</w:t>
      </w:r>
      <w:r w:rsidRPr="001B4EC1">
        <w:t>tion som krävde ett snabbt beslut, eftersom det egna kapitalet kommit att understiga hälften av det registrerade aktiekapitalet. Kapitalbristen måste enligt aktiebolagslagen, för att undvika likvidationsplikt, täckas inom åtta månader från det att kontrollbalansräkningen upprättats. Enligt promemorian syftade regeringens förslag till att snabbt få underlag för beslut om åtgärd innan denna tidsfrist löpte ut. Ett riksdagsbeslut i fr</w:t>
      </w:r>
      <w:r w:rsidRPr="001B4EC1">
        <w:t>åga om förslaget krävdes före riksdagens sommaruppehåll, varför det rådde tidsbrist för att inte bet</w:t>
      </w:r>
      <w:r w:rsidRPr="001B4EC1">
        <w:t>y</w:t>
      </w:r>
      <w:r w:rsidRPr="001B4EC1">
        <w:t>dande förmögenhetsvärden för staten skulle gå till spillo.</w:t>
      </w:r>
    </w:p>
    <w:p w:rsidR="00252869" w:rsidRPr="001B4EC1" w:rsidRDefault="00252869">
      <w:pPr>
        <w:pStyle w:val="Normaltindrag"/>
      </w:pPr>
      <w:r w:rsidRPr="001B4EC1">
        <w:t>Beträffande propositionen angående SJ AB inhämtades enligt promemor</w:t>
      </w:r>
      <w:r w:rsidRPr="001B4EC1">
        <w:t>i</w:t>
      </w:r>
      <w:r w:rsidRPr="001B4EC1">
        <w:t>an ett flertal sådana analyser, vilka av skäl som omnämnts ovan inte kunde lämnas ut. Propositionen utformades i samarbete med regeringens samarbet</w:t>
      </w:r>
      <w:r w:rsidRPr="001B4EC1">
        <w:t>s</w:t>
      </w:r>
      <w:r w:rsidRPr="001B4EC1">
        <w:t>partier Vänsterpartiet och Miljöpartiet och bereddes i övrigt enligt gällande beredningsrut</w:t>
      </w:r>
      <w:r w:rsidRPr="001B4EC1">
        <w:t>i</w:t>
      </w:r>
      <w:r w:rsidRPr="001B4EC1">
        <w:t>ner.</w:t>
      </w:r>
    </w:p>
    <w:p w:rsidR="00252869" w:rsidRPr="001B4EC1" w:rsidRDefault="00252869">
      <w:pPr>
        <w:pStyle w:val="Normaltindrag"/>
      </w:pPr>
      <w:r w:rsidRPr="001B4EC1">
        <w:t>I promemorian anförs vidare att propositionen angående AB Svensk E</w:t>
      </w:r>
      <w:r w:rsidRPr="001B4EC1">
        <w:t>x</w:t>
      </w:r>
      <w:r w:rsidRPr="001B4EC1">
        <w:t>portkredit rörde ägarförändringar av mycket brådskande karaktär. Vid bere</w:t>
      </w:r>
      <w:r w:rsidRPr="001B4EC1">
        <w:t>d</w:t>
      </w:r>
      <w:r w:rsidRPr="001B4EC1">
        <w:t>ningen av ärendet fanns därför inget tidsutrymme för remissbehandling. Det främsta skälet var att frågan krävde en snabb lösning, eftersom värdet på statens aktier i bolaget riskerade att minska och risker för bolagets fortsatta verksamhet hade kunnat uppstå.</w:t>
      </w:r>
    </w:p>
    <w:p w:rsidR="00252869" w:rsidRPr="001B4EC1" w:rsidRDefault="00252869">
      <w:pPr>
        <w:pStyle w:val="Normaltindrag"/>
      </w:pPr>
      <w:r w:rsidRPr="001B4EC1">
        <w:t>Därutöver anförs att regeringens ärende med dnr N2002/11969/SÄ rör handlingar angående bolagiseringen av Statens Järnvägar. Materialet är enligt promemorian mycket omfattande oc</w:t>
      </w:r>
      <w:r w:rsidRPr="001B4EC1">
        <w:t>h innehåller bl.a. uppgifter om värderin</w:t>
      </w:r>
      <w:r w:rsidRPr="001B4EC1">
        <w:t>g</w:t>
      </w:r>
      <w:r w:rsidRPr="001B4EC1">
        <w:t>ar, strategier och affärsplaner. Mot bakgrund av materialets affärsekonomiskt känsliga natur var det nödvändigt att Regeringskansliet gjorde en noggrann beredning angående vad för typ av uppgifter som skulle kunna lämnas ut och vilka som skulle kunna skada statens egendom. Begäran om utlämnande av handlingar lämnades in till Regeringskansliet den 12 december 2002. Rege</w:t>
      </w:r>
      <w:r w:rsidRPr="001B4EC1">
        <w:t>r</w:t>
      </w:r>
      <w:r w:rsidRPr="001B4EC1">
        <w:t>ingen fattade beslut den 6 februari 2003. De dokument som var offentliga skickades till ingivaren d</w:t>
      </w:r>
      <w:r w:rsidRPr="001B4EC1">
        <w:t>en 14 januari 2003. I promemorian framhålls att redan veckan före jul fanns offentliga handlingar tillgängliga hos Regering</w:t>
      </w:r>
      <w:r w:rsidRPr="001B4EC1">
        <w:t>s</w:t>
      </w:r>
      <w:r w:rsidRPr="001B4EC1">
        <w:t>kansliet. Under hela handläggningstiden hölls fortlöpande kontakter mellan Regeringskansliet och den som begärt ut handlingar. Enligt promemorian har regeringen i övrigt inte fattat något beslut om begäran om utlämnande av allmänna handlingar som rör propositionen om åtgärder för att stärka den finansiella ställningen i SJ AB.</w:t>
      </w:r>
    </w:p>
    <w:p w:rsidR="00252869" w:rsidRPr="001B4EC1" w:rsidRDefault="00252869">
      <w:pPr>
        <w:pStyle w:val="Normaltindrag"/>
      </w:pPr>
      <w:r w:rsidRPr="001B4EC1">
        <w:t>Vad gäller utskottets fråga angående ärendet om Teracom läm</w:t>
      </w:r>
      <w:r w:rsidRPr="001B4EC1">
        <w:t>nas i pr</w:t>
      </w:r>
      <w:r w:rsidRPr="001B4EC1">
        <w:t>o</w:t>
      </w:r>
      <w:r w:rsidRPr="001B4EC1">
        <w:t>memorian en förteckning avseende tider för utlämnande av allmänna han</w:t>
      </w:r>
      <w:r w:rsidRPr="001B4EC1">
        <w:t>d</w:t>
      </w:r>
      <w:r w:rsidRPr="001B4EC1">
        <w:t>lingar.</w:t>
      </w:r>
    </w:p>
    <w:p w:rsidR="00252869" w:rsidRPr="001B4EC1" w:rsidRDefault="00252869">
      <w:pPr>
        <w:pStyle w:val="Normaltindrag"/>
      </w:pPr>
      <w:r w:rsidRPr="001B4EC1">
        <w:t>Vidare anförs i promemorian att inom Regeringskansliet är den rutin va</w:t>
      </w:r>
      <w:r w:rsidRPr="001B4EC1">
        <w:t>n</w:t>
      </w:r>
      <w:r w:rsidRPr="001B4EC1">
        <w:t>lig som innebär att man sätter den stämpel som tjänar som information om att uppgifterna i handlingarna kan omfattas av sekretess, den s.k. sekretesstä</w:t>
      </w:r>
      <w:r w:rsidRPr="001B4EC1">
        <w:t>m</w:t>
      </w:r>
      <w:r w:rsidRPr="001B4EC1">
        <w:t>peln, på försättsblad eller missiv. Enligt promemorian är anledningen att det inte är praktiskt möjligt och inte tidsekonomiskt att stämpla samtliga sidor i ett sammanhängande dokument. I förarbetena till 2 kap. 16 § TF (prop. 1975/76:160 s. 209 f.) sägs att på handling som kan komma att omfattas av sekretess kan anbringas att ”den är hemlig”. Föredraganden</w:t>
      </w:r>
      <w:r w:rsidRPr="001B4EC1">
        <w:t xml:space="preserve"> anförde att en sådan anteckning endast tjänar som påminnelse om behovet av en noggrann sekretessprövning för det fall handlingen begärs utlämnad. Regeringskansliet tolkar uttalandet som att med handling avses ett sammanhän</w:t>
      </w:r>
      <w:r w:rsidRPr="001B4EC1">
        <w:t>g</w:t>
      </w:r>
      <w:r w:rsidRPr="001B4EC1">
        <w:t>ande dokument.</w:t>
      </w:r>
    </w:p>
    <w:p w:rsidR="00252869" w:rsidRPr="001B4EC1" w:rsidRDefault="00252869">
      <w:pPr>
        <w:pStyle w:val="Normaltindrag"/>
      </w:pPr>
      <w:r w:rsidRPr="001B4EC1">
        <w:t>I det aktuella ärendet hade Regeringskansliet enligt promemorian gjort en preliminär bedömning att missivskrivelsen och övriga dokument i handlingen omfattades av sekretess enligt 8 kap. 6 § första punkten sekretesslagen. Efter en begäran om utlämnande gjorde Regeringskans</w:t>
      </w:r>
      <w:r w:rsidRPr="001B4EC1">
        <w:t>liet en skadeprövning enligt sekretesslagen, varefter missivskrivelsen utlämnades. Övriga delar av han</w:t>
      </w:r>
      <w:r w:rsidRPr="001B4EC1">
        <w:t>d</w:t>
      </w:r>
      <w:r w:rsidRPr="001B4EC1">
        <w:t xml:space="preserve">lingen bedömdes inte kunna lämnas ut. </w:t>
      </w:r>
    </w:p>
    <w:p w:rsidR="00252869" w:rsidRPr="001B4EC1" w:rsidRDefault="00252869">
      <w:pPr>
        <w:pStyle w:val="Normaltindrag"/>
      </w:pPr>
      <w:r w:rsidRPr="001B4EC1">
        <w:t>I promemorian framhålls att den på missivskrivelsen angivna sekretes</w:t>
      </w:r>
      <w:r w:rsidRPr="001B4EC1">
        <w:t>s</w:t>
      </w:r>
      <w:r w:rsidRPr="001B4EC1">
        <w:t xml:space="preserve">grunden 8 kap. 6 § enligt Regeringskansliets bedömning stämmer väl överens med skyddsobjektet enskilds affärs- och driftsförhållanden. </w:t>
      </w:r>
    </w:p>
    <w:p w:rsidR="00252869" w:rsidRPr="001B4EC1" w:rsidRDefault="00252869">
      <w:pPr>
        <w:pStyle w:val="Rubrik4"/>
        <w:rPr>
          <w:noProof w:val="0"/>
        </w:rPr>
      </w:pPr>
      <w:bookmarkStart w:id="97" w:name="_Toc72648528"/>
      <w:r w:rsidRPr="001B4EC1">
        <w:rPr>
          <w:noProof w:val="0"/>
        </w:rPr>
        <w:t>Utfrågning med näringsminister Leif Pagrotsky m.m.</w:t>
      </w:r>
      <w:bookmarkEnd w:id="97"/>
    </w:p>
    <w:p w:rsidR="00252869" w:rsidRPr="001B4EC1" w:rsidRDefault="00252869">
      <w:r w:rsidRPr="001B4EC1">
        <w:t>Utskottet har den 13 april 2004 hållit en utfrågning med näringsminister Leif Pagrotsky. Denne uppgav bl.a. följande. Statens aktieinnehav i de statliga bolagen representerar stora värden och berör väldigt många människor. De har i dag ungefär 200 000 anställda. Man hanterar i dessa bolag ofta affär</w:t>
      </w:r>
      <w:r w:rsidRPr="001B4EC1">
        <w:t>s</w:t>
      </w:r>
      <w:r w:rsidRPr="001B4EC1">
        <w:t xml:space="preserve">känsliga uppgifter, i synnerhet i frågor som rör kapitaltillskott och förändrad ägarstruktur i bolagen. </w:t>
      </w:r>
    </w:p>
    <w:p w:rsidR="00252869" w:rsidRPr="001B4EC1" w:rsidRDefault="00252869">
      <w:pPr>
        <w:pStyle w:val="Normaltindrag"/>
      </w:pPr>
      <w:r w:rsidRPr="001B4EC1">
        <w:t>Leif Pagrotsky uppgav vidare att vid beredningen av de propositioner som utskottet ställt frågor om fanns ett behov av att göra juridiska och finansiella analyser inför ställningstaganden om bolagens situation och om bolagens framtidsutsikter. För att vara säkra på att regeringens förslag vilar på ett väl berett underlag skaffades därför analyser och rapporter in från finansiella och juridiska rådgivare</w:t>
      </w:r>
      <w:r w:rsidRPr="001B4EC1">
        <w:t>. Genom dessa fick man nödvändigt underlag för förslagen.</w:t>
      </w:r>
    </w:p>
    <w:p w:rsidR="00252869" w:rsidRPr="001B4EC1" w:rsidRDefault="00252869">
      <w:pPr>
        <w:pStyle w:val="Normaltindrag"/>
      </w:pPr>
      <w:r w:rsidRPr="001B4EC1">
        <w:t>Han anförde därutöver att det ligger i sakens natur att förhandlingsuppgi</w:t>
      </w:r>
      <w:r w:rsidRPr="001B4EC1">
        <w:t>f</w:t>
      </w:r>
      <w:r w:rsidRPr="001B4EC1">
        <w:t>ter och ekonomiska analyser inte alltid kan offentliggöras när man bedriver affärsverksamhet. Hade man offentliggjort sådana uppgifter hade det kunnat ge stora möjligheter för konkurrerande bolag och andra kommersiella parter som bolagen har relationer med att utnyttja statens belägenhet med motsv</w:t>
      </w:r>
      <w:r w:rsidRPr="001B4EC1">
        <w:t>a</w:t>
      </w:r>
      <w:r w:rsidRPr="001B4EC1">
        <w:t>rande skada för staten.</w:t>
      </w:r>
    </w:p>
    <w:p w:rsidR="00252869" w:rsidRPr="001B4EC1" w:rsidRDefault="00252869">
      <w:pPr>
        <w:pStyle w:val="Normaltindrag"/>
      </w:pPr>
      <w:r w:rsidRPr="001B4EC1">
        <w:t xml:space="preserve">Enligt Leif Pagrotsky gjorde regeringen en bedömning av fördelarna och nackdelarna med att inhämta yttranden från remissinstanser. En avgörande faktor vid bedömningen var statens intresse </w:t>
      </w:r>
      <w:r w:rsidRPr="001B4EC1">
        <w:t>av att säkra statens förmöge</w:t>
      </w:r>
      <w:r w:rsidRPr="001B4EC1">
        <w:t>n</w:t>
      </w:r>
      <w:r w:rsidRPr="001B4EC1">
        <w:t>hetsinnehav. Mot bakgrund av detta valde regeringen att inte offentliggöra beredningsmaterialet med analyser och affärskänsliga uppgifter genom att ta in yttranden från myndigheter och allmänheten.</w:t>
      </w:r>
    </w:p>
    <w:p w:rsidR="00252869" w:rsidRPr="001B4EC1" w:rsidRDefault="00252869">
      <w:pPr>
        <w:pStyle w:val="Normaltindrag"/>
      </w:pPr>
      <w:r w:rsidRPr="001B4EC1">
        <w:t>Leif Pagrotsky framhöll att regeringen självfallet skall leva upp till rege</w:t>
      </w:r>
      <w:r w:rsidRPr="001B4EC1">
        <w:t>r</w:t>
      </w:r>
      <w:r w:rsidRPr="001B4EC1">
        <w:t>ingsformens krav. Beredningen av propositioner om t.ex. ägarstrukturen inom de statliga bolagen ställer andra krav på beredningen än när regeringen lä</w:t>
      </w:r>
      <w:r w:rsidRPr="001B4EC1">
        <w:t>m</w:t>
      </w:r>
      <w:r w:rsidRPr="001B4EC1">
        <w:t xml:space="preserve">nar till exempel lagförslag till riksdagen. Det är andra krav som också ryms inom regeringsformens krav. </w:t>
      </w:r>
    </w:p>
    <w:p w:rsidR="00252869" w:rsidRPr="001B4EC1" w:rsidRDefault="00252869">
      <w:pPr>
        <w:pStyle w:val="Normaltindrag"/>
      </w:pPr>
      <w:r w:rsidRPr="001B4EC1">
        <w:t>Vidare anförde Leif Pagrotsky att det handlar om konkurrensneutralitet. Ägaren staten måste kunna hantera affärskänslig information på samma sätt som en privat ägare. Annars skulle de statliga bolagen få betydande konku</w:t>
      </w:r>
      <w:r w:rsidRPr="001B4EC1">
        <w:t>r</w:t>
      </w:r>
      <w:r w:rsidRPr="001B4EC1">
        <w:t>rensnackdelar.</w:t>
      </w:r>
    </w:p>
    <w:p w:rsidR="00252869" w:rsidRPr="001B4EC1" w:rsidRDefault="00252869">
      <w:pPr>
        <w:pStyle w:val="Normaltindrag"/>
      </w:pPr>
      <w:r w:rsidRPr="001B4EC1">
        <w:t>Han ville också peka på reglerna om skydd för information som är känslig för enskilds affärsförhållanden. De reglerna gör inte skillnad på uppgifter som har lämnats in till en myndighet av privata företag eller av statliga företag.</w:t>
      </w:r>
    </w:p>
    <w:p w:rsidR="00252869" w:rsidRPr="001B4EC1" w:rsidRDefault="00252869">
      <w:pPr>
        <w:pStyle w:val="Normaltindrag"/>
      </w:pPr>
      <w:r w:rsidRPr="001B4EC1">
        <w:t>Vad gäller frågor om utlämnande av handlingar och sekretess anförde Leif Pagrotsky bl.a. följande. Materialet i de aktuella ärendena är omfattande och innehåller uppgifter som skyddas av sekretess. Den sekretessprövning som måste göras när handlingar begärs utlämnade är komplicerad och tidskräva</w:t>
      </w:r>
      <w:r w:rsidRPr="001B4EC1">
        <w:t>n</w:t>
      </w:r>
      <w:r w:rsidRPr="001B4EC1">
        <w:t xml:space="preserve">de. Ett stort antal dokument måste gås igenom sida för sida. Ofta tillfrågas också det berörda bolaget. </w:t>
      </w:r>
    </w:p>
    <w:p w:rsidR="00252869" w:rsidRPr="001B4EC1" w:rsidRDefault="00252869">
      <w:pPr>
        <w:pStyle w:val="Normaltindrag"/>
      </w:pPr>
      <w:r w:rsidRPr="001B4EC1">
        <w:t>Leif Pagrotsky uppgav vidare att det material som begärdes ut om SJ o</w:t>
      </w:r>
      <w:r w:rsidRPr="001B4EC1">
        <w:t>m</w:t>
      </w:r>
      <w:r w:rsidRPr="001B4EC1">
        <w:t>fattade 30 samlingspärmar.</w:t>
      </w:r>
    </w:p>
    <w:p w:rsidR="00252869" w:rsidRPr="001B4EC1" w:rsidRDefault="00252869">
      <w:pPr>
        <w:pStyle w:val="Normaltindrag"/>
      </w:pPr>
      <w:r w:rsidRPr="001B4EC1">
        <w:t>På fråga huruvida Näringsdepartementet uppfyllt kravet i tryckfrihetsfö</w:t>
      </w:r>
      <w:r w:rsidRPr="001B4EC1">
        <w:t>r</w:t>
      </w:r>
      <w:r w:rsidRPr="001B4EC1">
        <w:t>ordningen när det gäller att skyndsamt besluta om utlämnande av allmän handling uppgav Leif Pagrotsky bl.a. följande. I departementet har man en person som ägnar sig åt de frågor som gäller SJ. Han skulle hålla Leif Pagro</w:t>
      </w:r>
      <w:r w:rsidRPr="001B4EC1">
        <w:t>t</w:t>
      </w:r>
      <w:r w:rsidRPr="001B4EC1">
        <w:t>sky informerad om läget i SJ, analysera det omfattande materialet och gå igenom de 30 pärmarna. Enligt Leif Pagrotsky var det en korrekt värdering att åberopa undantaget ”om betydande hinder möter”, eftersom den berörda personalen var upptagen med andra viktigare åligganden i det här spec</w:t>
      </w:r>
      <w:r w:rsidRPr="001B4EC1">
        <w:t>iella fallet. Den person som skulle ägna sig åt SJ tog med förtur itu med uppgiften att anlita en konsult som kunde hjälpa dem i analysarbetet, att sköta sakfrågan och att därefter gå igenom de 30 pärmarna. Enligt Leif Pagrotsky fick Kris</w:t>
      </w:r>
      <w:r w:rsidRPr="001B4EC1">
        <w:t>t</w:t>
      </w:r>
      <w:r w:rsidRPr="001B4EC1">
        <w:t>demokraterna med hänsyn till materialets omfång skyndsamt ta del av detta.</w:t>
      </w:r>
    </w:p>
    <w:p w:rsidR="00252869" w:rsidRPr="001B4EC1" w:rsidRDefault="00252869">
      <w:pPr>
        <w:pStyle w:val="Normaltindrag"/>
      </w:pPr>
      <w:r w:rsidRPr="001B4EC1">
        <w:t>På fråga uppgav Leif Pagrotsky vidare att ärendet om SJ omfattas av sa</w:t>
      </w:r>
      <w:r w:rsidRPr="001B4EC1">
        <w:t>m</w:t>
      </w:r>
      <w:r w:rsidRPr="001B4EC1">
        <w:t>arbetet med Vänsterpartiet och Miljöpartiet. När det gäller hur tidsbrist kan uppstå med tanke på att regeringen utövar daglig förvaltning av statens bolag uppgav han att departementet hade ställt krav på ytterligare genomlysning av SJ:s ekonomi. Detta resulterade i att man kom fram till att tillgångarna var övervärderade och att man inte tillräckligt hade tagit upp skulder. Då hade SJ en månad på sig att kalla till bolagsstämma och sedan åtta månader på sig för att fylla upp kapitalbristen. Därmed uppstod</w:t>
      </w:r>
      <w:r w:rsidRPr="001B4EC1">
        <w:t xml:space="preserve"> en tidsbrist. Den förvärrades av att man, till skillnad från andra aktiebolag, måste gå till riksdagen. Tidsfristen blev inte nio månader som för andra ägare utan ungefär tre månader.  </w:t>
      </w:r>
    </w:p>
    <w:p w:rsidR="00252869" w:rsidRPr="001B4EC1" w:rsidRDefault="00252869">
      <w:r w:rsidRPr="001B4EC1">
        <w:t>Utskottet har vidare ställt en ytterligare fråga i skriftlig form till Näringsd</w:t>
      </w:r>
      <w:r w:rsidRPr="001B4EC1">
        <w:t>e</w:t>
      </w:r>
      <w:r w:rsidRPr="001B4EC1">
        <w:t>partementet enligt följande. I vad mån fanns det någon formell möjlighet att bereda ärendet proposition 2002/03: 142 genom remiss, t.ex. genom att u</w:t>
      </w:r>
      <w:r w:rsidRPr="001B4EC1">
        <w:t>n</w:t>
      </w:r>
      <w:r w:rsidRPr="001B4EC1">
        <w:t>danta något material från det som delgavs remissinstansen eller remissinsta</w:t>
      </w:r>
      <w:r w:rsidRPr="001B4EC1">
        <w:t>n</w:t>
      </w:r>
      <w:r w:rsidRPr="001B4EC1">
        <w:t>serna, eller genom att organisera remissen på något annat särskilt sätt?</w:t>
      </w:r>
    </w:p>
    <w:p w:rsidR="00252869" w:rsidRPr="001B4EC1" w:rsidRDefault="00252869">
      <w:pPr>
        <w:pStyle w:val="Normaltindrag"/>
      </w:pPr>
      <w:r w:rsidRPr="001B4EC1">
        <w:t xml:space="preserve">Näringsdepartementet har i en skrivelse den 20 april 2004, </w:t>
      </w:r>
      <w:r w:rsidRPr="001B4EC1">
        <w:rPr>
          <w:i/>
        </w:rPr>
        <w:t>bilaga A3.2.3</w:t>
      </w:r>
      <w:r w:rsidRPr="001B4EC1">
        <w:t>, svarat att inledningsvis får hänvisas till vad som i Statsrådsberedningens svar till konstitutionsutskottet den 10 april 2004 anförts i fråga om beredningen av propositioner och problem med hantering av material som omfattas av sekr</w:t>
      </w:r>
      <w:r w:rsidRPr="001B4EC1">
        <w:t>e</w:t>
      </w:r>
      <w:r w:rsidRPr="001B4EC1">
        <w:t>tess i beredningsarbetet. Vidare framhåller departementet att själva sakfrågan i ärendet omfattades av sekretess. Det fanns inte någon annan information i ärendet som, avskild från den hemliga, kunde användas för ett meningsfullt remissförfarande. Av den anledning</w:t>
      </w:r>
      <w:r w:rsidRPr="001B4EC1">
        <w:t>en gjordes bedömningen att ett remissfö</w:t>
      </w:r>
      <w:r w:rsidRPr="001B4EC1">
        <w:t>r</w:t>
      </w:r>
      <w:r w:rsidRPr="001B4EC1">
        <w:t>farande inte kunde användas.</w:t>
      </w:r>
    </w:p>
    <w:p w:rsidR="00252869" w:rsidRPr="001B4EC1" w:rsidRDefault="00252869">
      <w:pPr>
        <w:pStyle w:val="Rubrik3"/>
        <w:rPr>
          <w:noProof w:val="0"/>
        </w:rPr>
      </w:pPr>
      <w:bookmarkStart w:id="98" w:name="_Toc72648529"/>
      <w:r w:rsidRPr="001B4EC1">
        <w:rPr>
          <w:noProof w:val="0"/>
        </w:rPr>
        <w:t>Utskottets ställningstagande</w:t>
      </w:r>
      <w:bookmarkEnd w:id="98"/>
    </w:p>
    <w:p w:rsidR="00252869" w:rsidRPr="001B4EC1" w:rsidRDefault="00252869">
      <w:r w:rsidRPr="001B4EC1">
        <w:t>Det nu aktuella granskningsärendet aktualiserar tre roller som regeringen innehar. För det första aktualiseras regeringens roll som ägare och förvaltare av statliga företag. Vidare berörs regeringens roll som ansvarig för förslag som överlämnas till riksdagen för beslut. Därutöver aktualiseras regeringens agerande som myndighet i förhållande till enskilda.</w:t>
      </w:r>
    </w:p>
    <w:p w:rsidR="00252869" w:rsidRPr="001B4EC1" w:rsidRDefault="00252869">
      <w:pPr>
        <w:pStyle w:val="Normaltindrag"/>
      </w:pPr>
      <w:r w:rsidRPr="001B4EC1">
        <w:t>Granskningen har för det första avsett huruvida fyra propositioner till rik</w:t>
      </w:r>
      <w:r w:rsidRPr="001B4EC1">
        <w:t>s</w:t>
      </w:r>
      <w:r w:rsidRPr="001B4EC1">
        <w:t>dagen, med förslag i fråga om företag med statligt ägande, har uppfyllt r</w:t>
      </w:r>
      <w:r w:rsidRPr="001B4EC1">
        <w:t>e</w:t>
      </w:r>
      <w:r w:rsidRPr="001B4EC1">
        <w:t>geringsformens krav på beredning och utgjort ett tillräckligt underlag för riksdagens beslut. Regeringen har inte i något av dessa ärenden genomfört en sedvanlig remissbehandling. Som skäl anförs i tre av propositionerna att frågorna var av sådan karaktär att det inte förelegat behov av att inhämta yttranden och upplysningar från några myndigheter, sammanslutningar och enskilda. På fråga från utskottet har Näringsdepartementet dock u</w:t>
      </w:r>
      <w:r w:rsidRPr="001B4EC1">
        <w:t>tvecklat sina skäl för att inte genomföra remiss på så sätt att om regeringen i de riksdag</w:t>
      </w:r>
      <w:r w:rsidRPr="001B4EC1">
        <w:t>s</w:t>
      </w:r>
      <w:r w:rsidRPr="001B4EC1">
        <w:t>ärenden som innefattar känsliga affärshemliga uppgifter skulle inhämta yt</w:t>
      </w:r>
      <w:r w:rsidRPr="001B4EC1">
        <w:t>t</w:t>
      </w:r>
      <w:r w:rsidRPr="001B4EC1">
        <w:t>randen från enskilda, sammanslutningar och myndigheter, innan regeringen beslutar en proposition, skulle detta allvarligt kunna skada bolagets värde och verksamhet genom bl.a. den osäkerhet om bolagets framtid som ett remissfö</w:t>
      </w:r>
      <w:r w:rsidRPr="001B4EC1">
        <w:t>r</w:t>
      </w:r>
      <w:r w:rsidRPr="001B4EC1">
        <w:t xml:space="preserve">farande skulle skapa. Därutöver anförs att vid en avvägning av fördelarna med att inhämta yttranden och nackdelarna för </w:t>
      </w:r>
      <w:r w:rsidRPr="001B4EC1">
        <w:t>bolagets verksamhet kan slu</w:t>
      </w:r>
      <w:r w:rsidRPr="001B4EC1">
        <w:t>t</w:t>
      </w:r>
      <w:r w:rsidRPr="001B4EC1">
        <w:t>satsen dras att risken för skada i samband med remissförfarande klart överst</w:t>
      </w:r>
      <w:r w:rsidRPr="001B4EC1">
        <w:t>i</w:t>
      </w:r>
      <w:r w:rsidRPr="001B4EC1">
        <w:t>ger de fördelar ett remissförfarande kan innebära. Näringsminister Leif Pa</w:t>
      </w:r>
      <w:r w:rsidRPr="001B4EC1">
        <w:t>g</w:t>
      </w:r>
      <w:r w:rsidRPr="001B4EC1">
        <w:t xml:space="preserve">rotsky har inför utskottet uppgett att analyser och rapporter från finansiella och juridiska rådgivare skaffades in för att regeringens förslag skulle vila på ett väl berett underlag. </w:t>
      </w:r>
    </w:p>
    <w:p w:rsidR="00252869" w:rsidRPr="001B4EC1" w:rsidRDefault="00252869">
      <w:pPr>
        <w:pStyle w:val="Normaltindrag"/>
      </w:pPr>
      <w:r w:rsidRPr="001B4EC1">
        <w:t>I de nu aktuella ärendena har således förekommit uppgifter som regeringen av hänsyn till sekretess inte har ansett sig kunna offentliggöra. Det kan</w:t>
      </w:r>
      <w:r w:rsidRPr="001B4EC1">
        <w:t xml:space="preserve"> ko</w:t>
      </w:r>
      <w:r w:rsidRPr="001B4EC1">
        <w:t>n</w:t>
      </w:r>
      <w:r w:rsidRPr="001B4EC1">
        <w:t>stateras att i sådana fall kan regeringens roll som ägare och förvaltare av statliga företag vara svår att förena med regeringens roll som den som ansv</w:t>
      </w:r>
      <w:r w:rsidRPr="001B4EC1">
        <w:t>a</w:t>
      </w:r>
      <w:r w:rsidRPr="001B4EC1">
        <w:t xml:space="preserve">rar för och lämnar förslag till riksdagen. Därvid måste en avvägning göras mellan å ena sidan intresset av att inte skada statens förmögenhetsinnehav och å andra sidan intresset av att en så fullödig bakgrundsinformation som möjligt  ges i den proposition som överlämnas till riksdagen. </w:t>
      </w:r>
    </w:p>
    <w:p w:rsidR="00252869" w:rsidRPr="001B4EC1" w:rsidRDefault="00252869">
      <w:pPr>
        <w:pStyle w:val="Normaltindrag"/>
      </w:pPr>
      <w:r w:rsidRPr="001B4EC1">
        <w:t>Som redovisats ovan fann näringsutskottet i ärendet om överlåtelse a</w:t>
      </w:r>
      <w:r w:rsidRPr="001B4EC1">
        <w:t>v a</w:t>
      </w:r>
      <w:r w:rsidRPr="001B4EC1">
        <w:t>k</w:t>
      </w:r>
      <w:r w:rsidRPr="001B4EC1">
        <w:t>tier i Svenska Skogsplantor AB att beredningsunderlaget inte var tillräckligt. Utskottet genomförde därför en egen remiss. Ett enigt utskott uttalade att propositionen inte motsvarat de krav som riksdagen normalt bör ställa vad gäller underlagsmaterial från regeringen. Utskottet saknade en redovisning av regeringens analys av olika tänkbara, alternativa lösningar. Enligt utskottets mening borde regeringen ha inhämtat remissynpunkter i ärendet. Konstit</w:t>
      </w:r>
      <w:r w:rsidRPr="001B4EC1">
        <w:t>u</w:t>
      </w:r>
      <w:r w:rsidRPr="001B4EC1">
        <w:t>tionsutskottet anser, i enlighet med näringsutskotte</w:t>
      </w:r>
      <w:r w:rsidRPr="001B4EC1">
        <w:t>ts bedömning, att regerin</w:t>
      </w:r>
      <w:r w:rsidRPr="001B4EC1">
        <w:t>g</w:t>
      </w:r>
      <w:r w:rsidRPr="001B4EC1">
        <w:t xml:space="preserve">en i detta fall inte har uppfyllt kraven på beredning i 7 kap. 2 § RF. </w:t>
      </w:r>
    </w:p>
    <w:p w:rsidR="00252869" w:rsidRPr="001B4EC1" w:rsidRDefault="00252869">
      <w:pPr>
        <w:pStyle w:val="Normaltindrag"/>
      </w:pPr>
      <w:r w:rsidRPr="001B4EC1">
        <w:t>När det gäller ärendena om kapitaltillskott till Teracom AB respektive å</w:t>
      </w:r>
      <w:r w:rsidRPr="001B4EC1">
        <w:t>t</w:t>
      </w:r>
      <w:r w:rsidRPr="001B4EC1">
        <w:t>gärder för att stärka den finansiella ställningen i SJ AB fann en utskottsmaj</w:t>
      </w:r>
      <w:r w:rsidRPr="001B4EC1">
        <w:t>o</w:t>
      </w:r>
      <w:r w:rsidRPr="001B4EC1">
        <w:t>ritet att det av regeringen presenterade underlaget för riksdagens beslut var tillräckligt. I båda dessa ärenden fanns dock en minoritet som ansåg att r</w:t>
      </w:r>
      <w:r w:rsidRPr="001B4EC1">
        <w:t>e</w:t>
      </w:r>
      <w:r w:rsidRPr="001B4EC1">
        <w:t>geringens underlag för de aktuella förslagen inte var til</w:t>
      </w:r>
      <w:r w:rsidRPr="001B4EC1">
        <w:t>l</w:t>
      </w:r>
      <w:r w:rsidRPr="001B4EC1">
        <w:t xml:space="preserve">räckligt. </w:t>
      </w:r>
    </w:p>
    <w:p w:rsidR="00252869" w:rsidRPr="001B4EC1" w:rsidRDefault="00252869">
      <w:pPr>
        <w:pStyle w:val="Normaltindrag"/>
      </w:pPr>
      <w:r w:rsidRPr="001B4EC1">
        <w:t>Vad gäller det för granskningen aktuella fjärde ärendet – vissa ägarfrågor m.m. rörande Svensk  Exportkredit – har regeringen inte åberopat hemliga uppgifter som hinder för remissbehandling utan att det inte fan</w:t>
      </w:r>
      <w:r w:rsidRPr="001B4EC1">
        <w:t>ns tidsutrymme för en remiss. Näringsutskottet ansåg vid beredningen av detta riksdagsärende att det uppenbart hade varit positivt att få en fylligare bakgrundsbeskrivning och en analys av alternativa tillvägagångssätt. Emellertid hade utskottet fö</w:t>
      </w:r>
      <w:r w:rsidRPr="001B4EC1">
        <w:t>r</w:t>
      </w:r>
      <w:r w:rsidRPr="001B4EC1">
        <w:t>ståelse för att tidsbristen i första hand var en konsekvens av omsorgen om bolaget i fråga. En minoritet i utskottet yrkade dock i en reservation att r</w:t>
      </w:r>
      <w:r w:rsidRPr="001B4EC1">
        <w:t>e</w:t>
      </w:r>
      <w:r w:rsidRPr="001B4EC1">
        <w:t>geringen skulle ges till känna vad som anfördes om att propositionen hade brister som underlag för riksd</w:t>
      </w:r>
      <w:r w:rsidRPr="001B4EC1">
        <w:t>a</w:t>
      </w:r>
      <w:r w:rsidRPr="001B4EC1">
        <w:t>gens b</w:t>
      </w:r>
      <w:r w:rsidRPr="001B4EC1">
        <w:t>eslut och om tidsbristen i ärendet.</w:t>
      </w:r>
    </w:p>
    <w:p w:rsidR="00252869" w:rsidRPr="001B4EC1" w:rsidRDefault="00252869">
      <w:pPr>
        <w:pStyle w:val="Normaltindrag"/>
      </w:pPr>
      <w:r w:rsidRPr="001B4EC1">
        <w:t>Som framgått har i flera av de aktuella ärendena funnits delade meningar i beredande utskott huruvida det har funnits tillräckligt underlag för riksdagens beslut. De brister som en utskottsminoritet har påtalat har inte egentligen gällt det beredningsunderlag som utskottet har haft tillgång till, utan har avsett att propositionen i sig inte har utgjort ett tillräckligt underlag för riksdagens beslut. Hur ledamöter utanför beredande utskott kan, utöver propositionen i fråg</w:t>
      </w:r>
      <w:r w:rsidRPr="001B4EC1">
        <w:t>a, informeras i ärenden där det förekommer hemliga uppgifter är enligt utskottet mot bakgrund av gällande regelverk en fråga som rymmer många dimensioner, bl.a. vad som gäller för riksdagens inre arbete. Utskottet vill i detta sammanhang, som gäller granskning av regeringen, framhålla att det är av stor vikt att regeringen, för att uppnå största möjliga öppenhet, gör en noggrann avvägning beträffande för det första huruvida remiss kan genomf</w:t>
      </w:r>
      <w:r w:rsidRPr="001B4EC1">
        <w:t>ö</w:t>
      </w:r>
      <w:r w:rsidRPr="001B4EC1">
        <w:t>ras och för det andra vilka uppgifter som kan lämnas i proposition</w:t>
      </w:r>
      <w:r w:rsidRPr="001B4EC1">
        <w:t>en. Enligt utskottets mening är det vidare av stor vikt att regeringen, för att tidsbrist i såväl i sin egen som riksdagens beredning inte skall uppstå, är förutseende i sin ägarroll när det gäller tidsfrister och så tidigt som möjligt tar ställning till vilka frågor som kräver riksdagsbeslut. Granskningen föranleder inget ytterl</w:t>
      </w:r>
      <w:r w:rsidRPr="001B4EC1">
        <w:t>i</w:t>
      </w:r>
      <w:r w:rsidRPr="001B4EC1">
        <w:t>gare uttala</w:t>
      </w:r>
      <w:r w:rsidRPr="001B4EC1">
        <w:t>n</w:t>
      </w:r>
      <w:r w:rsidRPr="001B4EC1">
        <w:t>de i denna del.</w:t>
      </w:r>
    </w:p>
    <w:p w:rsidR="00252869" w:rsidRPr="001B4EC1" w:rsidRDefault="00252869">
      <w:pPr>
        <w:pStyle w:val="Normaltindrag"/>
      </w:pPr>
      <w:r w:rsidRPr="001B4EC1">
        <w:t>En annan fråga som är aktuell i granskningsärendet, och som gäller rege</w:t>
      </w:r>
      <w:r w:rsidRPr="001B4EC1">
        <w:t>r</w:t>
      </w:r>
      <w:r w:rsidRPr="001B4EC1">
        <w:t>ingens agerande som myndighet i förhållande till enskilda, är huruvida r</w:t>
      </w:r>
      <w:r w:rsidRPr="001B4EC1">
        <w:t>e</w:t>
      </w:r>
      <w:r w:rsidRPr="001B4EC1">
        <w:t>geringen enligt bestämmelserna om handlingsoffentlighet i 2 kap. TF har varit tillräckligt skyndsam vid utlämnande av allmänna handlingar i ärendena rörande SJ AB respektive Teracom AB. I fråga om SJ AB har regeringen den 6 februari 2003 fattat ett beslut om att inte lämna ut vissa handlingar, där begäran om utlämnande av handlingar kom in den 12 december 2002. De dokument som var offentliga skickades till den som begärt dem den 14 ja</w:t>
      </w:r>
      <w:r w:rsidRPr="001B4EC1">
        <w:t>nu</w:t>
      </w:r>
      <w:r w:rsidRPr="001B4EC1">
        <w:t>a</w:t>
      </w:r>
      <w:r w:rsidRPr="001B4EC1">
        <w:t>ri 2003. Näringsdepartementet har dock uppgett att offentliga handlingar fanns tillgängliga hos Regeringskansliet redan före jul. När det gäller det sistnämnda har utskottet inte tagit del av den aktuella begäran om att få ta del av allmänna handlingar. Om begäran rörde att få ta del av handlingar genom kopia, borde de mot bakgrund av kravet på skyndsamhet ha tillhandahållits den som begärde att få ut dem redan i december 2002, då de konstaterades vara offentl</w:t>
      </w:r>
      <w:r w:rsidRPr="001B4EC1">
        <w:t>i</w:t>
      </w:r>
      <w:r w:rsidRPr="001B4EC1">
        <w:t xml:space="preserve">ga, och inte först i januari 2003. </w:t>
      </w:r>
    </w:p>
    <w:p w:rsidR="00252869" w:rsidRPr="001B4EC1" w:rsidRDefault="00252869">
      <w:pPr>
        <w:pStyle w:val="Normaltindrag"/>
      </w:pPr>
      <w:r w:rsidRPr="001B4EC1">
        <w:t>Vad gäll</w:t>
      </w:r>
      <w:r w:rsidRPr="001B4EC1">
        <w:t>er att regeringen inte förrän den 6 februari 2003 beslutade att ö</w:t>
      </w:r>
      <w:r w:rsidRPr="001B4EC1">
        <w:t>v</w:t>
      </w:r>
      <w:r w:rsidRPr="001B4EC1">
        <w:t>riga handlingar i ärendet om SJ AB inte skulle lämnas ut, har från Näringsd</w:t>
      </w:r>
      <w:r w:rsidRPr="001B4EC1">
        <w:t>e</w:t>
      </w:r>
      <w:r w:rsidRPr="001B4EC1">
        <w:t>partementets sida uppgetts att detta material var mycket omfattande och inn</w:t>
      </w:r>
      <w:r w:rsidRPr="001B4EC1">
        <w:t>e</w:t>
      </w:r>
      <w:r w:rsidRPr="001B4EC1">
        <w:t xml:space="preserve">höll affärsekonomiskt känsliga uppgifter som krävde en noggrann beredning av vad som skulle kunna lämnas ut. Utskottet vill härvid framhålla att kravet på skyndsamhet i 2 kap. 13 TF innebär att en begäran om kopior av allmänna handlingar skall behandlas med förtur. Inga obehöriga dröjsmål får </w:t>
      </w:r>
      <w:r w:rsidRPr="001B4EC1">
        <w:t>således förekomma. Granskningen föranleder i denna del inget ytterligare uttalande från utskottets sida.</w:t>
      </w:r>
    </w:p>
    <w:p w:rsidR="00252869" w:rsidRPr="001B4EC1" w:rsidRDefault="00252869">
      <w:pPr>
        <w:pStyle w:val="Normaltindrag"/>
      </w:pPr>
      <w:r w:rsidRPr="001B4EC1">
        <w:t>Vad gäller tidsåtgång för att lämna ut allmänna handlingar i ärendet röra</w:t>
      </w:r>
      <w:r w:rsidRPr="001B4EC1">
        <w:t>n</w:t>
      </w:r>
      <w:r w:rsidRPr="001B4EC1">
        <w:t>de Teracom AB framgår av Näringsdepartementets redovisning att det har varit fråga om ett fåtal dagar i de flesta fall, men i några fall närmare två veckor. Utskottet vill härvid hänvisa till vad som anförts ovan om innebörden av kravet på skyndsamhet. Granskningen föranleder i denna del inget ytterl</w:t>
      </w:r>
      <w:r w:rsidRPr="001B4EC1">
        <w:t>i</w:t>
      </w:r>
      <w:r w:rsidRPr="001B4EC1">
        <w:t>gare uttalande från utsko</w:t>
      </w:r>
      <w:r w:rsidRPr="001B4EC1">
        <w:t>t</w:t>
      </w:r>
      <w:r w:rsidRPr="001B4EC1">
        <w:t xml:space="preserve">tets sida. </w:t>
      </w:r>
    </w:p>
    <w:p w:rsidR="00252869" w:rsidRPr="001B4EC1" w:rsidRDefault="00252869">
      <w:pPr>
        <w:pStyle w:val="Normaltindrag"/>
      </w:pPr>
      <w:r w:rsidRPr="001B4EC1">
        <w:t>Den nu genomförda granskningen har vidare avsett huruvida regeringen har hemligstämplat missivet till en skrivelse till EG-kommissionen med i</w:t>
      </w:r>
      <w:r w:rsidRPr="001B4EC1">
        <w:t>n</w:t>
      </w:r>
      <w:r w:rsidRPr="001B4EC1">
        <w:t>formation om kapitaltillskott m.m. till SJ AB med angivande av rätt sekr</w:t>
      </w:r>
      <w:r w:rsidRPr="001B4EC1">
        <w:t>e</w:t>
      </w:r>
      <w:r w:rsidRPr="001B4EC1">
        <w:t>tessbestämmelse. Näringsdepartementet har härvid uppgett att det i Rege</w:t>
      </w:r>
      <w:r w:rsidRPr="001B4EC1">
        <w:t>r</w:t>
      </w:r>
      <w:r w:rsidRPr="001B4EC1">
        <w:t>ingskansliet är en vanlig rutin att man sätter hemligstämpeln på försättsblad eller missiv av en handling, eftersom det inte är praktiskt möjligt eller tid</w:t>
      </w:r>
      <w:r w:rsidRPr="001B4EC1">
        <w:t>s</w:t>
      </w:r>
      <w:r w:rsidRPr="001B4EC1">
        <w:t>ekonomiskt att stämpla samtliga sidor i ett sammanhängande dokument. Efter en begäran om utlämnande gjorde Regeringskansliet en skadebedömning, varefter missivskrivelsen lämnades ut. Granskningen föranleder i d</w:t>
      </w:r>
      <w:r w:rsidRPr="001B4EC1">
        <w:t>enna del inget uttalande från utskottets sida.</w:t>
      </w:r>
    </w:p>
    <w:p w:rsidR="00252869" w:rsidRPr="001B4EC1" w:rsidRDefault="00252869">
      <w:pPr>
        <w:pStyle w:val="Rubrik2"/>
      </w:pPr>
      <w:bookmarkStart w:id="99" w:name="_Toc72648530"/>
      <w:r w:rsidRPr="001B4EC1">
        <w:t>3.3 Näringsdepartementets upphandling av ekonomisk och juridisk rå</w:t>
      </w:r>
      <w:r w:rsidRPr="001B4EC1">
        <w:t>d</w:t>
      </w:r>
      <w:r w:rsidRPr="001B4EC1">
        <w:t>givning</w:t>
      </w:r>
      <w:bookmarkEnd w:id="99"/>
    </w:p>
    <w:p w:rsidR="00252869" w:rsidRPr="001B4EC1" w:rsidRDefault="00252869">
      <w:pPr>
        <w:pStyle w:val="Rubrik3"/>
        <w:jc w:val="both"/>
        <w:rPr>
          <w:noProof w:val="0"/>
        </w:rPr>
      </w:pPr>
      <w:bookmarkStart w:id="100" w:name="_Toc72648531"/>
      <w:r w:rsidRPr="001B4EC1">
        <w:rPr>
          <w:noProof w:val="0"/>
        </w:rPr>
        <w:t>Anmälan</w:t>
      </w:r>
      <w:bookmarkEnd w:id="100"/>
    </w:p>
    <w:p w:rsidR="00252869" w:rsidRPr="001B4EC1" w:rsidRDefault="00252869">
      <w:r w:rsidRPr="001B4EC1">
        <w:t xml:space="preserve">I en anmälan till konstitutionsutskottet har anmälts Näringsdepartementets upphandling av vissa externa tjänster, </w:t>
      </w:r>
      <w:r w:rsidRPr="001B4EC1">
        <w:rPr>
          <w:i/>
        </w:rPr>
        <w:t>bilaga A3.3.1.</w:t>
      </w:r>
      <w:r w:rsidRPr="001B4EC1">
        <w:t xml:space="preserve"> Anmälarna hänvisar till att departementet som ett led i beredningen av prop. 2002/03:86 Åtgärder för att stärka den finansiella ställningen i SJ AB upphandlat rådgivningstjänster från revisionsfirman Öhrlings Pricewaterhouse Coopers och från advokatb</w:t>
      </w:r>
      <w:r w:rsidRPr="001B4EC1">
        <w:t>y</w:t>
      </w:r>
      <w:r w:rsidRPr="001B4EC1">
        <w:t>rån Man</w:t>
      </w:r>
      <w:r w:rsidRPr="001B4EC1">
        <w:t>n</w:t>
      </w:r>
      <w:r w:rsidRPr="001B4EC1">
        <w:t xml:space="preserve">heimer Swartling för cirka 10 miljoner kronor. </w:t>
      </w:r>
    </w:p>
    <w:p w:rsidR="00252869" w:rsidRPr="001B4EC1" w:rsidRDefault="00252869">
      <w:pPr>
        <w:pStyle w:val="Normaltindrag"/>
      </w:pPr>
      <w:r w:rsidRPr="001B4EC1">
        <w:t>Anmälarna ställer frågorna om det är möjligt att i avtal av denna storlek</w:t>
      </w:r>
      <w:r w:rsidRPr="001B4EC1">
        <w:t>s</w:t>
      </w:r>
      <w:r w:rsidRPr="001B4EC1">
        <w:t>ordning frångå bestämmelserna i 5 kap. lagen om offentlig upphandling och bakomliggande direktiv, om upphandlingen dokumenterats i enlighet med gällande regler och om ramavtalen med Öhrlings Pricewaterhouse Coopers och Mannheimer Swartling tillko</w:t>
      </w:r>
      <w:r w:rsidRPr="001B4EC1">
        <w:t>m</w:t>
      </w:r>
      <w:r w:rsidRPr="001B4EC1">
        <w:t>mit i enlighet med gällande lagregler.</w:t>
      </w:r>
    </w:p>
    <w:p w:rsidR="00252869" w:rsidRPr="001B4EC1" w:rsidRDefault="00252869">
      <w:pPr>
        <w:pStyle w:val="R3"/>
      </w:pPr>
      <w:r w:rsidRPr="001B4EC1">
        <w:t>Gällande regler</w:t>
      </w:r>
    </w:p>
    <w:p w:rsidR="00252869" w:rsidRPr="001B4EC1" w:rsidRDefault="00252869">
      <w:r w:rsidRPr="001B4EC1">
        <w:t xml:space="preserve">Upphandling över ett tröskelvärde är noga reglerad i lagen (1992:1528) om offentlig upphandling (LOU). Enligt 1 kap. 4 § LOU skall upphandling göras med utnyttjande av de konkurrensmöjligheter som finns och även i övrigt genomföras affärsmässigt. Anbudsgivare, anbudssökande och anbud skall behandlas utan ovidkommande hänsyn. </w:t>
      </w:r>
    </w:p>
    <w:p w:rsidR="00252869" w:rsidRPr="001B4EC1" w:rsidRDefault="00252869">
      <w:pPr>
        <w:pStyle w:val="Normaltindrag"/>
      </w:pPr>
      <w:r w:rsidRPr="001B4EC1">
        <w:t>Öppen upphandling definieras i 1 kap. 5 § som upphandling där alla lev</w:t>
      </w:r>
      <w:r w:rsidRPr="001B4EC1">
        <w:t>e</w:t>
      </w:r>
      <w:r w:rsidRPr="001B4EC1">
        <w:t>rantörer får lämna anbud. Enligt 1 kap. 8 § skall annons om upphandling sändas till Byrån för Europeiska gemenskapernas officiella publikationer. Enligt 1 kap. 22 § skall en upphandlande enhet anta antingen det anbud som är ekonomiskt mest fördelaktigt eller det anbud som har lägst anbudspris. Vid bedömningen av vilket anbud som är det ekonomiskt mest fördelaktiga anb</w:t>
      </w:r>
      <w:r w:rsidRPr="001B4EC1">
        <w:t>u</w:t>
      </w:r>
      <w:r w:rsidRPr="001B4EC1">
        <w:t>det skall hänsyn tas till samtliga omständigheter såsom pris, leveranstid, driftskostnader, kvalitet, estetiska, funktionella och tekniska e</w:t>
      </w:r>
      <w:r w:rsidRPr="001B4EC1">
        <w:t>genskaper, service, tekniskt stöd, miljöpåverkan m.m. I förfrågningsunderlaget eller annonsen skall anges vilka omständigheter som tillmäts betydelse. Omstä</w:t>
      </w:r>
      <w:r w:rsidRPr="001B4EC1">
        <w:t>n</w:t>
      </w:r>
      <w:r w:rsidRPr="001B4EC1">
        <w:t xml:space="preserve">digheterna skall om möjligt anges efter angelägenhetsgrad, med det viktigaste först. </w:t>
      </w:r>
    </w:p>
    <w:p w:rsidR="00252869" w:rsidRPr="001B4EC1" w:rsidRDefault="00252869">
      <w:pPr>
        <w:pStyle w:val="Normaltindrag"/>
      </w:pPr>
      <w:r w:rsidRPr="001B4EC1">
        <w:t>Upphandling av tjänster regleras i 5 kap. LOU. Enligt 12 § är huvudregeln att en upphandlande enhet skall annonsera sin upphandling. Enligt 20 § skall tiden för mottagande av anbud vara minst 52 dagar från den dag då annonsen om upphandling avsändes om inte förhandsann</w:t>
      </w:r>
      <w:r w:rsidRPr="001B4EC1">
        <w:t>onsering skett.</w:t>
      </w:r>
    </w:p>
    <w:p w:rsidR="00252869" w:rsidRPr="001B4EC1" w:rsidRDefault="00252869">
      <w:pPr>
        <w:pStyle w:val="R3"/>
      </w:pPr>
      <w:r w:rsidRPr="001B4EC1">
        <w:t>Ramavtal</w:t>
      </w:r>
    </w:p>
    <w:p w:rsidR="00252869" w:rsidRPr="001B4EC1" w:rsidRDefault="00252869">
      <w:r w:rsidRPr="001B4EC1">
        <w:t xml:space="preserve">Ramavtal definieras i 1 kap. 5 § som avtal som ingås mellan en upphandlande enhet och en eller flera leverantörer i syfte att fastställa samtliga villkor för avrop som görs under en viss period. </w:t>
      </w:r>
    </w:p>
    <w:p w:rsidR="00252869" w:rsidRPr="001B4EC1" w:rsidRDefault="00252869">
      <w:pPr>
        <w:pStyle w:val="Normaltindrag"/>
      </w:pPr>
      <w:r w:rsidRPr="001B4EC1">
        <w:t>I förordningen (1998:796) om statlig inköpssamordning fastslås vikten av att myndigheter under regeringen använder de gemensamma avtal som finns. Genom förordningen ges Statskontoret i uppgift att åstadkomma besparingar för staten genom att verka för att avtal (ramavtal eller andra gemensamma avtal) träffas för varor och tjänster som upphandlas ofta, i stor omfattning eller som uppgår till stora värden, och för effektivare inköp genom att u</w:t>
      </w:r>
      <w:r w:rsidRPr="001B4EC1">
        <w:t>t</w:t>
      </w:r>
      <w:r w:rsidRPr="001B4EC1">
        <w:t>veckla, samordna och följa upp inköpsverksamheten med upphandlande myndigheter.</w:t>
      </w:r>
    </w:p>
    <w:p w:rsidR="00252869" w:rsidRPr="001B4EC1" w:rsidRDefault="00252869">
      <w:pPr>
        <w:pStyle w:val="Normaltindrag"/>
      </w:pPr>
      <w:r w:rsidRPr="001B4EC1">
        <w:t>Tanken bakom inköpssamordning</w:t>
      </w:r>
      <w:r w:rsidRPr="001B4EC1">
        <w:rPr>
          <w:rStyle w:val="Fotnotsreferens"/>
        </w:rPr>
        <w:footnoteReference w:id="57"/>
      </w:r>
      <w:r w:rsidRPr="001B4EC1">
        <w:t xml:space="preserve"> är att åstadkomma besparingar genom att stärka köpkraften och förenkla upphandlingsarbetet. Inköpssamordning bidrar till att förbättra köpkraften, rationalisera upphandlingsverksamheten, kompetensutnyttjande, konkurrens om akutköp och småbeställningar samt standardisering som begränsar underhålls- och servicekostnader. Nackdelar med inköpssamordning är risken för att det blir fråga om så stora volymer att ko</w:t>
      </w:r>
      <w:r w:rsidRPr="001B4EC1">
        <w:t>n</w:t>
      </w:r>
      <w:r w:rsidRPr="001B4EC1">
        <w:t xml:space="preserve">kurrensen sätts ur spel. </w:t>
      </w:r>
    </w:p>
    <w:p w:rsidR="00252869" w:rsidRPr="001B4EC1" w:rsidRDefault="00252869">
      <w:pPr>
        <w:pStyle w:val="Normaltindrag"/>
      </w:pPr>
      <w:r w:rsidRPr="001B4EC1">
        <w:t>Den vanligaste formen av inköpssamordning är ramavtal/avropsavtal. I l</w:t>
      </w:r>
      <w:r w:rsidRPr="001B4EC1">
        <w:t>a</w:t>
      </w:r>
      <w:r w:rsidRPr="001B4EC1">
        <w:t>gen om offentlig upphandling används termen ramavtal för det avtal som ingås mellan en upphandlande enhet och en eller flera leverantörer i syfte att fastställa samtliga villkor för avrop som görs under en viss period. Ramavtal kan vara rikstäckande, regionala eller lokala. Det skall framgå av avtalet vilka som kan avropa och följaktligen omfattas av den värdeberäkning som gjorts vid upphandlingstillfället. Sådana avtal kan no</w:t>
      </w:r>
      <w:r w:rsidRPr="001B4EC1">
        <w:t>r</w:t>
      </w:r>
      <w:r w:rsidRPr="001B4EC1">
        <w:t>malt utnyttjas frivilligt.</w:t>
      </w:r>
    </w:p>
    <w:p w:rsidR="00252869" w:rsidRPr="001B4EC1" w:rsidRDefault="00252869">
      <w:pPr>
        <w:pStyle w:val="Rubrik3"/>
        <w:jc w:val="both"/>
        <w:rPr>
          <w:noProof w:val="0"/>
        </w:rPr>
      </w:pPr>
      <w:bookmarkStart w:id="101" w:name="_Toc72648532"/>
      <w:r w:rsidRPr="001B4EC1">
        <w:rPr>
          <w:noProof w:val="0"/>
        </w:rPr>
        <w:t>Bakgrund</w:t>
      </w:r>
      <w:bookmarkEnd w:id="101"/>
    </w:p>
    <w:p w:rsidR="00252869" w:rsidRPr="001B4EC1" w:rsidRDefault="00252869">
      <w:r w:rsidRPr="001B4EC1">
        <w:t xml:space="preserve">Den 26 januari 2000 begärde Regeringskansliets förvaltningsavdelning att en anbudsinfordran skulle publiceras i Anbudsjournalen och EGT, </w:t>
      </w:r>
      <w:r w:rsidRPr="001B4EC1">
        <w:rPr>
          <w:i/>
        </w:rPr>
        <w:t>bilaga A3.3.2.</w:t>
      </w:r>
      <w:r w:rsidRPr="001B4EC1">
        <w:t xml:space="preserve"> Anbudsinfordran gällde ramavtal för successiva avrop av kortare och längre konsultuppdrag gällande juridiska och ekonomiska utredningar. När det gäller villkoren hänvisades till förfrågningsunderlag, och sista dagen för mottagande av anbud angavs till den 20 mars 2000. Upphandlingen genomfördes som öppen upphandling beroende på att värdet beräknades överstiga 1 223 000 kr.</w:t>
      </w:r>
    </w:p>
    <w:p w:rsidR="00252869" w:rsidRPr="001B4EC1" w:rsidRDefault="00252869">
      <w:pPr>
        <w:pStyle w:val="Normaltindrag"/>
      </w:pPr>
      <w:r w:rsidRPr="001B4EC1">
        <w:t>Den 7 februari 2000 beslutade chefsjuristen vid Regeringskansliets fö</w:t>
      </w:r>
      <w:r w:rsidRPr="001B4EC1">
        <w:t>r</w:t>
      </w:r>
      <w:r w:rsidRPr="001B4EC1">
        <w:t>valtningsavdelning om ett förfrågningsunderlag med inbjudan att lämna a</w:t>
      </w:r>
      <w:r w:rsidRPr="001B4EC1">
        <w:t>n</w:t>
      </w:r>
      <w:r w:rsidRPr="001B4EC1">
        <w:t xml:space="preserve">bud på konsulttjänster inom juridik och ekonomi för tiden den 1 april 2000 –den 31 mars 2002 med möjlighet till förlängning med ett år, </w:t>
      </w:r>
      <w:r w:rsidRPr="001B4EC1">
        <w:rPr>
          <w:i/>
        </w:rPr>
        <w:t>bilaga A3.3.3</w:t>
      </w:r>
      <w:r w:rsidRPr="001B4EC1">
        <w:t>.</w:t>
      </w:r>
    </w:p>
    <w:p w:rsidR="00252869" w:rsidRPr="001B4EC1" w:rsidRDefault="00252869">
      <w:pPr>
        <w:pStyle w:val="Normaltindrag"/>
      </w:pPr>
      <w:r w:rsidRPr="001B4EC1">
        <w:t>I förfrågningsunderlaget angavs att Regeringskansliet inte kunde lämna g</w:t>
      </w:r>
      <w:r w:rsidRPr="001B4EC1">
        <w:t>a</w:t>
      </w:r>
      <w:r w:rsidRPr="001B4EC1">
        <w:t>rantier avseende inköpsvolymer och att det ålåg antagna leverantörer att lev</w:t>
      </w:r>
      <w:r w:rsidRPr="001B4EC1">
        <w:t>e</w:t>
      </w:r>
      <w:r w:rsidRPr="001B4EC1">
        <w:t>rera det behov som avropades under avtalsperioden. Om anbudet kom att delas med flera leverantörer förbehöll sig Regeringskansliet rätten att välja från fall till fall vilken leverantör man valde att avropa ifrån. Enligt förfrå</w:t>
      </w:r>
      <w:r w:rsidRPr="001B4EC1">
        <w:t>g</w:t>
      </w:r>
      <w:r w:rsidRPr="001B4EC1">
        <w:t>ningsunderlaget skulle Regeringskansliet anta det ekonomiskt mest fördela</w:t>
      </w:r>
      <w:r w:rsidRPr="001B4EC1">
        <w:t>k</w:t>
      </w:r>
      <w:r w:rsidRPr="001B4EC1">
        <w:t xml:space="preserve">tiga anbudet med beaktande av kvalitet, kompetensområden och pris. </w:t>
      </w:r>
    </w:p>
    <w:p w:rsidR="00252869" w:rsidRPr="001B4EC1" w:rsidRDefault="00252869">
      <w:pPr>
        <w:pStyle w:val="Normaltindrag"/>
      </w:pPr>
      <w:r w:rsidRPr="001B4EC1">
        <w:t>Ett av de uppställda kraven var att leverantören skulle vara auk</w:t>
      </w:r>
      <w:r w:rsidRPr="001B4EC1">
        <w:t>toriserad rev</w:t>
      </w:r>
      <w:r w:rsidRPr="001B4EC1">
        <w:t>i</w:t>
      </w:r>
      <w:r w:rsidRPr="001B4EC1">
        <w:t>sor/revisionsbolag om anbudet avsåg ekonomiska tjänster.</w:t>
      </w:r>
    </w:p>
    <w:p w:rsidR="00252869" w:rsidRPr="001B4EC1" w:rsidRDefault="00252869">
      <w:pPr>
        <w:pStyle w:val="Normaltindrag"/>
        <w:rPr>
          <w:i/>
        </w:rPr>
      </w:pPr>
      <w:r w:rsidRPr="001B4EC1">
        <w:t xml:space="preserve">Den 17 april 2000 gjordes en anbudsutvärdering, </w:t>
      </w:r>
      <w:r w:rsidRPr="001B4EC1">
        <w:rPr>
          <w:i/>
        </w:rPr>
        <w:t>bilaga A3.3.4.</w:t>
      </w:r>
    </w:p>
    <w:p w:rsidR="00252869" w:rsidRPr="001B4EC1" w:rsidRDefault="00252869">
      <w:pPr>
        <w:pStyle w:val="Normaltindrag"/>
      </w:pPr>
      <w:r w:rsidRPr="001B4EC1">
        <w:t>Totalt hade 19 anbud erhållits, varav åtta från revisionsbyråer. Tre av dessa åtta uppfyllde inte kravet på auktorisation. När det gäller kvalitetskravet för revisionsbolag tillmättes de uppdrag  som redovisats av KPMG, Öhrlings Pricewaterhouse Coopers, Arthur Andersen och Deloitte Touche en särskild tyngd. I fråga om kompetensområden redovisade samma fyra företag enligt utvärderingen en något större bredd inom vissa områden beroende på att man använder sig av flera seniora konsulter inom des</w:t>
      </w:r>
      <w:r w:rsidRPr="001B4EC1">
        <w:t>sa områden. En prisjämföre</w:t>
      </w:r>
      <w:r w:rsidRPr="001B4EC1">
        <w:t>l</w:t>
      </w:r>
      <w:r w:rsidRPr="001B4EC1">
        <w:t>se när det gäller revisionsbolagen gav vid handen att den femte och återståe</w:t>
      </w:r>
      <w:r w:rsidRPr="001B4EC1">
        <w:t>n</w:t>
      </w:r>
      <w:r w:rsidRPr="001B4EC1">
        <w:t>de anbudsgivarens prisnivå var lägre än de övrigas. Avtal slöts med samtliga fem a</w:t>
      </w:r>
      <w:r w:rsidRPr="001B4EC1">
        <w:t>n</w:t>
      </w:r>
      <w:r w:rsidRPr="001B4EC1">
        <w:t>budsgivare som uppfyllde de uppställda kraven.</w:t>
      </w:r>
    </w:p>
    <w:p w:rsidR="00252869" w:rsidRPr="001B4EC1" w:rsidRDefault="00252869">
      <w:pPr>
        <w:pStyle w:val="Normaltindrag"/>
      </w:pPr>
      <w:r w:rsidRPr="001B4EC1">
        <w:t>Elva anbud hade kommit in från advokatbyråer. I utvärderingen redovisas med hänsyn till god advokatsed inte närmare uppgifter om prisnivåer eller referenser till icke-offentliga uppdragsgivare. Enligt utvärderingen uppvisade samtliga advokatbyråer tillräckligt hög kompetens. Me</w:t>
      </w:r>
      <w:r w:rsidRPr="001B4EC1">
        <w:t>d hänsyn till Rege</w:t>
      </w:r>
      <w:r w:rsidRPr="001B4EC1">
        <w:t>r</w:t>
      </w:r>
      <w:r w:rsidRPr="001B4EC1">
        <w:t>ingskansliets mångskiftande verksamhet borde dock avtal i första hand träffas med de byråer som har kompetens inom i princip samtliga rättsområden. I första hand borde avtal slutas med Lagerlöf &amp; Leman, Vinge och Mannhe</w:t>
      </w:r>
      <w:r w:rsidRPr="001B4EC1">
        <w:t>i</w:t>
      </w:r>
      <w:r w:rsidRPr="001B4EC1">
        <w:t>mer Swartling. Som komplement till de tre stora byråerna borde avtal träffas med fem angivna av de övriga åtta byråerna. Dessa fem hade särskild ko</w:t>
      </w:r>
      <w:r w:rsidRPr="001B4EC1">
        <w:t>m</w:t>
      </w:r>
      <w:r w:rsidRPr="001B4EC1">
        <w:t>petens inom skilda områden och dessutom i två fall låg prisnivå.</w:t>
      </w:r>
    </w:p>
    <w:p w:rsidR="00252869" w:rsidRPr="001B4EC1" w:rsidRDefault="00252869">
      <w:pPr>
        <w:pStyle w:val="Normaltindrag"/>
      </w:pPr>
      <w:r w:rsidRPr="001B4EC1">
        <w:t>Den 25 april 2000 beslutade förvaltningsavdelningens chefsju</w:t>
      </w:r>
      <w:r w:rsidRPr="001B4EC1">
        <w:t xml:space="preserve">rist att träffa ramavtal med de angivna leverantörerna </w:t>
      </w:r>
      <w:r w:rsidRPr="001B4EC1">
        <w:rPr>
          <w:i/>
        </w:rPr>
        <w:t>bilaga A3.3.5</w:t>
      </w:r>
      <w:r w:rsidRPr="001B4EC1">
        <w:t>. Avtal med Pricew</w:t>
      </w:r>
      <w:r w:rsidRPr="001B4EC1">
        <w:t>a</w:t>
      </w:r>
      <w:r w:rsidRPr="001B4EC1">
        <w:t xml:space="preserve">terhouse Coopers KB slöts den 15 och 20 juni 2000 och med Mannheimer Swartling Advokatbyrå AB den 30 juni och 6 juli 2000. </w:t>
      </w:r>
    </w:p>
    <w:p w:rsidR="00252869" w:rsidRPr="001B4EC1" w:rsidRDefault="00252869">
      <w:pPr>
        <w:pStyle w:val="Normaltindrag"/>
      </w:pPr>
      <w:r w:rsidRPr="001B4EC1">
        <w:t>Avropsavtal mellan Näringsdepartementet och Öhrlings Pricewaterhouse Coopers AB slöts vid tre tillfällen, den 2 december 2002, den 13 januari 2003 och den 10 juni 2003.</w:t>
      </w:r>
    </w:p>
    <w:p w:rsidR="00252869" w:rsidRPr="001B4EC1" w:rsidRDefault="00252869">
      <w:pPr>
        <w:pStyle w:val="Normaltindrag"/>
      </w:pPr>
      <w:r w:rsidRPr="001B4EC1">
        <w:t>Mannheimer Swartling Advokatbyrå AB arbetade i det nu granskade fallet som underko</w:t>
      </w:r>
      <w:r w:rsidRPr="001B4EC1">
        <w:t>n</w:t>
      </w:r>
      <w:r w:rsidRPr="001B4EC1">
        <w:t xml:space="preserve">sult till Öhrlings Pricewaterhouse Coopers AB. </w:t>
      </w:r>
    </w:p>
    <w:p w:rsidR="00252869" w:rsidRPr="001B4EC1" w:rsidRDefault="00252869">
      <w:pPr>
        <w:pStyle w:val="R3"/>
      </w:pPr>
      <w:r w:rsidRPr="001B4EC1">
        <w:t>Tidigare behandling</w:t>
      </w:r>
    </w:p>
    <w:p w:rsidR="00252869" w:rsidRPr="001B4EC1" w:rsidRDefault="00252869">
      <w:r w:rsidRPr="001B4EC1">
        <w:t>Frågan om upphandling av ramavtal har berörts i utskottets granskning hösten 2001 (bet. 2001/02:KU10), då det gjordes en genomgång av åtta slumpvis utvalda upphandlingar inom Finans- och Näringsdepartementen, bl.a. gällde det två konsulter som anlitats inom ramen för ett ramavtal. Utskottet hänvis</w:t>
      </w:r>
      <w:r w:rsidRPr="001B4EC1">
        <w:t>a</w:t>
      </w:r>
      <w:r w:rsidRPr="001B4EC1">
        <w:t>de till att det tidigare konstaterat brister i upphandlingsrutinerna och framhöll att det fortfarande fanns vissa brister även om upphandlingsrutinerna syntes förbättrade. Utskottet redovisade att en konsult återkommande direktup</w:t>
      </w:r>
      <w:r w:rsidRPr="001B4EC1">
        <w:t>p</w:t>
      </w:r>
      <w:r w:rsidRPr="001B4EC1">
        <w:t>handlats och att det funnits anledning att tidigare än som skedde teckna ett ramavtal med den i frågavarande konsulten. Vissa brister i fråga om dok</w:t>
      </w:r>
      <w:r w:rsidRPr="001B4EC1">
        <w:t>u</w:t>
      </w:r>
      <w:r w:rsidRPr="001B4EC1">
        <w:t xml:space="preserve">mentationen förekom dessutom. Förekomsten av ramavtal omnämndes också i utskottets granskning av Östersjömiljarden våren 2001 (bet. </w:t>
      </w:r>
      <w:r w:rsidRPr="001B4EC1">
        <w:t>2000/01:KU20).</w:t>
      </w:r>
    </w:p>
    <w:p w:rsidR="00252869" w:rsidRPr="001B4EC1" w:rsidRDefault="00252869">
      <w:pPr>
        <w:pStyle w:val="Normaltindrag"/>
      </w:pPr>
      <w:r w:rsidRPr="001B4EC1">
        <w:t>Våren 2000 (bet. 1999/2000:KU20) granskade utskottet tio slumpmässigt utvalda upphandlingar av tjänster av olika slag inom Näringsdepartementets område. Några av de utvalda fakturorna gällde ekonomiska och juridiska konsulttjänster med hänvisningar till av Regeringskansliets förhandlingsa</w:t>
      </w:r>
      <w:r w:rsidRPr="001B4EC1">
        <w:t>v</w:t>
      </w:r>
      <w:r w:rsidRPr="001B4EC1">
        <w:t>delning upphandlat ramavtal med beslut den 19 november 1997. Ramavtal förelåg dock inte vid de aktuella tidpunkterna. Ett upphandlingsförfarande för ramavtal hade genomförts under 1997, och i en skrivelse från förvaltning</w:t>
      </w:r>
      <w:r w:rsidRPr="001B4EC1">
        <w:t>s</w:t>
      </w:r>
      <w:r w:rsidRPr="001B4EC1">
        <w:t>kontoret den 19 november 1997 hade angetts att Regeringskansliets förval</w:t>
      </w:r>
      <w:r w:rsidRPr="001B4EC1">
        <w:t>t</w:t>
      </w:r>
      <w:r w:rsidRPr="001B4EC1">
        <w:t>ningskontor beslutat att anta anbud avgivna av bl.a. Öhrlings Cooper &amp; L</w:t>
      </w:r>
      <w:r w:rsidRPr="001B4EC1">
        <w:t>y</w:t>
      </w:r>
      <w:r w:rsidRPr="001B4EC1">
        <w:t>brant och Advoka</w:t>
      </w:r>
      <w:r w:rsidRPr="001B4EC1">
        <w:t>t</w:t>
      </w:r>
      <w:r w:rsidRPr="001B4EC1">
        <w:t>firman Vinge KB.  Utskottet anförde i sin bedömning:</w:t>
      </w:r>
    </w:p>
    <w:p w:rsidR="00252869" w:rsidRPr="001B4EC1" w:rsidRDefault="00252869">
      <w:pPr>
        <w:pStyle w:val="Normaltindrag"/>
      </w:pPr>
    </w:p>
    <w:p w:rsidR="00252869" w:rsidRPr="001B4EC1" w:rsidRDefault="00252869">
      <w:pPr>
        <w:pStyle w:val="Citat"/>
      </w:pPr>
      <w:r w:rsidRPr="001B4EC1">
        <w:t>Utskottet vill starkt understryka vikten av att upphandlingslagens b</w:t>
      </w:r>
      <w:r w:rsidRPr="001B4EC1">
        <w:t>e</w:t>
      </w:r>
      <w:r w:rsidRPr="001B4EC1">
        <w:t>stämmelser följs inom Regeringskansliet och att detta görs med god ma</w:t>
      </w:r>
      <w:r w:rsidRPr="001B4EC1">
        <w:t>r</w:t>
      </w:r>
      <w:r w:rsidRPr="001B4EC1">
        <w:t>ginal till de olika gränser  som sätts i lagen. Regeringskansliets roll som föredöme för andra myndigheter gör detta särskilt viktig. Om man inom Regeringskansliet inte klart och otvetydigt hanterar upphandlingarna  med utgångspunkt i de gränser som ges i lagen riskeras att upphan</w:t>
      </w:r>
      <w:r w:rsidRPr="001B4EC1">
        <w:t>d</w:t>
      </w:r>
      <w:r w:rsidRPr="001B4EC1">
        <w:t>lingslagens regler urholkas inte bara inom Regeringskansliet utan också inom andra myndigheter. De ekonomiska vinster som kan uppnås genom att använda också fö</w:t>
      </w:r>
      <w:r w:rsidRPr="001B4EC1">
        <w:t>rfaranden som kan uppfattas som mindre enkla risk</w:t>
      </w:r>
      <w:r w:rsidRPr="001B4EC1">
        <w:t>e</w:t>
      </w:r>
      <w:r w:rsidRPr="001B4EC1">
        <w:t>rar dessutom att gå förlorade.</w:t>
      </w:r>
    </w:p>
    <w:p w:rsidR="00252869" w:rsidRPr="001B4EC1" w:rsidRDefault="00252869">
      <w:pPr>
        <w:pStyle w:val="CitatIndrag"/>
      </w:pPr>
      <w:r w:rsidRPr="001B4EC1">
        <w:t>Granskningen har visat att brådska i flera fall åberopats som skäl för att använda regler som egentligen kan ses som undantagsregler. De skäl för brådska som åberopats har som grund omständigheter som Rege</w:t>
      </w:r>
      <w:r w:rsidRPr="001B4EC1">
        <w:t>r</w:t>
      </w:r>
      <w:r w:rsidRPr="001B4EC1">
        <w:t>ingskansliet i princip borde ha kunnat förfoga över om planeringen varit bättre. Dessutom har i några fall tilläggsbeställningar med förhållandevis stora belopp gjorts utöver det ursprungliga avtalet på ett sätt som kan tyda på att den ursprungliga planeringen inte varit tillräcklig. Det kan också ifrågasättas om inte ett nytt regelrätt upphandlingsförfarande borde ha genomförts när det visade sig att tilläggsbeställningarnas värden skulle komma att uppgå till belopp som var stora i förhållande till den u</w:t>
      </w:r>
      <w:r w:rsidRPr="001B4EC1">
        <w:t>r</w:t>
      </w:r>
      <w:r w:rsidRPr="001B4EC1">
        <w:t>sprungliga upphandlingen.</w:t>
      </w:r>
    </w:p>
    <w:p w:rsidR="00252869" w:rsidRPr="001B4EC1" w:rsidRDefault="00252869">
      <w:pPr>
        <w:pStyle w:val="CitatIndrag"/>
      </w:pPr>
      <w:r w:rsidRPr="001B4EC1">
        <w:t>Det som har framkommit under granskningen visar vidare att tjänster i vissa fall har köpts utan att ett regelrätt upphandlingsförfarande geno</w:t>
      </w:r>
      <w:r w:rsidRPr="001B4EC1">
        <w:t>m</w:t>
      </w:r>
      <w:r w:rsidRPr="001B4EC1">
        <w:t>förts. Det gäller vissa köp i samband med Polenåret. Det gäller också det  avtal som slutits med Swedfund om konsulttjänster i samband med IT-satsningen i Östersjöregionen och som i detta hänseende faller särskilt tydligt i ögonen.</w:t>
      </w:r>
    </w:p>
    <w:p w:rsidR="00252869" w:rsidRPr="001B4EC1" w:rsidRDefault="00252869">
      <w:pPr>
        <w:pStyle w:val="CitatIndrag"/>
      </w:pPr>
      <w:r w:rsidRPr="001B4EC1">
        <w:t>Otillräcklig dokumentation om vad som förekommit har också me</w:t>
      </w:r>
      <w:r w:rsidRPr="001B4EC1">
        <w:t>d</w:t>
      </w:r>
      <w:r w:rsidRPr="001B4EC1">
        <w:t>fört att det finns oklarheter  som försvårar en bedömning i efterhand. E</w:t>
      </w:r>
      <w:r w:rsidRPr="001B4EC1">
        <w:t>n</w:t>
      </w:r>
      <w:r w:rsidRPr="001B4EC1">
        <w:t>ligt utskottets mening ger granskningen anledning till kritik mot det sätt som dess upphandlingar skötts på.</w:t>
      </w:r>
    </w:p>
    <w:p w:rsidR="00252869" w:rsidRPr="001B4EC1" w:rsidRDefault="00252869">
      <w:pPr>
        <w:pStyle w:val="CitatIndrag"/>
      </w:pPr>
      <w:r w:rsidRPr="001B4EC1">
        <w:t>Inom Regeringskansliet  har gjorts en översyn av rutiner och organ</w:t>
      </w:r>
      <w:r w:rsidRPr="001B4EC1">
        <w:t>i</w:t>
      </w:r>
      <w:r w:rsidRPr="001B4EC1">
        <w:t>sation för Regeringskansliets upphandlingar. Bakgrunden var bl.a. att Regeringskansliet i upphandlingslagens mening skulle kunna ses som en upphandlande enhet och att tröskelvärdena då kunde ha särskild betyde</w:t>
      </w:r>
      <w:r w:rsidRPr="001B4EC1">
        <w:t>l</w:t>
      </w:r>
      <w:r w:rsidRPr="001B4EC1">
        <w:t>se. Ett annat viktigt skäl för samordning var effektiviteten.</w:t>
      </w:r>
    </w:p>
    <w:p w:rsidR="00252869" w:rsidRPr="001B4EC1" w:rsidRDefault="00252869">
      <w:pPr>
        <w:pStyle w:val="CitatIndrag"/>
      </w:pPr>
      <w:r w:rsidRPr="001B4EC1">
        <w:t>En arbetsgrupp med företrädare för samtliga departement och den centrala upphandlingsfunktionen, vars funktion är att erbjuda stöd i up</w:t>
      </w:r>
      <w:r w:rsidRPr="001B4EC1">
        <w:t>p</w:t>
      </w:r>
      <w:r w:rsidRPr="001B4EC1">
        <w:t>handlingar, har skapats för informationsutbyte, policyfrågor och utvec</w:t>
      </w:r>
      <w:r w:rsidRPr="001B4EC1">
        <w:t>k</w:t>
      </w:r>
      <w:r w:rsidRPr="001B4EC1">
        <w:t>ling. Enligt utskottets mening kan en sådan grupp fylla en viktig funktion när det gäller att ge upphandlingarna  en mer central roll i arbetsplan</w:t>
      </w:r>
      <w:r w:rsidRPr="001B4EC1">
        <w:t>e</w:t>
      </w:r>
      <w:r w:rsidRPr="001B4EC1">
        <w:t>ringen inom  Regeringskansliet. En bättre information från den centrala upphandlingsfunktionen skulle också kunna bidra till att det inte uppstår missförstånd kring förekomsten av ramavtal, vilket skett i ett av de granskade fallen.</w:t>
      </w:r>
    </w:p>
    <w:p w:rsidR="00252869" w:rsidRPr="001B4EC1" w:rsidRDefault="00252869">
      <w:pPr>
        <w:pStyle w:val="R3"/>
      </w:pPr>
      <w:r w:rsidRPr="001B4EC1">
        <w:t>Uttalanden av statsråd</w:t>
      </w:r>
    </w:p>
    <w:p w:rsidR="00252869" w:rsidRPr="001B4EC1" w:rsidRDefault="00252869">
      <w:r w:rsidRPr="001B4EC1">
        <w:t>Näringsminister Leif Pagrotsky har den 28 maj 2003 i två svar på frågor i riksdagen hänvisat till att regeringen anlitat Öhrlings Pricewaterhouse Co</w:t>
      </w:r>
      <w:r w:rsidRPr="001B4EC1">
        <w:t>o</w:t>
      </w:r>
      <w:r w:rsidRPr="001B4EC1">
        <w:t>pers och Mannheimer Swartling inom ramen för de ramavtal som Regering</w:t>
      </w:r>
      <w:r w:rsidRPr="001B4EC1">
        <w:t>s</w:t>
      </w:r>
      <w:r w:rsidRPr="001B4EC1">
        <w:t>kansl</w:t>
      </w:r>
      <w:r w:rsidRPr="001B4EC1">
        <w:t>i</w:t>
      </w:r>
      <w:r w:rsidRPr="001B4EC1">
        <w:t xml:space="preserve">et ingått med ekonomiska och juridiska rådgivare. </w:t>
      </w:r>
    </w:p>
    <w:p w:rsidR="00252869" w:rsidRPr="001B4EC1" w:rsidRDefault="00252869">
      <w:pPr>
        <w:pStyle w:val="Normaltindrag"/>
      </w:pPr>
      <w:r w:rsidRPr="001B4EC1">
        <w:t>Den 17 december 2003 besvarade statsrådet Gunnar Lund en fråga om den statliga inköpssamordningen med ramavtal. Frågeställaren hade påtalat att en leverantör i ett ramavtal med flera leverantörer inte garanteras någon försäl</w:t>
      </w:r>
      <w:r w:rsidRPr="001B4EC1">
        <w:t>j</w:t>
      </w:r>
      <w:r w:rsidRPr="001B4EC1">
        <w:t>ning enligt avtalet och kan bli helt utan beställning. I anledning av detta  ville statsrådet framhålla att den grundläggande principen om öppenhet och föru</w:t>
      </w:r>
      <w:r w:rsidRPr="001B4EC1">
        <w:t>t</w:t>
      </w:r>
      <w:r w:rsidRPr="001B4EC1">
        <w:t>sebarhet kräver att den upphandlande enheten så långt det är möjligt klargör i förfrågningsunderlaget hur de olika leverantörerna kommer att utnyttjas, dvs. anger en prioritetsordning eller anger att de av t.ex. beredskapsskäl kommer att utnyttjas i lika stor omfattning.</w:t>
      </w:r>
    </w:p>
    <w:p w:rsidR="00252869" w:rsidRPr="001B4EC1" w:rsidRDefault="00252869">
      <w:pPr>
        <w:pStyle w:val="Rubrik3"/>
        <w:jc w:val="both"/>
        <w:rPr>
          <w:noProof w:val="0"/>
        </w:rPr>
      </w:pPr>
      <w:bookmarkStart w:id="102" w:name="_Toc72648533"/>
      <w:r w:rsidRPr="001B4EC1">
        <w:rPr>
          <w:noProof w:val="0"/>
        </w:rPr>
        <w:t>Promemoria från Näringsdepartementet</w:t>
      </w:r>
      <w:bookmarkEnd w:id="102"/>
    </w:p>
    <w:p w:rsidR="00252869" w:rsidRPr="001B4EC1" w:rsidRDefault="00252869">
      <w:pPr>
        <w:rPr>
          <w:i/>
        </w:rPr>
      </w:pPr>
      <w:r w:rsidRPr="001B4EC1">
        <w:t xml:space="preserve">Som svar på frågor från konstitutionsutskottet har inom Näringsdepartementet utarbetats en promemoria, </w:t>
      </w:r>
      <w:r w:rsidRPr="001B4EC1">
        <w:rPr>
          <w:i/>
        </w:rPr>
        <w:t>bilaga A3.3.6.</w:t>
      </w:r>
    </w:p>
    <w:p w:rsidR="00252869" w:rsidRPr="001B4EC1" w:rsidRDefault="00252869">
      <w:pPr>
        <w:pStyle w:val="Normaltindrag"/>
      </w:pPr>
      <w:r w:rsidRPr="001B4EC1">
        <w:t>I promemorian anges att Regeringskansliet år 2000 genomförde en up</w:t>
      </w:r>
      <w:r w:rsidRPr="001B4EC1">
        <w:t>p</w:t>
      </w:r>
      <w:r w:rsidRPr="001B4EC1">
        <w:t>handling av konsultuppdrag gällande juridiska och ekonomiska utredningar enligt reglerna i 5 kap. lagen (1992:1528) om offentlig upphandling (LOU). Upphandlingen resulterade i 13 ramavtal avseende juridiska och ekonomiska konsulttjänster. Avropen innehåller inga begränsningar när det gäller omfat</w:t>
      </w:r>
      <w:r w:rsidRPr="001B4EC1">
        <w:t>t</w:t>
      </w:r>
      <w:r w:rsidRPr="001B4EC1">
        <w:t>ning, t.ex. avropens längd, antalet konsulter eller avropens totala värde. En sådan utformning är enligt promemorian förenlig med LOU.</w:t>
      </w:r>
    </w:p>
    <w:p w:rsidR="00252869" w:rsidRPr="001B4EC1" w:rsidRDefault="00252869">
      <w:pPr>
        <w:pStyle w:val="Normaltindrag"/>
      </w:pPr>
      <w:r w:rsidRPr="001B4EC1">
        <w:t>Denna typ av upphandlingar styrs av Regeringskansliets breda behov av aktuella</w:t>
      </w:r>
      <w:r w:rsidRPr="001B4EC1">
        <w:t xml:space="preserve"> tjänster och behovet styr helt antalet som väljs. När det gäller ek</w:t>
      </w:r>
      <w:r w:rsidRPr="001B4EC1">
        <w:t>o</w:t>
      </w:r>
      <w:r w:rsidRPr="001B4EC1">
        <w:t>nomiska och juridiska tjänster måste även jäv och intressekonflikter beaktas. Risk finns enligt promemorian annars för att den enda leverantören som har den kompetens som behövs är förhindrad att genomföra leveransen på grund av intressekonflikt. Regeringskansliet uppfattar inte att gällande EG-direktiv, LOU eller avgöranden från prejudicerande instanser ställer krav på att ra</w:t>
      </w:r>
      <w:r w:rsidRPr="001B4EC1">
        <w:t>m</w:t>
      </w:r>
      <w:r w:rsidRPr="001B4EC1">
        <w:t>avtal med flera leverant</w:t>
      </w:r>
      <w:r w:rsidRPr="001B4EC1">
        <w:t>ö</w:t>
      </w:r>
      <w:r w:rsidRPr="001B4EC1">
        <w:t>rer skall rangordnas eller att volymer</w:t>
      </w:r>
      <w:r w:rsidRPr="001B4EC1">
        <w:t xml:space="preserve"> skall fördelas.</w:t>
      </w:r>
    </w:p>
    <w:p w:rsidR="00252869" w:rsidRPr="001B4EC1" w:rsidRDefault="00252869">
      <w:pPr>
        <w:pStyle w:val="Normaltindrag"/>
      </w:pPr>
      <w:r w:rsidRPr="001B4EC1">
        <w:t>Upphandlingen avser mycket kvalificerade konsulter med specialistko</w:t>
      </w:r>
      <w:r w:rsidRPr="001B4EC1">
        <w:t>m</w:t>
      </w:r>
      <w:r w:rsidRPr="001B4EC1">
        <w:t>petens inom ett eller flera områden. Regeringskansliet anser inte att det finns praktiska möjligheter att rangordna leverantörer eller att ange volymer. En förutsättning för att rangordna leverantörer är också att de tjänster som e</w:t>
      </w:r>
      <w:r w:rsidRPr="001B4EC1">
        <w:t>r</w:t>
      </w:r>
      <w:r w:rsidRPr="001B4EC1">
        <w:t>bjuds är exakt jämförbara.</w:t>
      </w:r>
    </w:p>
    <w:p w:rsidR="00252869" w:rsidRPr="001B4EC1" w:rsidRDefault="00252869">
      <w:pPr>
        <w:pStyle w:val="Normaltindrag"/>
      </w:pPr>
      <w:r w:rsidRPr="001B4EC1">
        <w:t>Vid tidpunkten för avropet av ekonomiska rådgivare bedömdes Öhrlings Pricewaterhouse Coopers AB har bäst erfarenhet och kompetens. Flera andra företag med ramavtal med Regeringskansliet genomförde då omstruktur</w:t>
      </w:r>
      <w:r w:rsidRPr="001B4EC1">
        <w:t>e</w:t>
      </w:r>
      <w:r w:rsidRPr="001B4EC1">
        <w:t>ringar till följd av boskillnad mellan revision och ekonomisk rådgivning. En viktig utvärderingsfaktor var om rådgivaren kunde ge Regeringskansliet en väl  grundad bedömning av om en eventuell investering i SJ AB skulle ge rimlig avkastning.</w:t>
      </w:r>
    </w:p>
    <w:p w:rsidR="00252869" w:rsidRPr="001B4EC1" w:rsidRDefault="00252869">
      <w:pPr>
        <w:pStyle w:val="Normaltindrag"/>
      </w:pPr>
      <w:r w:rsidRPr="001B4EC1">
        <w:t>Vissa bilagor till avropsavtalen har missvisande betecknats som uppdrag</w:t>
      </w:r>
      <w:r w:rsidRPr="001B4EC1">
        <w:t>s</w:t>
      </w:r>
      <w:r w:rsidRPr="001B4EC1">
        <w:t>avtal. Det är dock dokument betecknade avropsavtal som undertecknats. I promemorian pekas också på att avtalsförberedande arbete påbörjats före undertecknandet. Det är enligt promemorian fråga om kontakter som är vanl</w:t>
      </w:r>
      <w:r w:rsidRPr="001B4EC1">
        <w:t>i</w:t>
      </w:r>
      <w:r w:rsidRPr="001B4EC1">
        <w:t>ga och nödvändiga inför ett större analysprojekt. Inom Regeringskansliet ses beredningsrutinerna nu över i syfte att förkorta handläggningstiden mellan offert och beslut att ingå avtal.</w:t>
      </w:r>
    </w:p>
    <w:p w:rsidR="00252869" w:rsidRPr="001B4EC1" w:rsidRDefault="00252869">
      <w:pPr>
        <w:pStyle w:val="Normaltindrag"/>
      </w:pPr>
      <w:r w:rsidRPr="001B4EC1">
        <w:t>Regeringskansliet har våren 2003 upphandlat nya ramavtal avseende jur</w:t>
      </w:r>
      <w:r w:rsidRPr="001B4EC1">
        <w:t>i</w:t>
      </w:r>
      <w:r w:rsidRPr="001B4EC1">
        <w:t>diska och ekonomiska tjänster. Regeringskansliet har i dag tio avtal avseende ekonomiska och strategiska konsulter och fem ramavtal om generella juridi</w:t>
      </w:r>
      <w:r w:rsidRPr="001B4EC1">
        <w:t>s</w:t>
      </w:r>
      <w:r w:rsidRPr="001B4EC1">
        <w:t>ka tjänster. Dessutom finns tre ramavtal avseende juridiska tjänster med i</w:t>
      </w:r>
      <w:r w:rsidRPr="001B4EC1">
        <w:t>n</w:t>
      </w:r>
      <w:r w:rsidRPr="001B4EC1">
        <w:t>riktning på förvaltning av statliga företag. Rangordning av leverantörer eller procentuell fördelning förekommer inte.</w:t>
      </w:r>
    </w:p>
    <w:p w:rsidR="00252869" w:rsidRPr="001B4EC1" w:rsidRDefault="00252869">
      <w:pPr>
        <w:pStyle w:val="Rubrik4"/>
        <w:rPr>
          <w:noProof w:val="0"/>
        </w:rPr>
      </w:pPr>
      <w:bookmarkStart w:id="103" w:name="_Toc72648534"/>
      <w:r w:rsidRPr="001B4EC1">
        <w:rPr>
          <w:noProof w:val="0"/>
        </w:rPr>
        <w:t>Yttrande från Nämnden för offentlig upphandling (NOU)</w:t>
      </w:r>
      <w:bookmarkEnd w:id="103"/>
    </w:p>
    <w:p w:rsidR="00252869" w:rsidRPr="001B4EC1" w:rsidRDefault="00252869">
      <w:r w:rsidRPr="001B4EC1">
        <w:t xml:space="preserve">På utskottets begäran har NOU yttrat sig angående Näringsdepartementets upphandling av ekonomisk och juridisk rådgivning gällande SJ AB, </w:t>
      </w:r>
      <w:r w:rsidRPr="001B4EC1">
        <w:rPr>
          <w:i/>
        </w:rPr>
        <w:t>bilaga A3.3.7</w:t>
      </w:r>
      <w:r w:rsidRPr="001B4EC1">
        <w:t xml:space="preserve">. </w:t>
      </w:r>
    </w:p>
    <w:p w:rsidR="00252869" w:rsidRPr="001B4EC1" w:rsidRDefault="00252869">
      <w:pPr>
        <w:pStyle w:val="Normaltindrag"/>
      </w:pPr>
      <w:r w:rsidRPr="001B4EC1">
        <w:t>NOU hänvisar till lydelsen av 1 kap. 5 § LOU som definierar ramavtal som ”avtal som ingås mellan upphandlande enhet och en eller flera leverant</w:t>
      </w:r>
      <w:r w:rsidRPr="001B4EC1">
        <w:t>ö</w:t>
      </w:r>
      <w:r w:rsidRPr="001B4EC1">
        <w:t>rer i syfte att fastställa samtliga villkor för avrop som görs under en viss per</w:t>
      </w:r>
      <w:r w:rsidRPr="001B4EC1">
        <w:t>i</w:t>
      </w:r>
      <w:r w:rsidRPr="001B4EC1">
        <w:t>od”. I yttrandet anges att ramavtal med flera leverantörer för samma typ av varor, tjänster och byggentreprenader vanligen benämns parallella ramavtal. Vidare sägs att paragrafens krav på att samtliga villkor för avrop skall fas</w:t>
      </w:r>
      <w:r w:rsidRPr="001B4EC1">
        <w:t>t</w:t>
      </w:r>
      <w:r w:rsidRPr="001B4EC1">
        <w:t>ställas i ramavtalet enligt nämnden innebär att det vid varje enskilt avrop från ramavtalet inte får finnas någon möjlighet att göra väsentliga förändringar eller tillägg i förhållande till villkoren i</w:t>
      </w:r>
      <w:r w:rsidRPr="001B4EC1">
        <w:t xml:space="preserve"> ramavtalet. Vid parallella ramavtal måste det därför finna en på förhand fastställd fördelningsnyckel som visar vilken leverantör som i första hand skall tilldelas avrop. Denna regel ger uttryck för den gemenskapsrättsliga transparensprincipen.</w:t>
      </w:r>
    </w:p>
    <w:p w:rsidR="00252869" w:rsidRPr="001B4EC1" w:rsidRDefault="00252869">
      <w:pPr>
        <w:pStyle w:val="Normaltindrag"/>
      </w:pPr>
      <w:r w:rsidRPr="001B4EC1">
        <w:t>Avrop från ett sådant ramavtal utgör endast utnyttjande av ett befintligt upphandlingskontrakt och behöver inte bli föremål för något nytt upphan</w:t>
      </w:r>
      <w:r w:rsidRPr="001B4EC1">
        <w:t>d</w:t>
      </w:r>
      <w:r w:rsidRPr="001B4EC1">
        <w:t xml:space="preserve">lingsförfarande enligt bestämmelserna i LOU. </w:t>
      </w:r>
    </w:p>
    <w:p w:rsidR="00252869" w:rsidRPr="001B4EC1" w:rsidRDefault="00252869">
      <w:pPr>
        <w:pStyle w:val="Normaltindrag"/>
      </w:pPr>
      <w:r w:rsidRPr="001B4EC1">
        <w:t>Ett ramavtal i vilket samtliga villkor för avrop inte fastställts är inte ett ömsesidigt förpliktigande avtal med ekonomiska villkor slutet mellan en upphandlande enhet och en eller flera leverantörer. Ett sådant ramavtal kan inte användas för avrop och är inte heller något upphandlingskontrakt i den mening som avses i LOU.</w:t>
      </w:r>
    </w:p>
    <w:p w:rsidR="00252869" w:rsidRPr="001B4EC1" w:rsidRDefault="00252869">
      <w:pPr>
        <w:pStyle w:val="Normaltindrag"/>
      </w:pPr>
      <w:r w:rsidRPr="001B4EC1">
        <w:t xml:space="preserve">I yttrandet hänvisas till att  nämnden tidigare understrukit bl.a. att ramavtal inte får användas som en lista på godkända leverantörer, varvid villkor för avrop inklusive priset bestäms först vid de aktuella avropen. Vi tecknandet av ramavtal med många leverantörer kan uppstå flera negativa konsekvenser som talar mot affärsmässighet eller ändamålsenlighet för myndigheten själv. Av dessa vill NOU särskilt nämna att de inlämnade anbuden kan bli för höga, att avropen inte görs på de förmånligaste kontrakten </w:t>
      </w:r>
      <w:r w:rsidRPr="001B4EC1">
        <w:t>och att avropshanterin</w:t>
      </w:r>
      <w:r w:rsidRPr="001B4EC1">
        <w:t>g</w:t>
      </w:r>
      <w:r w:rsidRPr="001B4EC1">
        <w:t>en fördyras och valet av det ekonomiskt mest fördelaktiga alternativet försv</w:t>
      </w:r>
      <w:r w:rsidRPr="001B4EC1">
        <w:t>å</w:t>
      </w:r>
      <w:r w:rsidRPr="001B4EC1">
        <w:t>ras. Vidare kan förfarandets överensstämmelse med EG:s upphandlingsdire</w:t>
      </w:r>
      <w:r w:rsidRPr="001B4EC1">
        <w:t>k</w:t>
      </w:r>
      <w:r w:rsidRPr="001B4EC1">
        <w:t>tiv för den klassiska sektorn ifrågasättas. Avrop sker, när många leverantörer har angivits, ofta från vissa av inköparen kända eller inköpsstället närbelägna leverantörer, även om någon annan leverantör kan erbjuda motsvarande kv</w:t>
      </w:r>
      <w:r w:rsidRPr="001B4EC1">
        <w:t>a</w:t>
      </w:r>
      <w:r w:rsidRPr="001B4EC1">
        <w:t>litet och service till lägre pris. Detta strider enligt NOU såväl mot målsät</w:t>
      </w:r>
      <w:r w:rsidRPr="001B4EC1">
        <w:t>t</w:t>
      </w:r>
      <w:r w:rsidRPr="001B4EC1">
        <w:t xml:space="preserve">ningen att åstadkomma besparing </w:t>
      </w:r>
      <w:r w:rsidRPr="001B4EC1">
        <w:t>hos den upphandlande enheten som mot principerna att upphandling skall ske under öppna och förutsebara former och om att leverantörerna skall behandlas lika och rättvist. Det är NOU:s uppfat</w:t>
      </w:r>
      <w:r w:rsidRPr="001B4EC1">
        <w:t>t</w:t>
      </w:r>
      <w:r w:rsidRPr="001B4EC1">
        <w:t>ning att det vid avropstillfället bör finnas en bestämd ordning mellan lev</w:t>
      </w:r>
      <w:r w:rsidRPr="001B4EC1">
        <w:t>e</w:t>
      </w:r>
      <w:r w:rsidRPr="001B4EC1">
        <w:t>rantörerna så att de som lämnat det ekonomiskt mest fördelaktiga anbudet med beaktande av vad som angivits om kvalitetskrav alltid utnyttjas i första hand. Det är först när dessa högst rankade leverantörer inte längre kan lever</w:t>
      </w:r>
      <w:r w:rsidRPr="001B4EC1">
        <w:t>e</w:t>
      </w:r>
      <w:r w:rsidRPr="001B4EC1">
        <w:t>ra som man bör avr</w:t>
      </w:r>
      <w:r w:rsidRPr="001B4EC1">
        <w:t>opa från dem som kommer lägre ned på rangordningsli</w:t>
      </w:r>
      <w:r w:rsidRPr="001B4EC1">
        <w:t>s</w:t>
      </w:r>
      <w:r w:rsidRPr="001B4EC1">
        <w:t xml:space="preserve">tan. </w:t>
      </w:r>
    </w:p>
    <w:p w:rsidR="00252869" w:rsidRPr="001B4EC1" w:rsidRDefault="00252869">
      <w:pPr>
        <w:pStyle w:val="Normaltindrag"/>
      </w:pPr>
      <w:r w:rsidRPr="001B4EC1">
        <w:t>Enligt NOU stöds detta nämndens tidigare uttalande av rättspraxis. Ka</w:t>
      </w:r>
      <w:r w:rsidRPr="001B4EC1">
        <w:t>m</w:t>
      </w:r>
      <w:r w:rsidRPr="001B4EC1">
        <w:t>marrätten i Sundsvall har i juni 2000 (mål nr 1669-2000) i ett mål rörande upphandling av konferenstjänster beträffande kravet på fastställande av sam</w:t>
      </w:r>
      <w:r w:rsidRPr="001B4EC1">
        <w:t>t</w:t>
      </w:r>
      <w:r w:rsidRPr="001B4EC1">
        <w:t>liga villkor uttalat följande.</w:t>
      </w:r>
    </w:p>
    <w:p w:rsidR="00252869" w:rsidRPr="001B4EC1" w:rsidRDefault="00252869">
      <w:pPr>
        <w:pStyle w:val="Citat"/>
        <w:spacing w:before="125"/>
      </w:pPr>
      <w:r w:rsidRPr="001B4EC1">
        <w:t>Landstinget har vid ifrågavarande upphandling inte lämnat några up</w:t>
      </w:r>
      <w:r w:rsidRPr="001B4EC1">
        <w:t>p</w:t>
      </w:r>
      <w:r w:rsidRPr="001B4EC1">
        <w:t>gifter som kan läggas till grund för en uppskattning av förväntad avrop</w:t>
      </w:r>
      <w:r w:rsidRPr="001B4EC1">
        <w:t>s</w:t>
      </w:r>
      <w:r w:rsidRPr="001B4EC1">
        <w:t>volym. Såvitt framgår av förfrågningsunderlaget skall inte heller någon rangordning mellan leverantörer ske vid utvärderingen. Som angetts ovan kan ett sådant förfarande normalt inte anses vara i överensstämmelse med kravet på affärsmässighet vid upphandling av ramavtal med flera lev</w:t>
      </w:r>
      <w:r w:rsidRPr="001B4EC1">
        <w:t>e</w:t>
      </w:r>
      <w:r w:rsidRPr="001B4EC1">
        <w:t>rantörer.</w:t>
      </w:r>
    </w:p>
    <w:p w:rsidR="00252869" w:rsidRPr="001B4EC1" w:rsidRDefault="00252869">
      <w:r w:rsidRPr="001B4EC1">
        <w:t>NOU redovisar i sitt yttrande också exempel på rättspraxis från övriga no</w:t>
      </w:r>
      <w:r w:rsidRPr="001B4EC1">
        <w:t>r</w:t>
      </w:r>
      <w:r w:rsidRPr="001B4EC1">
        <w:t>diska länder som ger uttryck för samma bedömning av rättsläget samt kritik från EFTA:s övervakningsorgan den 11 september 2002 mot hur ramavtal för IT-tjänster upphandlats och tillämpats i Norge.</w:t>
      </w:r>
    </w:p>
    <w:p w:rsidR="00252869" w:rsidRPr="001B4EC1" w:rsidRDefault="00252869">
      <w:pPr>
        <w:pStyle w:val="Normaltindrag"/>
      </w:pPr>
      <w:r w:rsidRPr="001B4EC1">
        <w:t>NOU:s bedömning är att de nu aktuella ramavtalen varken innehåller n</w:t>
      </w:r>
      <w:r w:rsidRPr="001B4EC1">
        <w:t>å</w:t>
      </w:r>
      <w:r w:rsidRPr="001B4EC1">
        <w:t>gon fördelningsnyckel för tilldelning av avrop såsom rangordning av lev</w:t>
      </w:r>
      <w:r w:rsidRPr="001B4EC1">
        <w:t>e</w:t>
      </w:r>
      <w:r w:rsidRPr="001B4EC1">
        <w:t>rantörerna eller någon precisering av uppdragens omfattning, t.ex. uppdragens längd, antalet konsulter eller uppdragens totala värde. Detta innebär att dessa ramavtal inte fastställer samtliga villkor för avrop som skall göras under en viss period, såsom föreskrivs i 1 kap. 5 § LOU. Varje beställning från rama</w:t>
      </w:r>
      <w:r w:rsidRPr="001B4EC1">
        <w:t>v</w:t>
      </w:r>
      <w:r w:rsidRPr="001B4EC1">
        <w:t>talen innebär i stället att det sker en ny tilldelning av upphandlingskontrakt. En upphandlande enhet får inte, om inte något u</w:t>
      </w:r>
      <w:r w:rsidRPr="001B4EC1">
        <w:t>ndantag i upphandlingsdire</w:t>
      </w:r>
      <w:r w:rsidRPr="001B4EC1">
        <w:t>k</w:t>
      </w:r>
      <w:r w:rsidRPr="001B4EC1">
        <w:t>tivet och LOU är tillämpligt, tilldela upphandlingskontrakt utan föregående upphandling. De aktuella ramavtalen möjliggör enligt NOU:s mening inte för Regeringskansliet att anskaffa juridiska och ekonomiska konsulttjänster utan att först genomföra ett upphandlingsförfarande i enlighet med bestämmelse</w:t>
      </w:r>
      <w:r w:rsidRPr="001B4EC1">
        <w:t>r</w:t>
      </w:r>
      <w:r w:rsidRPr="001B4EC1">
        <w:t>na i LOU.</w:t>
      </w:r>
    </w:p>
    <w:p w:rsidR="00252869" w:rsidRPr="001B4EC1" w:rsidRDefault="00252869">
      <w:pPr>
        <w:pStyle w:val="Normaltindrag"/>
      </w:pPr>
      <w:r w:rsidRPr="001B4EC1">
        <w:t>NOU hänvisar vidare till vad Regeringskansliet anfört om svårigheterna med att införa en rangordning i de aktuella ramavtalen och om att en föru</w:t>
      </w:r>
      <w:r w:rsidRPr="001B4EC1">
        <w:t>t</w:t>
      </w:r>
      <w:r w:rsidRPr="001B4EC1">
        <w:t>sättning för att kunna rangordna leverantörerna är att tjänsterna är exakt jä</w:t>
      </w:r>
      <w:r w:rsidRPr="001B4EC1">
        <w:t>m</w:t>
      </w:r>
      <w:r w:rsidRPr="001B4EC1">
        <w:t>förbara. NOU inser att invändningen kan vara befogad vad avser avrop från det kontrakt som Regeringskansliet slutit. NOU anser emellertid att Rege</w:t>
      </w:r>
      <w:r w:rsidRPr="001B4EC1">
        <w:t>r</w:t>
      </w:r>
      <w:r w:rsidRPr="001B4EC1">
        <w:t>ingskansliet inte haft behov av att sluta ett enda ramavtal avseende tjänster som inte är jämförbara. Den omständigheten att en upphandlande enhet väljer en mindre ändamålsenlig avtalskonstruktion med åtföljande tillämpningssv</w:t>
      </w:r>
      <w:r w:rsidRPr="001B4EC1">
        <w:t>å</w:t>
      </w:r>
      <w:r w:rsidRPr="001B4EC1">
        <w:t xml:space="preserve">righeter får enligt nämnden inte motivera avsteg från LOU. </w:t>
      </w:r>
      <w:r w:rsidRPr="001B4EC1">
        <w:t xml:space="preserve"> Om en upphan</w:t>
      </w:r>
      <w:r w:rsidRPr="001B4EC1">
        <w:t>d</w:t>
      </w:r>
      <w:r w:rsidRPr="001B4EC1">
        <w:t>lande enhet har behov av flera typer av tjänster, bör anbudsgivarna ges mö</w:t>
      </w:r>
      <w:r w:rsidRPr="001B4EC1">
        <w:t>j</w:t>
      </w:r>
      <w:r w:rsidRPr="001B4EC1">
        <w:t>lighet att lämna separata eller kombinatoriska anbud på en eller flera av tjänstetyperna. Efter anbudsutvärdering kan den upphandlande enheten sedan teckna ramavtal med den anbudsgivare som lämnat det ekonomiskt mest fördelaktiga anbudet för respektive typ av tjänst. Det finns dessutom enligt NOU:s mening inget som hindrar att den upphandlande enheten, om behovet av den aktuella tjänstetypen förväntas vara större än vad</w:t>
      </w:r>
      <w:r w:rsidRPr="001B4EC1">
        <w:t xml:space="preserve"> som kan tillgodoses av en enda leverantör, upprättar en rangordning av leverantörer för varje typ av tjänst. NOU anser också att den upphandlande enheten bör ange den fö</w:t>
      </w:r>
      <w:r w:rsidRPr="001B4EC1">
        <w:t>r</w:t>
      </w:r>
      <w:r w:rsidRPr="001B4EC1">
        <w:t xml:space="preserve">väntade avropsvolymen, beräknad t.ex. mot bakgrund av tidigare års behov. En i ramavtalet fastställd avropsvolym bör kunna kompletteras med en option på ytterligare volym vid behov. </w:t>
      </w:r>
    </w:p>
    <w:p w:rsidR="00252869" w:rsidRPr="001B4EC1" w:rsidRDefault="00252869">
      <w:pPr>
        <w:pStyle w:val="Normaltindrag"/>
      </w:pPr>
      <w:r w:rsidRPr="001B4EC1">
        <w:t>NOU tar på utskottets begäran också upp innebörden av det nya EG-direktivet om offentlig upphandling såvitt gäller regleringen av ramavtal. I artikel 32 i det</w:t>
      </w:r>
      <w:r w:rsidRPr="001B4EC1">
        <w:t xml:space="preserve"> nya direktivet regleras användningen av ramavtal. Valet av parter i ramavtalet skall göras med användning av tilldelningsgrunderna ”lägsta pris” eller ”det ekonomiskt mest fördelaktiga budet”. Vid kontrakt som bygger på ett ramavtal får villkoren inte i något fall väsentligen ändras. Ett ramavtal får inte löpa längre än fyra år utom i vissa undantagsfall. Genom artikel 32 införs också ett förbud mot att använda ramavtal på otillbörligt sätt eller så att konkurrensen förhindras, begränsas eller snedvrids. V</w:t>
      </w:r>
      <w:r w:rsidRPr="001B4EC1">
        <w:t>id parallella ramavtal kan tilldelning av kontrakt, om samtliga villkor fastställts, ske g</w:t>
      </w:r>
      <w:r w:rsidRPr="001B4EC1">
        <w:t>e</w:t>
      </w:r>
      <w:r w:rsidRPr="001B4EC1">
        <w:t>nom tillämpning av villkoren i ramavtalet utan förnyad inbjudan att lämna anbud. Om samtliga villkor inte fastställts kan tilldelning av kontrakt ske efter förnyad anbudsinbjudan på samma villkor och vid behov andra villkor som anges i förfrågningsunderlaget till ramavtalet. Genom bestämmelserna öppnas således enligt NOU möjligheten att tillämpa förnyad kokurrensutsättning inom ramavtalets ram.</w:t>
      </w:r>
    </w:p>
    <w:p w:rsidR="00252869" w:rsidRPr="001B4EC1" w:rsidRDefault="00252869">
      <w:pPr>
        <w:pStyle w:val="Normaltindrag"/>
      </w:pPr>
      <w:r w:rsidRPr="001B4EC1">
        <w:t>Förfarandet innebär att</w:t>
      </w:r>
      <w:r w:rsidRPr="001B4EC1">
        <w:t xml:space="preserve"> den upphandlande enheten skriftligen skall samr</w:t>
      </w:r>
      <w:r w:rsidRPr="001B4EC1">
        <w:t>å</w:t>
      </w:r>
      <w:r w:rsidRPr="001B4EC1">
        <w:t>da med de ramavtalsleverantörer som är i stånd att utföra kontraktet. Dessa skall ges en tid för anbudslämnande och varje enskilt kontrakt skall sedan tilldelas den anbudsgivare som lämnat det lägsta anbudet på grundval av de tilldelningskriterier som anges i förfrågningsunderlaget till ramavtalet. Det relativt formaliserade förfarandet för kontraktstilldelning innebär enligt NOU en skärpning av rättsläget. Förfarandet förefaller enligt NOU vara väl ägnat att</w:t>
      </w:r>
      <w:r w:rsidRPr="001B4EC1">
        <w:t xml:space="preserve"> åstadkomma en användning av ramavtal som präglas av likabehandling, öppenhet och därmed även hög grad av förutsebarhet för såväl upphandlande enheter som leverantörer.</w:t>
      </w:r>
    </w:p>
    <w:p w:rsidR="00252869" w:rsidRPr="001B4EC1" w:rsidRDefault="00252869">
      <w:pPr>
        <w:pStyle w:val="Rubrik4"/>
        <w:rPr>
          <w:noProof w:val="0"/>
        </w:rPr>
      </w:pPr>
      <w:bookmarkStart w:id="104" w:name="_Toc72648535"/>
      <w:r w:rsidRPr="001B4EC1">
        <w:rPr>
          <w:noProof w:val="0"/>
        </w:rPr>
        <w:t>Yttrande från Statskontoret</w:t>
      </w:r>
      <w:bookmarkEnd w:id="104"/>
    </w:p>
    <w:p w:rsidR="00252869" w:rsidRPr="001B4EC1" w:rsidRDefault="00252869">
      <w:r w:rsidRPr="001B4EC1">
        <w:t>Statskontoret har, i egenskap av ansvarig myndighet för samordningen av statens inköpsverksamhet, på begäran av Regeringskansliets förvaltning</w:t>
      </w:r>
      <w:r w:rsidRPr="001B4EC1">
        <w:t>s</w:t>
      </w:r>
      <w:r w:rsidRPr="001B4EC1">
        <w:t xml:space="preserve">kontor  yttrat sig med anledning av NOU:s yttrande till konstitutionsutskottet, </w:t>
      </w:r>
      <w:r w:rsidRPr="001B4EC1">
        <w:rPr>
          <w:i/>
        </w:rPr>
        <w:t>bilaga A3.3.8</w:t>
      </w:r>
      <w:r w:rsidRPr="001B4EC1">
        <w:t>. Statskontoret beskriver sin syn på rättsläget när det gäller ramavtal. Statskontoret anger att den rättspraxis som uttryckligen behandlar ramavtal inte är särskilt omfattande. Statskontoret redovisar den tidigare nämnda ka</w:t>
      </w:r>
      <w:r w:rsidRPr="001B4EC1">
        <w:t>m</w:t>
      </w:r>
      <w:r w:rsidRPr="001B4EC1">
        <w:t xml:space="preserve">marrättsdomen och åtta länsrättsdomar samt ett EG-domstolsavgörande och framhåller sammanfattningsvis att rättsläget i fråga om möjligheten att använda parallella ramavtal utan rangordning och </w:t>
      </w:r>
      <w:r w:rsidRPr="001B4EC1">
        <w:t>specif</w:t>
      </w:r>
      <w:r w:rsidRPr="001B4EC1">
        <w:t>i</w:t>
      </w:r>
      <w:r w:rsidRPr="001B4EC1">
        <w:t>cerade leveransvolymer i sin helhet förefaller oklart utifrån tolkning av b</w:t>
      </w:r>
      <w:r w:rsidRPr="001B4EC1">
        <w:t>e</w:t>
      </w:r>
      <w:r w:rsidRPr="001B4EC1">
        <w:t>fintlig praxis. Statskontoret anser dock att det är någorlunda klart att det inte råder ett absolut förbud mot att använda parallella ramavtal utan rangordning och specificerade leveransvolymer. Det är enligt Statskontoret svårt att uttala sig om i vilken mån det nya direktivet kommer att påverka praxis. Statskont</w:t>
      </w:r>
      <w:r w:rsidRPr="001B4EC1">
        <w:t>o</w:t>
      </w:r>
      <w:r w:rsidRPr="001B4EC1">
        <w:t>ret anser att dagens regler är bristfälliga och har gett upphov till tvetydighet och en brokig tolkning av vad so</w:t>
      </w:r>
      <w:r w:rsidRPr="001B4EC1">
        <w:t>m är tillåtet när det gäller ramavtalsanvän</w:t>
      </w:r>
      <w:r w:rsidRPr="001B4EC1">
        <w:t>d</w:t>
      </w:r>
      <w:r w:rsidRPr="001B4EC1">
        <w:t>ningen. Enligt Statskontorets uppfattning finns det inte ett entydigt rättsligt stöd, vare sig i förarbetena, direktivet, praxis eller hos kommissionen för kravet på att det i parallella ramavtal måste ske en rangordning av leverant</w:t>
      </w:r>
      <w:r w:rsidRPr="001B4EC1">
        <w:t>ö</w:t>
      </w:r>
      <w:r w:rsidRPr="001B4EC1">
        <w:t xml:space="preserve">rer eller precisering av uppdragets omfattning, avseende uppdragets längd, antalet konsulter eller uppdragets totala värde. </w:t>
      </w:r>
    </w:p>
    <w:p w:rsidR="00252869" w:rsidRPr="001B4EC1" w:rsidRDefault="00252869">
      <w:pPr>
        <w:pStyle w:val="Normaltindrag"/>
      </w:pPr>
      <w:r w:rsidRPr="001B4EC1">
        <w:t>Enligt Statskontoret kan en rangordning av leverantörer i parallella ra</w:t>
      </w:r>
      <w:r w:rsidRPr="001B4EC1">
        <w:t>m</w:t>
      </w:r>
      <w:r w:rsidRPr="001B4EC1">
        <w:t>avtal i och för sig vara lämplig på områden där det krävs flera leverantörer för att täcka det totala behovet och på områden där produkterna är relativt sta</w:t>
      </w:r>
      <w:r w:rsidRPr="001B4EC1">
        <w:t>n</w:t>
      </w:r>
      <w:r w:rsidRPr="001B4EC1">
        <w:t xml:space="preserve">dardiserade, statiska och lätt utbytbara. Däremot kan en rangordning vara direkt olämplig på områden med en snabb prisutveckling. Dessutom kan det vara skadligt ur konkurrenshänseende med en rangordning som innebär att den antagna leverantören får en monopolställning. </w:t>
      </w:r>
    </w:p>
    <w:p w:rsidR="00252869" w:rsidRPr="001B4EC1" w:rsidRDefault="00252869">
      <w:pPr>
        <w:pStyle w:val="Normaltindrag"/>
      </w:pPr>
      <w:r w:rsidRPr="001B4EC1">
        <w:t>Det nya direktivet innebär enligt Statskontoret att antingen alla villkor skall vara</w:t>
      </w:r>
      <w:r w:rsidRPr="001B4EC1">
        <w:t xml:space="preserve"> fastställda, inklusive en rangordning, så att avrop kan ske direkt efter de fastställda villkoren, eller så skall det ske en andra kokurrensutsät</w:t>
      </w:r>
      <w:r w:rsidRPr="001B4EC1">
        <w:t>t</w:t>
      </w:r>
      <w:r w:rsidRPr="001B4EC1">
        <w:t>ning för det fall samtliga villkor inte kunnat fastställas i förväg.</w:t>
      </w:r>
    </w:p>
    <w:p w:rsidR="00252869" w:rsidRPr="001B4EC1" w:rsidRDefault="00252869">
      <w:pPr>
        <w:pStyle w:val="Rubrik4"/>
        <w:rPr>
          <w:noProof w:val="0"/>
        </w:rPr>
      </w:pPr>
      <w:bookmarkStart w:id="105" w:name="_Toc72648536"/>
      <w:r w:rsidRPr="001B4EC1">
        <w:rPr>
          <w:noProof w:val="0"/>
        </w:rPr>
        <w:t>Utfrågning med näringsminister Leif Pagrotsky</w:t>
      </w:r>
      <w:bookmarkEnd w:id="105"/>
    </w:p>
    <w:p w:rsidR="00252869" w:rsidRPr="001B4EC1" w:rsidRDefault="00252869">
      <w:r w:rsidRPr="001B4EC1">
        <w:t xml:space="preserve">Utskottet har den 13 april 2004 hållit en utfrågning med näringsminister Leif Pagrotsky, </w:t>
      </w:r>
      <w:r w:rsidRPr="001B4EC1">
        <w:rPr>
          <w:i/>
        </w:rPr>
        <w:t>bilaga B8</w:t>
      </w:r>
      <w:r w:rsidRPr="001B4EC1">
        <w:t>. Näringsministern framhöll att det inom Regeringskan</w:t>
      </w:r>
      <w:r w:rsidRPr="001B4EC1">
        <w:t>s</w:t>
      </w:r>
      <w:r w:rsidRPr="001B4EC1">
        <w:t>liet är förvaltningschefen som svarar för myndighetens upphandlingar. R</w:t>
      </w:r>
      <w:r w:rsidRPr="001B4EC1">
        <w:t>e</w:t>
      </w:r>
      <w:r w:rsidRPr="001B4EC1">
        <w:t>geringskansliets administrativa avdelning, förvaltningsavdelningen, samor</w:t>
      </w:r>
      <w:r w:rsidRPr="001B4EC1">
        <w:t>d</w:t>
      </w:r>
      <w:r w:rsidRPr="001B4EC1">
        <w:t>nar Regeringskansliets upphandling av tjänster och varor för samtliga depa</w:t>
      </w:r>
      <w:r w:rsidRPr="001B4EC1">
        <w:t>r</w:t>
      </w:r>
      <w:r w:rsidRPr="001B4EC1">
        <w:t>tement. Regeringskansliet gör ett stort antal upphandlingar varje år, och det sker ofta i ramavtalets form. Förvaltningsavdelningen följer självfallet noga rättsutvecklingen inom detta område. Det är för regeringen och Regering</w:t>
      </w:r>
      <w:r w:rsidRPr="001B4EC1">
        <w:t>s</w:t>
      </w:r>
      <w:r w:rsidRPr="001B4EC1">
        <w:t xml:space="preserve">kansliet viktigt att vara ett föredöme vad gäller offentlig upphandling. </w:t>
      </w:r>
    </w:p>
    <w:p w:rsidR="00252869" w:rsidRPr="001B4EC1" w:rsidRDefault="00252869">
      <w:pPr>
        <w:pStyle w:val="Normaltindrag"/>
      </w:pPr>
      <w:r w:rsidRPr="001B4EC1">
        <w:t>Den nu aktuella beställningen av tjänster gällde förberedelser för kap</w:t>
      </w:r>
      <w:r w:rsidRPr="001B4EC1">
        <w:t>i</w:t>
      </w:r>
      <w:r w:rsidRPr="001B4EC1">
        <w:t>taltillskott till SJ och skedde under slutet av 2002 och början av 2003. Rege</w:t>
      </w:r>
      <w:r w:rsidRPr="001B4EC1">
        <w:t>r</w:t>
      </w:r>
      <w:r w:rsidRPr="001B4EC1">
        <w:t>ingskansliet hade då under knappt två år använt sig av det ramavtal som up</w:t>
      </w:r>
      <w:r w:rsidRPr="001B4EC1">
        <w:t>p</w:t>
      </w:r>
      <w:r w:rsidRPr="001B4EC1">
        <w:t>handlats under år 2000.</w:t>
      </w:r>
    </w:p>
    <w:p w:rsidR="00252869" w:rsidRPr="001B4EC1" w:rsidRDefault="00252869">
      <w:pPr>
        <w:pStyle w:val="Normaltindrag"/>
      </w:pPr>
      <w:r w:rsidRPr="001B4EC1">
        <w:t>Frågan om ramavtalen skall förses med en turordning, en rangordning mellan de inbördes ganska olika ramavtalsinnehavarna, är en fråga för i</w:t>
      </w:r>
      <w:r w:rsidRPr="001B4EC1">
        <w:t>n</w:t>
      </w:r>
      <w:r w:rsidRPr="001B4EC1">
        <w:t>köpsansvariga centralt. Det är inte en fråga för dem som har att tillämpa de befin</w:t>
      </w:r>
      <w:r w:rsidRPr="001B4EC1">
        <w:t>t</w:t>
      </w:r>
      <w:r w:rsidRPr="001B4EC1">
        <w:t xml:space="preserve">liga ramavtalen och ropa av dem.  </w:t>
      </w:r>
    </w:p>
    <w:p w:rsidR="00252869" w:rsidRPr="001B4EC1" w:rsidRDefault="00252869">
      <w:pPr>
        <w:pStyle w:val="Normaltindrag"/>
      </w:pPr>
      <w:r w:rsidRPr="001B4EC1">
        <w:t>Det är tekniskt svår och komplicerad juridik. Ju fler jurister som tillfrågas, desto fler svar får man. Den tillämpning av regelverket som Regeringskansliet använts sig av de senaste åren har man bedömt och bedömer fortfarande ligga väl i linje med de regelverk som finns. NOU:s kritik kom som en överras</w:t>
      </w:r>
      <w:r w:rsidRPr="001B4EC1">
        <w:t>k</w:t>
      </w:r>
      <w:r w:rsidRPr="001B4EC1">
        <w:t>ning. Ända tills NOU:s yttrande kom var det helt klart för näringsministerns medarbetare att det omtalade kammarrättsavgörandet saknade relevans för den typ av upphandling av komplicerade, icke jämförbara tjänster som de nu aktuella.</w:t>
      </w:r>
    </w:p>
    <w:p w:rsidR="00252869" w:rsidRPr="001B4EC1" w:rsidRDefault="00252869">
      <w:pPr>
        <w:pStyle w:val="Normaltindrag"/>
      </w:pPr>
      <w:r w:rsidRPr="001B4EC1">
        <w:t>Statskontoret har gjort värderingen att de rutiner som använts är vanliga i hela statsförvaltningen. Statskontoret är den myndighet som för statsförval</w:t>
      </w:r>
      <w:r w:rsidRPr="001B4EC1">
        <w:t>t</w:t>
      </w:r>
      <w:r w:rsidRPr="001B4EC1">
        <w:t>ningen förhandlar ramavtal med leverantörer som hela statsförvaltningen kan anlita. Staten kan där få den mängdrabatt som den kan förhandla sig till. Statskontoret har fullgoda experter på området, och de har kommit fram till att rättsläget inte ändrats av de utslag som kommit i en del domar nyligen.</w:t>
      </w:r>
    </w:p>
    <w:p w:rsidR="00252869" w:rsidRPr="001B4EC1" w:rsidRDefault="00252869">
      <w:pPr>
        <w:pStyle w:val="Normaltindrag"/>
      </w:pPr>
      <w:r w:rsidRPr="001B4EC1">
        <w:t>Det var i det aktuella fallet fråga om disparata avtal med experter på i</w:t>
      </w:r>
      <w:r w:rsidRPr="001B4EC1">
        <w:t>m</w:t>
      </w:r>
      <w:r w:rsidRPr="001B4EC1">
        <w:t>materialrätt, revisionsbyråer och lite olika saker. Statskontoret menar att en rangordning av leverantörer i parallella ramavtal alldeles oavsett legala krav kan vara lämpligt på områden där det krävs flera leverantörer för att täcka det totala behovet och på områden där produkterna är relativt standardiserade, statiska och lätt utbytbara. Däremot kan en rangordning vara direkt olämplig på ett område med en snabb pris- och produktutveckling.</w:t>
      </w:r>
    </w:p>
    <w:p w:rsidR="00252869" w:rsidRPr="001B4EC1" w:rsidRDefault="00252869">
      <w:pPr>
        <w:pStyle w:val="Normaltindrag"/>
      </w:pPr>
      <w:r w:rsidRPr="001B4EC1">
        <w:t>När Öhrlings Pricewaterhouse Coopers anlitades var det bråttom. B</w:t>
      </w:r>
      <w:r w:rsidRPr="001B4EC1">
        <w:t>olaget hade tidigare arbetat med SJ-frågor i anslutning till bolagiseringen och b</w:t>
      </w:r>
      <w:r w:rsidRPr="001B4EC1">
        <w:t>e</w:t>
      </w:r>
      <w:r w:rsidRPr="001B4EC1">
        <w:t>hövde därför inte någon lång startsträcka för att komma in i materien. Med tanke på den tidspress som rådde – propositionen måste läggas fram senast den 20 mars –  var detta en fördel som i praktiken var så stor att den slog ut alla andra alternativ, nämligen konsulter som skulle behöva lång tid att sätta sig in i materialet.</w:t>
      </w:r>
    </w:p>
    <w:p w:rsidR="00252869" w:rsidRPr="001B4EC1" w:rsidRDefault="00252869">
      <w:pPr>
        <w:pStyle w:val="Normaltindrag"/>
      </w:pPr>
      <w:r w:rsidRPr="001B4EC1">
        <w:t>NOU är en viktig instans. När den myndigheten yttrar sig väger det tungt. Yttrandet måste analyseras n</w:t>
      </w:r>
      <w:r w:rsidRPr="001B4EC1">
        <w:t>oggrant och tas på stort allvar. Det är besvärande att olika myndigheter gjort olika tolkningar när det gäller ramavtal. Analyse</w:t>
      </w:r>
      <w:r w:rsidRPr="001B4EC1">
        <w:t>r</w:t>
      </w:r>
      <w:r w:rsidRPr="001B4EC1">
        <w:t>na skall nu jämföras men slutsatsen blir densamma, nämligen att osäkerhete</w:t>
      </w:r>
      <w:r w:rsidRPr="001B4EC1">
        <w:t>r</w:t>
      </w:r>
      <w:r w:rsidRPr="001B4EC1">
        <w:t>na bör undanröjas genom att kvaliteten i regelverket höjs. Man kommer att se till att inarbetandet i svensk lag av det nya upphandlingsdirektivet också kommer att innebära att dessa frågor får en otvetydig lösning så att inte olika rättslärda kan hamna i så olika tolkningar som nu har skett. Dagens regler ä</w:t>
      </w:r>
      <w:r w:rsidRPr="001B4EC1">
        <w:t>r kanske alltför otydliga. Bristerna i tydlighet måste undanröjas, och det behövs en kvalitet</w:t>
      </w:r>
      <w:r w:rsidRPr="001B4EC1">
        <w:t>s</w:t>
      </w:r>
      <w:r w:rsidRPr="001B4EC1">
        <w:t>höjning.</w:t>
      </w:r>
    </w:p>
    <w:p w:rsidR="00252869" w:rsidRPr="001B4EC1" w:rsidRDefault="00252869">
      <w:pPr>
        <w:pStyle w:val="Normaltindrag"/>
      </w:pPr>
      <w:r w:rsidRPr="001B4EC1">
        <w:t>Det handlar om ganska svåra problem om man skall förena statens ekon</w:t>
      </w:r>
      <w:r w:rsidRPr="001B4EC1">
        <w:t>o</w:t>
      </w:r>
      <w:r w:rsidRPr="001B4EC1">
        <w:t>miska intresse av att kunna teckna avtal som speglar den stora volym man har att hantera, samtidigt som organisationen är decentraliserad.</w:t>
      </w:r>
    </w:p>
    <w:p w:rsidR="00252869" w:rsidRPr="001B4EC1" w:rsidRDefault="00252869">
      <w:pPr>
        <w:pStyle w:val="Normaltindrag"/>
      </w:pPr>
      <w:r w:rsidRPr="001B4EC1">
        <w:t>Statsrådet pekade på att Öhrlings Pricewaterhouse Coopers påbörjat sitt uppdrag med förberedande åtgärder innan avtalet var undertecknat, detta på grund av tidspressen i ärendet. Man ser nu över rutinerna för att i framtiden korta tiden mellan offert, avtalstecknande och igångsät</w:t>
      </w:r>
      <w:r w:rsidRPr="001B4EC1">
        <w:t>t</w:t>
      </w:r>
      <w:r w:rsidRPr="001B4EC1">
        <w:t>ning.</w:t>
      </w:r>
    </w:p>
    <w:p w:rsidR="00252869" w:rsidRPr="001B4EC1" w:rsidRDefault="00252869">
      <w:pPr>
        <w:pStyle w:val="Rubrik3"/>
        <w:jc w:val="both"/>
        <w:rPr>
          <w:noProof w:val="0"/>
        </w:rPr>
      </w:pPr>
      <w:bookmarkStart w:id="106" w:name="_Toc72648537"/>
      <w:r w:rsidRPr="001B4EC1">
        <w:rPr>
          <w:noProof w:val="0"/>
        </w:rPr>
        <w:t>Utskottets ställningstagande</w:t>
      </w:r>
      <w:bookmarkEnd w:id="106"/>
    </w:p>
    <w:p w:rsidR="00252869" w:rsidRPr="001B4EC1" w:rsidRDefault="00252869">
      <w:r w:rsidRPr="001B4EC1">
        <w:t>Granskningen har enligt utskottets mening visat att rättsläget när det gäller ramavtal är oklart. Sålunda har Nämnden för offentlig upphandling och Stat</w:t>
      </w:r>
      <w:r w:rsidRPr="001B4EC1">
        <w:t>s</w:t>
      </w:r>
      <w:r w:rsidRPr="001B4EC1">
        <w:t>kontoret olika uppfattningar om rättsläget. Regeringskansliets bedömningar i fråga om utformningen av ramavtal och avrop från dem kan anses ligga inom det tolkningsutrymme som funnits. Utskottet förutsätter att den nuvarande osäkerheten – som statsrådet Leif Pagrotsky anfört – kommer att undanröjas i samband med implementeringen av det nya upphandlingsd</w:t>
      </w:r>
      <w:r w:rsidRPr="001B4EC1">
        <w:t>i</w:t>
      </w:r>
      <w:r w:rsidRPr="001B4EC1">
        <w:t xml:space="preserve">rektivet. </w:t>
      </w:r>
    </w:p>
    <w:p w:rsidR="00252869" w:rsidRPr="001B4EC1" w:rsidRDefault="00252869">
      <w:pPr>
        <w:pStyle w:val="Normaltindrag"/>
      </w:pPr>
      <w:r w:rsidRPr="001B4EC1">
        <w:t>Granskningen föranleder inte något uttalande i övrigt.</w:t>
      </w:r>
    </w:p>
    <w:p w:rsidR="00252869" w:rsidRPr="001B4EC1" w:rsidRDefault="00252869">
      <w:pPr>
        <w:pStyle w:val="Rubrik2"/>
      </w:pPr>
      <w:bookmarkStart w:id="107" w:name="_Toc72648538"/>
      <w:r w:rsidRPr="001B4EC1">
        <w:t>3.4 Regeringens förfarande vid utnämningar till högre statliga tjän</w:t>
      </w:r>
      <w:r w:rsidRPr="001B4EC1">
        <w:t>s</w:t>
      </w:r>
      <w:r w:rsidRPr="001B4EC1">
        <w:t>ter</w:t>
      </w:r>
      <w:bookmarkEnd w:id="107"/>
    </w:p>
    <w:p w:rsidR="00252869" w:rsidRPr="001B4EC1" w:rsidRDefault="00252869">
      <w:pPr>
        <w:pStyle w:val="Rubrik3"/>
        <w:rPr>
          <w:noProof w:val="0"/>
        </w:rPr>
      </w:pPr>
      <w:bookmarkStart w:id="108" w:name="_Toc72648539"/>
      <w:r w:rsidRPr="001B4EC1">
        <w:rPr>
          <w:noProof w:val="0"/>
        </w:rPr>
        <w:t>Anmälan</w:t>
      </w:r>
      <w:bookmarkEnd w:id="108"/>
    </w:p>
    <w:p w:rsidR="00252869" w:rsidRPr="001B4EC1" w:rsidRDefault="00252869">
      <w:r w:rsidRPr="001B4EC1">
        <w:t xml:space="preserve">I en anmälan till konstitutionsutskottet den 29 januari 2004, </w:t>
      </w:r>
      <w:r w:rsidRPr="001B4EC1">
        <w:rPr>
          <w:i/>
        </w:rPr>
        <w:t>bilaga A3.4.1</w:t>
      </w:r>
      <w:r w:rsidRPr="001B4EC1">
        <w:t>,  begärs att konstitutionsutskottet granskar hur regeringens utnämningspolitik står i överensstämmelse med regeringsformens krav på förtjänst och skickli</w:t>
      </w:r>
      <w:r w:rsidRPr="001B4EC1">
        <w:t>g</w:t>
      </w:r>
      <w:r w:rsidRPr="001B4EC1">
        <w:t>het. I anmälan anförs att det är anmärkningsvärt att den socialdemokratiska regeringen i stor utsträckning tycks använda utnämningsmakten som ett bel</w:t>
      </w:r>
      <w:r w:rsidRPr="001B4EC1">
        <w:t>ö</w:t>
      </w:r>
      <w:r w:rsidRPr="001B4EC1">
        <w:t>ningsinstrument för egna eller närstående partiers företrädare.</w:t>
      </w:r>
    </w:p>
    <w:p w:rsidR="00252869" w:rsidRPr="001B4EC1" w:rsidRDefault="00252869">
      <w:pPr>
        <w:pStyle w:val="Rubrik3"/>
        <w:rPr>
          <w:noProof w:val="0"/>
        </w:rPr>
      </w:pPr>
      <w:bookmarkStart w:id="109" w:name="_Toc72648540"/>
      <w:r w:rsidRPr="001B4EC1">
        <w:rPr>
          <w:noProof w:val="0"/>
        </w:rPr>
        <w:t>Bakgrund</w:t>
      </w:r>
      <w:bookmarkEnd w:id="109"/>
    </w:p>
    <w:p w:rsidR="00252869" w:rsidRPr="001B4EC1" w:rsidRDefault="00252869">
      <w:pPr>
        <w:pStyle w:val="R4"/>
      </w:pPr>
      <w:r w:rsidRPr="001B4EC1">
        <w:t>Gällande regler</w:t>
      </w:r>
    </w:p>
    <w:p w:rsidR="00252869" w:rsidRPr="001B4EC1" w:rsidRDefault="00252869">
      <w:r w:rsidRPr="001B4EC1">
        <w:t>Enligt 11 kap. 9 § regeringsformen (RF) tillsätts tjänst vid en domstol eller vid en förvaltningsmyndighet som lyder under regeringen av regeringen eller av en myndighet som regeringen bestämmer. Vid tillsättning av statlig tjänst skall avseende fästas endast vid sakliga grunder, såsom förtjänst och skickli</w:t>
      </w:r>
      <w:r w:rsidRPr="001B4EC1">
        <w:t>g</w:t>
      </w:r>
      <w:r w:rsidRPr="001B4EC1">
        <w:t xml:space="preserve">het. Bestämmelsen omfattar inte förordnande att inneha uppdrag, exempelvis uppdrag som ledamot av styrelse eller nämnd vid statlig myndighet (Erik Holmberg och Nils Stjernquist, </w:t>
      </w:r>
      <w:r w:rsidRPr="001B4EC1">
        <w:rPr>
          <w:i/>
        </w:rPr>
        <w:t>Grundlagarna med tillhörande författningar</w:t>
      </w:r>
      <w:r w:rsidRPr="001B4EC1">
        <w:t xml:space="preserve">, 1980, s. 386, se även Gustaf Petrén och Hans Ragnemalm, </w:t>
      </w:r>
      <w:r w:rsidRPr="001B4EC1">
        <w:rPr>
          <w:i/>
        </w:rPr>
        <w:t>Sveriges grundl</w:t>
      </w:r>
      <w:r w:rsidRPr="001B4EC1">
        <w:rPr>
          <w:i/>
        </w:rPr>
        <w:t>a</w:t>
      </w:r>
      <w:r w:rsidRPr="001B4EC1">
        <w:rPr>
          <w:i/>
        </w:rPr>
        <w:t>gar och tillhörande författningar med förklaringar</w:t>
      </w:r>
      <w:r w:rsidRPr="001B4EC1">
        <w:t>, 1980, s. 287).</w:t>
      </w:r>
    </w:p>
    <w:p w:rsidR="00252869" w:rsidRPr="001B4EC1" w:rsidRDefault="00252869">
      <w:pPr>
        <w:pStyle w:val="Normaltindrag"/>
      </w:pPr>
      <w:r w:rsidRPr="001B4EC1">
        <w:t xml:space="preserve">Enligt förarbetena (prop. 1973:90 s. 405 f.) är bestämmelsen ett uttryck för principen att statliga tjänster skall tillsättas efter objektiva grunder </w:t>
      </w:r>
      <w:r w:rsidRPr="001B4EC1">
        <w:t>utan hä</w:t>
      </w:r>
      <w:r w:rsidRPr="001B4EC1">
        <w:t>n</w:t>
      </w:r>
      <w:r w:rsidRPr="001B4EC1">
        <w:t>synstagande till ovidkommande omständigheter. Med ”förtjänst” avses nä</w:t>
      </w:r>
      <w:r w:rsidRPr="001B4EC1">
        <w:t>r</w:t>
      </w:r>
      <w:r w:rsidRPr="001B4EC1">
        <w:t>mast den vana som förvärvats genom föregående tjänstgöring. Med skickli</w:t>
      </w:r>
      <w:r w:rsidRPr="001B4EC1">
        <w:t>g</w:t>
      </w:r>
      <w:r w:rsidRPr="001B4EC1">
        <w:t>het brukar förstås lämpligheten för befattningen, ådagalagd genom teoretisk och praktisk utbildning samt den dittillsvarande verksamhetens art. Bestä</w:t>
      </w:r>
      <w:r w:rsidRPr="001B4EC1">
        <w:t>m</w:t>
      </w:r>
      <w:r w:rsidRPr="001B4EC1">
        <w:t>melsen är utformad så att även andra sakliga grunder än förtjänst och skic</w:t>
      </w:r>
      <w:r w:rsidRPr="001B4EC1">
        <w:t>k</w:t>
      </w:r>
      <w:r w:rsidRPr="001B4EC1">
        <w:t>lighet kan få vägas in i bedömningen, och departementschefen nämnde därvid arbetsmarknadspolitiska och lokaliseringspolitiska hänsyn. Vi</w:t>
      </w:r>
      <w:r w:rsidRPr="001B4EC1">
        <w:t>d behandlingen av förslaget till en ny regeringsform kommenterade konstitutionsutskottet bestämmelsens formulering. Utskottet förutsatte att arbetsmarknadspolitisk och lokaliseringspolitiska hänsyn kommer att utnyttjas på ett sådant sätt att inga faror för den enskildes rättssäkerhet kommer att uppstå (bet. KU 1973:26 s. 72).</w:t>
      </w:r>
    </w:p>
    <w:p w:rsidR="00252869" w:rsidRPr="001B4EC1" w:rsidRDefault="00252869">
      <w:pPr>
        <w:pStyle w:val="Normaltindrag"/>
      </w:pPr>
      <w:r w:rsidRPr="001B4EC1">
        <w:t>Närmare bestämmelser om tillsättning av statliga tjänster finns i lagen (1994:260) om offentlig anställning (LOA). Enligt 4 § skall skickligheten sättas främst, om det inte finns särsk</w:t>
      </w:r>
      <w:r w:rsidRPr="001B4EC1">
        <w:t>ilda skäl för något annat. I förarbetena till lagen (prop. 1993/94:65) påpekades att förtjänst och skicklighet i RF nämns endast som exempel och att även andra sakliga grunder kan vägas in vid bedömningen. Enligt 4 § anställningsförordningen (1994:373), som trädde i kraft samtidigt med 1994 års lag om offentlig anställning, skall myndigheten utöver skickligheten och förtjänsten också beakta sådana sakliga grunder som stämmer överens med allmänna arbetsmarknads-, jämställdhets-, social- och sysselsättningspo</w:t>
      </w:r>
      <w:r w:rsidRPr="001B4EC1">
        <w:t>litiska mål.</w:t>
      </w:r>
    </w:p>
    <w:p w:rsidR="00252869" w:rsidRPr="001B4EC1" w:rsidRDefault="00252869">
      <w:pPr>
        <w:pStyle w:val="R4"/>
      </w:pPr>
      <w:r w:rsidRPr="001B4EC1">
        <w:t>Organisering av rekryteringsarbetet i Regeringskansliet</w:t>
      </w:r>
    </w:p>
    <w:p w:rsidR="00252869" w:rsidRPr="001B4EC1" w:rsidRDefault="00252869">
      <w:r w:rsidRPr="001B4EC1">
        <w:t>Varje departement svarar efter samråd med Statsrådsberedningen och Finan</w:t>
      </w:r>
      <w:r w:rsidRPr="001B4EC1">
        <w:t>s</w:t>
      </w:r>
      <w:r w:rsidRPr="001B4EC1">
        <w:t>departementet för rekrytering av myndighetschefer inom sitt eget område. För universitet och högskolor sker rekrytering av rektorer enligt förslag från st</w:t>
      </w:r>
      <w:r w:rsidRPr="001B4EC1">
        <w:t>y</w:t>
      </w:r>
      <w:r w:rsidRPr="001B4EC1">
        <w:t>relsen; i dessa fall sker således inget särskilt rekryteringsförfarande inom Regeringskansliet.</w:t>
      </w:r>
    </w:p>
    <w:p w:rsidR="00252869" w:rsidRPr="001B4EC1" w:rsidRDefault="00252869">
      <w:pPr>
        <w:pStyle w:val="R4"/>
      </w:pPr>
      <w:r w:rsidRPr="001B4EC1">
        <w:t>Regeringens chefspolicy</w:t>
      </w:r>
    </w:p>
    <w:p w:rsidR="00252869" w:rsidRPr="001B4EC1" w:rsidRDefault="00252869">
      <w:r w:rsidRPr="001B4EC1">
        <w:t>I proposition 1997/98:136 Statlig förvaltning i medborgarnas tjänst redogjo</w:t>
      </w:r>
      <w:r w:rsidRPr="001B4EC1">
        <w:t>r</w:t>
      </w:r>
      <w:r w:rsidRPr="001B4EC1">
        <w:t>de regeringen för sin bedömning av chefsförsörjningen i statsförvaltningen. Mot bakgrund av utnämningsmaktens ökade betydelse hade regeringen (s. 50 f.) sett över sin chefspolicy och utvecklat riktlinjer för beredningsprocessen inom Regeringskansliet. Chefspolicyn omfattar rekrytering, introduktion, chefsutveckling, mål- och resultatdialog, rörlighet samt löner och anstäl</w:t>
      </w:r>
      <w:r w:rsidRPr="001B4EC1">
        <w:t>l</w:t>
      </w:r>
      <w:r w:rsidRPr="001B4EC1">
        <w:t>ningsvillkor.</w:t>
      </w:r>
    </w:p>
    <w:p w:rsidR="00252869" w:rsidRPr="001B4EC1" w:rsidRDefault="00252869">
      <w:pPr>
        <w:pStyle w:val="Normaltindrag"/>
      </w:pPr>
      <w:r w:rsidRPr="001B4EC1">
        <w:t>I fråga om rekryteringen av myndighetschefer säger chefspolicyn att den skall ske utifrån preciserade krav, ett brett sökf</w:t>
      </w:r>
      <w:r w:rsidRPr="001B4EC1">
        <w:t>örfarande och ett omsorgsfullt urvalsförfarande. En skriftlig kravprofil, baserad på myndighetens nuvarande och kommande verksamhet, skall alltid tas fram innan sökandet efter kand</w:t>
      </w:r>
      <w:r w:rsidRPr="001B4EC1">
        <w:t>i</w:t>
      </w:r>
      <w:r w:rsidRPr="001B4EC1">
        <w:t>dater påbörjas. Särskild vikt bör läggas vid ledaregenskaper och tidigare erfarenheter som chef. Ett brett sökförfarande innebär att regeringen söker kandidater även från näringslivet, kommuner och landsting. Vidare skall det så långt möjligt alltid finnas en kvinnlig kandidat med i det slutliga urvalet.</w:t>
      </w:r>
    </w:p>
    <w:p w:rsidR="00252869" w:rsidRPr="001B4EC1" w:rsidRDefault="00252869">
      <w:pPr>
        <w:pStyle w:val="R4"/>
      </w:pPr>
      <w:r w:rsidRPr="001B4EC1">
        <w:t>Undersökningar av regerin</w:t>
      </w:r>
      <w:r w:rsidRPr="001B4EC1">
        <w:t>gens utövande av utnämningsmakten</w:t>
      </w:r>
    </w:p>
    <w:p w:rsidR="00252869" w:rsidRPr="001B4EC1" w:rsidRDefault="00252869">
      <w:r w:rsidRPr="001B4EC1">
        <w:t xml:space="preserve">Statskontoret har i rapporten </w:t>
      </w:r>
      <w:r w:rsidRPr="001B4EC1">
        <w:rPr>
          <w:i/>
        </w:rPr>
        <w:t>Det viktiga valet av verkschef. En jämförande studie av verkschefsutnämningar</w:t>
      </w:r>
      <w:r w:rsidRPr="001B4EC1">
        <w:t xml:space="preserve"> (Statskontoret 1999:21)</w:t>
      </w:r>
      <w:r w:rsidRPr="001B4EC1">
        <w:rPr>
          <w:i/>
        </w:rPr>
        <w:t xml:space="preserve"> </w:t>
      </w:r>
      <w:r w:rsidRPr="001B4EC1">
        <w:t>studerat hur det går till när verkschefer rekryteras i Sverige och ett antal andra länder. År 1998 hade enligt rapporten 37 % av verkscheferna någon gång innehaft en politisk befattning. Vid de 22 myndigheter som enligt Statskontoret kan anses ”särskilt betydelsefulla” hade 64 % av myndighetscheferna politisk bakgrund. Enligt rapporten ökade andelen verkschefer med politisk bakgrund mellan 1982 och 1998 frå</w:t>
      </w:r>
      <w:r w:rsidRPr="001B4EC1">
        <w:t>n 20 till 37 %.</w:t>
      </w:r>
    </w:p>
    <w:p w:rsidR="00252869" w:rsidRPr="001B4EC1" w:rsidRDefault="00252869">
      <w:pPr>
        <w:pStyle w:val="Normaltindrag"/>
      </w:pPr>
      <w:r w:rsidRPr="001B4EC1">
        <w:t>Våren 2003 studerades i en av Expertgruppen för studier i offentlig ek</w:t>
      </w:r>
      <w:r w:rsidRPr="001B4EC1">
        <w:t>o</w:t>
      </w:r>
      <w:r w:rsidRPr="001B4EC1">
        <w:t>nomi (ESO) utgiven rapport utnämnandet och ansvarsutkrävandet av genera</w:t>
      </w:r>
      <w:r w:rsidRPr="001B4EC1">
        <w:t>l</w:t>
      </w:r>
      <w:r w:rsidRPr="001B4EC1">
        <w:t>direktörer (Ds 2003:7). År 2001 hade enligt undersökningen 33 % av genera</w:t>
      </w:r>
      <w:r w:rsidRPr="001B4EC1">
        <w:t>l</w:t>
      </w:r>
      <w:r w:rsidRPr="001B4EC1">
        <w:t>direktörerna politisk bakgrund (statsråd, statssekreterare, riksdagsman, pol</w:t>
      </w:r>
      <w:r w:rsidRPr="001B4EC1">
        <w:t>i</w:t>
      </w:r>
      <w:r w:rsidRPr="001B4EC1">
        <w:t>tisk sakkunnig, landstings- eller kommunalråd), 15 % hade haft en opolitisk befattning inom Regeringskansliet (expeditions- och rättschefer, depart</w:t>
      </w:r>
      <w:r w:rsidRPr="001B4EC1">
        <w:t>e</w:t>
      </w:r>
      <w:r w:rsidRPr="001B4EC1">
        <w:t>mentsråd eller kansliråd) och 52 % hade ”annan bakgrund”. Andelen genera</w:t>
      </w:r>
      <w:r w:rsidRPr="001B4EC1">
        <w:t>l</w:t>
      </w:r>
      <w:r w:rsidRPr="001B4EC1">
        <w:t>direktörer med politisk respektive icke-politisk bakgrund skiljde i</w:t>
      </w:r>
      <w:r w:rsidRPr="001B4EC1">
        <w:t>nte näm</w:t>
      </w:r>
      <w:r w:rsidRPr="001B4EC1">
        <w:t>n</w:t>
      </w:r>
      <w:r w:rsidRPr="001B4EC1">
        <w:t>värt mellan myndigheter med olika antal anställda. Vidare hade enligt rap</w:t>
      </w:r>
      <w:r w:rsidRPr="001B4EC1">
        <w:t>p</w:t>
      </w:r>
      <w:r w:rsidRPr="001B4EC1">
        <w:t>orten andelen generaldirektörer med politisk bakgrund minskat sedan slutet av 1980-talet, från 42 % år 1989 till 33 % år 2001.</w:t>
      </w:r>
    </w:p>
    <w:p w:rsidR="00252869" w:rsidRPr="001B4EC1" w:rsidRDefault="00252869">
      <w:pPr>
        <w:pStyle w:val="R4"/>
      </w:pPr>
      <w:r w:rsidRPr="001B4EC1">
        <w:t>Konstitutionsutskottets tidigare granskningar</w:t>
      </w:r>
    </w:p>
    <w:p w:rsidR="00252869" w:rsidRPr="001B4EC1" w:rsidRDefault="00252869">
      <w:pPr>
        <w:pStyle w:val="Rubrik5"/>
        <w:spacing w:before="235"/>
        <w:rPr>
          <w:noProof w:val="0"/>
        </w:rPr>
      </w:pPr>
      <w:r w:rsidRPr="001B4EC1">
        <w:rPr>
          <w:noProof w:val="0"/>
        </w:rPr>
        <w:t>Våren 2002</w:t>
      </w:r>
    </w:p>
    <w:p w:rsidR="00252869" w:rsidRPr="001B4EC1" w:rsidRDefault="00252869">
      <w:r w:rsidRPr="001B4EC1">
        <w:t>Konstitutionsutskottet har flera gånger granskat regeringens utnämningspol</w:t>
      </w:r>
      <w:r w:rsidRPr="001B4EC1">
        <w:t>i</w:t>
      </w:r>
      <w:r w:rsidRPr="001B4EC1">
        <w:t>tik. Våren 2002 granskade utskottet med anledning av en anmälan hur rege</w:t>
      </w:r>
      <w:r w:rsidRPr="001B4EC1">
        <w:t>r</w:t>
      </w:r>
      <w:r w:rsidRPr="001B4EC1">
        <w:t>ingens utnämningspolitik stod i överensstämmelse med regeringsformens krav på förtjänst och skicklighet (bet. 2001/02:KU20 s. 167 f.). I en prom</w:t>
      </w:r>
      <w:r w:rsidRPr="001B4EC1">
        <w:t>e</w:t>
      </w:r>
      <w:r w:rsidRPr="001B4EC1">
        <w:t>moria från Regeringskansliet angavs bl.a. att särskild vikt skall läggas vid ledaregenskaper och tidigare erfarenheter som chef. I en offentlig utfrågning som utskottet höll med statsminister Göran Persson anförde statsministern bl.a. att han inte ansåg att antalet utnämningar där personen ha</w:t>
      </w:r>
      <w:r w:rsidRPr="001B4EC1">
        <w:t>r en politisk bakgrund ökat. Det finns en grupp tjänstemän och chefer som regeringen enligt statsministern var angelägen om att behålla i statsförvaltningen och det var statssekreterarna, som efter ett visst antal år ofta utnämns till myndighet</w:t>
      </w:r>
      <w:r w:rsidRPr="001B4EC1">
        <w:t>s</w:t>
      </w:r>
      <w:r w:rsidRPr="001B4EC1">
        <w:t>chefer. Dessa har arbetat för en socialdemokratisk regering, men väldigt många av dem har enligt statsministern inte någon partipolitisk bakgrund. Vidare anförde statsministern att regeringen i ett fall strävat efter att noga väga in den partipolitiska bakgrunden, nä</w:t>
      </w:r>
      <w:r w:rsidRPr="001B4EC1">
        <w:t>mligen landshövdingeutnämninga</w:t>
      </w:r>
      <w:r w:rsidRPr="001B4EC1">
        <w:t>r</w:t>
      </w:r>
      <w:r w:rsidRPr="001B4EC1">
        <w:t>na. I övriga sammanhang är det så att regeringen går vid sidan av ett sådant kvotreson</w:t>
      </w:r>
      <w:r w:rsidRPr="001B4EC1">
        <w:t>e</w:t>
      </w:r>
      <w:r w:rsidRPr="001B4EC1">
        <w:t>mang och söker väldigt fritt utifrån förtjänst och skicklighet.</w:t>
      </w:r>
    </w:p>
    <w:p w:rsidR="00252869" w:rsidRPr="001B4EC1" w:rsidRDefault="00252869">
      <w:pPr>
        <w:pStyle w:val="Normaltindrag"/>
      </w:pPr>
      <w:r w:rsidRPr="001B4EC1">
        <w:t>I sitt ställningstagande upprepade utskottet sin tidigare bedömning, att den omständigheten att en person har en politisk bakgrund inte skall vara diskval</w:t>
      </w:r>
      <w:r w:rsidRPr="001B4EC1">
        <w:t>i</w:t>
      </w:r>
      <w:r w:rsidRPr="001B4EC1">
        <w:t>ficerande vid tillsättningen av t.ex. en generaldirektörstjänst, så länge endast sakliga grunder som förtjänst och skicklighet tillämpas vid tillsättningen. Utskottet framhöll i stället att politisk erfarenhet ofta kan vara viktig när det gäller att leda offentliga verksamheter. Vidare instämde utskottet i vad stat</w:t>
      </w:r>
      <w:r w:rsidRPr="001B4EC1">
        <w:t>s</w:t>
      </w:r>
      <w:r w:rsidRPr="001B4EC1">
        <w:t>ministern anförde avseende jämställdheten i utnämningspolitiken.</w:t>
      </w:r>
    </w:p>
    <w:p w:rsidR="00252869" w:rsidRPr="001B4EC1" w:rsidRDefault="00252869">
      <w:pPr>
        <w:pStyle w:val="Rubrik5"/>
        <w:rPr>
          <w:noProof w:val="0"/>
        </w:rPr>
      </w:pPr>
      <w:r w:rsidRPr="001B4EC1">
        <w:rPr>
          <w:noProof w:val="0"/>
        </w:rPr>
        <w:t>Hösten 2003</w:t>
      </w:r>
    </w:p>
    <w:p w:rsidR="00252869" w:rsidRPr="001B4EC1" w:rsidRDefault="00252869">
      <w:r w:rsidRPr="001B4EC1">
        <w:t>Konstitutionsutskottets senaste granskning av regeringens utövande av u</w:t>
      </w:r>
      <w:r w:rsidRPr="001B4EC1">
        <w:t>t</w:t>
      </w:r>
      <w:r w:rsidRPr="001B4EC1">
        <w:t>nämningsmakten genomfördes hösten 2003 (bet. 2003/04:KU10 s. 58 f). Granskningen var inriktad på de utnämningar som ägt rum mellan den 1 januari 2001 och den 31 oktober 2003.</w:t>
      </w:r>
    </w:p>
    <w:p w:rsidR="00252869" w:rsidRPr="001B4EC1" w:rsidRDefault="00252869">
      <w:pPr>
        <w:pStyle w:val="Normaltindrag"/>
      </w:pPr>
      <w:r w:rsidRPr="001B4EC1">
        <w:t>I en inom Finansdepartementet upprättad promemoria som överlämnades till utskottet anfördes att ett brett sökförfarande förekommer i de flesta fall, vilket innebär att kandidater söks även från näringslivet, kommuner och landsting; för vissa befattningar finns krav på särskild utbildning eller erf</w:t>
      </w:r>
      <w:r w:rsidRPr="001B4EC1">
        <w:t>a</w:t>
      </w:r>
      <w:r w:rsidRPr="001B4EC1">
        <w:t>renhet, som jurist eller professorsbehörighet. Av de i granskningen aktuella tillsättningarna under åren 2001–2003 hade i nio fall de anställda en tidigare erfarenhet som chef inom kommunal verksamhet eller från privat- och för</w:t>
      </w:r>
      <w:r w:rsidRPr="001B4EC1">
        <w:t>e</w:t>
      </w:r>
      <w:r w:rsidRPr="001B4EC1">
        <w:t>ningsverksamhet, fem myndighetschefer hade varit riksdagsledamöter och en myndighetschef hade varit tidigare statsråd. Huvuddelen av övriga myndi</w:t>
      </w:r>
      <w:r w:rsidRPr="001B4EC1">
        <w:t>g</w:t>
      </w:r>
      <w:r w:rsidRPr="001B4EC1">
        <w:t>hetschefer som hade utsetts kom från chefsställningar inom statliga myndi</w:t>
      </w:r>
      <w:r w:rsidRPr="001B4EC1">
        <w:t>g</w:t>
      </w:r>
      <w:r w:rsidRPr="001B4EC1">
        <w:t>heter. Slutligen hade mellan sex och nio myndighetschefer respe</w:t>
      </w:r>
      <w:r w:rsidRPr="001B4EC1">
        <w:t>ktive år haft erfarenhet från chefsposter inom Regeringskansliet, och av dessa kom totalt sex personer närmast från en anställning som statssekreterare.</w:t>
      </w:r>
    </w:p>
    <w:p w:rsidR="00252869" w:rsidRPr="001B4EC1" w:rsidRDefault="00252869">
      <w:pPr>
        <w:pStyle w:val="Normaltindrag"/>
      </w:pPr>
      <w:r w:rsidRPr="001B4EC1">
        <w:t>Till promemorian bifogades förteckningar över de anställningsbeslut gä</w:t>
      </w:r>
      <w:r w:rsidRPr="001B4EC1">
        <w:t>l</w:t>
      </w:r>
      <w:r w:rsidRPr="001B4EC1">
        <w:t>lande myndighetschefer som fattats under 2001, 2002 och 2003 t.o.m. den 31 oktober. Totalt rörde det sig om 92 anställningsbeslut. Av dessa gällde minst 26 sådana befattningar för vilka det finns krav på särskild utbildning eller erfarenhet, av vilka flertalet avsåg tillsättning av rektor vid universitet eller högskola. Exklusive dessa rörde det sig således om 66 anställningsbeslut under den aktuella tidsperioden. Av dem som utnämndes vid dessa tillfällen kunde enligt konstitutionsutskottets mening 22, dvs</w:t>
      </w:r>
      <w:r w:rsidRPr="001B4EC1">
        <w:t>. en tredjedel, bedömas ha politisk bakgrund, såsom statsråd, politiskt tillsatt tjänsteman inom Rege</w:t>
      </w:r>
      <w:r w:rsidRPr="001B4EC1">
        <w:t>r</w:t>
      </w:r>
      <w:r w:rsidRPr="001B4EC1">
        <w:t>ingskansliet, riksdagsledamot, landstings- eller kommunalråd.</w:t>
      </w:r>
    </w:p>
    <w:p w:rsidR="00252869" w:rsidRPr="001B4EC1" w:rsidRDefault="00252869">
      <w:pPr>
        <w:pStyle w:val="Normaltindrag"/>
      </w:pPr>
      <w:r w:rsidRPr="001B4EC1">
        <w:t>Vad gäller olika slags myndighetschefsbefattningar konstaterade utskottet att åtta (3 s, 2 m, 1 fp, 1 v, 1 c) av de tio utnämnda landshövdingarna och 13 (10 s, 3 m) av de 40 utnämnda generaldirektörerna hade politisk bakgrund. Vidare hade den som utnämnts till rektor vid Försvarshögskolan politisk bakgrund (m).</w:t>
      </w:r>
    </w:p>
    <w:p w:rsidR="00252869" w:rsidRPr="001B4EC1" w:rsidRDefault="00252869">
      <w:pPr>
        <w:pStyle w:val="Normaltindrag"/>
      </w:pPr>
      <w:r w:rsidRPr="001B4EC1">
        <w:t>Utskottet betonade att granskningen var avgränsad i tid och således inte gav någon heltäckande bild av myndighetschefers bakgrund. För att erhålla en mer heltäckande bild uppgav utskottet att det avsåg att fortsätta följa rege</w:t>
      </w:r>
      <w:r w:rsidRPr="001B4EC1">
        <w:t>r</w:t>
      </w:r>
      <w:r w:rsidRPr="001B4EC1">
        <w:t xml:space="preserve">ingens utövande av utnämningsmakten i kommande granskningar. </w:t>
      </w:r>
    </w:p>
    <w:p w:rsidR="00252869" w:rsidRPr="001B4EC1" w:rsidRDefault="00252869">
      <w:pPr>
        <w:pStyle w:val="R4"/>
      </w:pPr>
      <w:r w:rsidRPr="001B4EC1">
        <w:t>Tillkännagivande om utredning om utnämningsmakten</w:t>
      </w:r>
    </w:p>
    <w:p w:rsidR="00252869" w:rsidRPr="001B4EC1" w:rsidRDefault="00252869">
      <w:r w:rsidRPr="001B4EC1">
        <w:t>Konstitutionsutskottet har under våren 2004 behandlat motionsyrkanden om att öka öppenheten vid tillsättningar av högre statliga tjänster (bet. 2003/04: KU11). Utskottet avstyrkte motionsyrkandena med hänvisning till tidigare ställningstagande. Reservation avgavs av m, fp, kd, c och mp, i vilken för</w:t>
      </w:r>
      <w:r w:rsidRPr="001B4EC1">
        <w:t>e</w:t>
      </w:r>
      <w:r w:rsidRPr="001B4EC1">
        <w:t>slogs att riksdagen skulle tillkännage för regeringen att regeringen bör utreda frågan om tillsättning av högre statliga tjänster och återkomma till riksdagen med förslag till åtgärder som ökar öppenheten vid tjänstetillsättningar. Ka</w:t>
      </w:r>
      <w:r w:rsidRPr="001B4EC1">
        <w:t>m</w:t>
      </w:r>
      <w:r w:rsidRPr="001B4EC1">
        <w:t>maren biföll reservationen (rskr. 2003/04:173).</w:t>
      </w:r>
    </w:p>
    <w:p w:rsidR="00252869" w:rsidRPr="001B4EC1" w:rsidRDefault="00252869">
      <w:pPr>
        <w:pStyle w:val="Rubrik3"/>
        <w:rPr>
          <w:noProof w:val="0"/>
        </w:rPr>
      </w:pPr>
      <w:bookmarkStart w:id="110" w:name="_Toc72648541"/>
      <w:r w:rsidRPr="001B4EC1">
        <w:rPr>
          <w:noProof w:val="0"/>
        </w:rPr>
        <w:t>Promemorior från Finansdepartementet</w:t>
      </w:r>
      <w:bookmarkEnd w:id="110"/>
    </w:p>
    <w:p w:rsidR="00252869" w:rsidRPr="001B4EC1" w:rsidRDefault="00252869">
      <w:pPr>
        <w:pStyle w:val="Rubrik5"/>
        <w:spacing w:before="235"/>
        <w:rPr>
          <w:noProof w:val="0"/>
        </w:rPr>
      </w:pPr>
      <w:r w:rsidRPr="001B4EC1">
        <w:rPr>
          <w:noProof w:val="0"/>
        </w:rPr>
        <w:t>Promemorian den 2 mars 2004</w:t>
      </w:r>
    </w:p>
    <w:p w:rsidR="00252869" w:rsidRPr="001B4EC1" w:rsidRDefault="00252869">
      <w:r w:rsidRPr="001B4EC1">
        <w:t xml:space="preserve">Genom en skrivelse till Regeringskansliet har konstitutionsutskottet begärt svar på vissa frågor med anledning av granskningsanmälan. Som svar har till utskottet översänts en promemoria som upprättats inom Finansdepartementet den 2 mars 2004, </w:t>
      </w:r>
      <w:r w:rsidRPr="001B4EC1">
        <w:rPr>
          <w:i/>
        </w:rPr>
        <w:t>bilaga A3.4.2</w:t>
      </w:r>
      <w:r w:rsidRPr="001B4EC1">
        <w:t>.</w:t>
      </w:r>
    </w:p>
    <w:p w:rsidR="00252869" w:rsidRPr="001B4EC1" w:rsidRDefault="00252869">
      <w:pPr>
        <w:pStyle w:val="Normaltindrag"/>
      </w:pPr>
      <w:r w:rsidRPr="001B4EC1">
        <w:t>Vad gäller regeringens uppfattning om i vad mån statssekreterare är en p</w:t>
      </w:r>
      <w:r w:rsidRPr="001B4EC1">
        <w:t>o</w:t>
      </w:r>
      <w:r w:rsidRPr="001B4EC1">
        <w:t>litisk befattning hänvisas i promemorian till regeringens skrivelse 1994/95:225 Förmåner för statssekreterare vid regeringsskiften, i vilken r</w:t>
      </w:r>
      <w:r w:rsidRPr="001B4EC1">
        <w:t>e</w:t>
      </w:r>
      <w:r w:rsidRPr="001B4EC1">
        <w:t>geringen lämnade en redovisning av en överenskommelse mellan riksdag</w:t>
      </w:r>
      <w:r w:rsidRPr="001B4EC1">
        <w:t>s</w:t>
      </w:r>
      <w:r w:rsidRPr="001B4EC1">
        <w:t>partierna om förmåner och skyldigheter för statssekreterare i samband med regeringsskiften m.m. I skrivelsen anförs att först under slutet av 1970-talet kunde politiseringen av statssekreterarkretsen sägas vara genomförd. Vidare uttalas i skrivelsen att befattningen som statssekreterare är både pol</w:t>
      </w:r>
      <w:r w:rsidRPr="001B4EC1">
        <w:t>itiskt och administrativt betydelsefull. Enligt promemorian ligger regeringens uppfat</w:t>
      </w:r>
      <w:r w:rsidRPr="001B4EC1">
        <w:t>t</w:t>
      </w:r>
      <w:r w:rsidRPr="001B4EC1">
        <w:t>ning, såsom den kom till uttryck i skrivelsen, fast.</w:t>
      </w:r>
    </w:p>
    <w:p w:rsidR="00252869" w:rsidRPr="001B4EC1" w:rsidRDefault="00252869">
      <w:pPr>
        <w:pStyle w:val="Normaltindrag"/>
      </w:pPr>
      <w:r w:rsidRPr="001B4EC1">
        <w:t>Vad gäller andra tillsättningsgrunder än förtjänst och skicklighet som r</w:t>
      </w:r>
      <w:r w:rsidRPr="001B4EC1">
        <w:t>e</w:t>
      </w:r>
      <w:r w:rsidRPr="001B4EC1">
        <w:t>geringen tar hänsyn till samt om, och i så fall på vilket sätt, tillsättningsgru</w:t>
      </w:r>
      <w:r w:rsidRPr="001B4EC1">
        <w:t>n</w:t>
      </w:r>
      <w:r w:rsidRPr="001B4EC1">
        <w:t>derna vid olika utnämningar dokumenteras och finns tillgängliga för grans</w:t>
      </w:r>
      <w:r w:rsidRPr="001B4EC1">
        <w:t>k</w:t>
      </w:r>
      <w:r w:rsidRPr="001B4EC1">
        <w:t>ning anförs i promemorian att de tillsättningsgrunder som tillämpas vid r</w:t>
      </w:r>
      <w:r w:rsidRPr="001B4EC1">
        <w:t>e</w:t>
      </w:r>
      <w:r w:rsidRPr="001B4EC1">
        <w:t>krytering av myndighetschefer slås fast i regeringens chefspolicy. I den hä</w:t>
      </w:r>
      <w:r w:rsidRPr="001B4EC1">
        <w:t>n</w:t>
      </w:r>
      <w:r w:rsidRPr="001B4EC1">
        <w:t>visas till bestämmelser i regeringsformen och LOA. Av chefspolicyn framgår även att särskild vikt bör läggas vid ledaregenskaper och tidigare erfarenhet som chef, att det så långt möjligt alltid skall finna</w:t>
      </w:r>
      <w:r w:rsidRPr="001B4EC1">
        <w:t>s både en kvinnlig och en manlig kandidat i det slutliga urvalet och att genom ett brett sökförfarande den kompetens som finns bland exempelvis personer med erfarenhet från skilda delar av samhället och med olika etnisk och kulturell bakgrund kan tillvaratas. Inför beredningen av anställningsärenden skrivs s.k. kravprofiler, dvs. överväganden om vilka krav som en kandidat bör uppfylla för att komma i fråga för anställning, men dessa handlingar expedieras inte och tas inte om hand för arkivering.</w:t>
      </w:r>
    </w:p>
    <w:p w:rsidR="00252869" w:rsidRPr="001B4EC1" w:rsidRDefault="00252869">
      <w:pPr>
        <w:pStyle w:val="Normaltindrag"/>
      </w:pPr>
      <w:r w:rsidRPr="001B4EC1">
        <w:t xml:space="preserve">Vad gäller </w:t>
      </w:r>
      <w:r w:rsidRPr="001B4EC1">
        <w:t>förekomsten av generaldirektörer med politisk bakgrund vid ”särskilt betydelsefulla” myndigheter jämfört med andra myndigheter anförs i promemorian att det inte tillämpas några andra tillsättningsgrunder för befat</w:t>
      </w:r>
      <w:r w:rsidRPr="001B4EC1">
        <w:t>t</w:t>
      </w:r>
      <w:r w:rsidRPr="001B4EC1">
        <w:t>ningar vid de myndigheter som Statskontoret har betecknat som ”särskilt betydelsefulla” än de som gäller för andra myndigheter.</w:t>
      </w:r>
    </w:p>
    <w:p w:rsidR="00252869" w:rsidRPr="001B4EC1" w:rsidRDefault="00252869">
      <w:pPr>
        <w:pStyle w:val="Normaltindrag"/>
      </w:pPr>
      <w:r w:rsidRPr="001B4EC1">
        <w:t>Vad gäller den skillnad som regeringen säger sig göra mellan landshö</w:t>
      </w:r>
      <w:r w:rsidRPr="001B4EC1">
        <w:t>v</w:t>
      </w:r>
      <w:r w:rsidRPr="001B4EC1">
        <w:t>dingar och andra myndighetschefer i fråga om betydelsen av politisk ba</w:t>
      </w:r>
      <w:r w:rsidRPr="001B4EC1">
        <w:t>k</w:t>
      </w:r>
      <w:r w:rsidRPr="001B4EC1">
        <w:t>grund anförs i promemorian att, med hänsyn till uppdragets karaktär, en landshövding bör ha särskilt goda kunskaper om vårt samhälle i stort och en förståelse för politiskt beslutsfattande. En politisk bakgrund är då ofta en fördel.</w:t>
      </w:r>
    </w:p>
    <w:p w:rsidR="00252869" w:rsidRPr="001B4EC1" w:rsidRDefault="00252869">
      <w:pPr>
        <w:pStyle w:val="Normaltindrag"/>
      </w:pPr>
      <w:r w:rsidRPr="001B4EC1">
        <w:t>Vidare anförs i promemorian att regeringen inte gör någon åtskillnad me</w:t>
      </w:r>
      <w:r w:rsidRPr="001B4EC1">
        <w:t>l</w:t>
      </w:r>
      <w:r w:rsidRPr="001B4EC1">
        <w:t>lan ambassadörer, generaldirektörer och andra myndighetschefer i fråga om politisk bakgrund. Det är verksamhetens krav som i varje enskilt fall får ko</w:t>
      </w:r>
      <w:r w:rsidRPr="001B4EC1">
        <w:t>n</w:t>
      </w:r>
      <w:r w:rsidRPr="001B4EC1">
        <w:t>sekvenser för val av myndighetschef.</w:t>
      </w:r>
    </w:p>
    <w:p w:rsidR="00252869" w:rsidRPr="001B4EC1" w:rsidRDefault="00252869">
      <w:pPr>
        <w:pStyle w:val="Normaltindrag"/>
      </w:pPr>
      <w:r w:rsidRPr="001B4EC1">
        <w:t>Vad gäller bedömningsgrunder vid utnämningar av myndighetschefer r</w:t>
      </w:r>
      <w:r w:rsidRPr="001B4EC1">
        <w:t>e</w:t>
      </w:r>
      <w:r w:rsidRPr="001B4EC1">
        <w:t>spektive styrelseledamöter vid statliga myndigheter anförs i promemorian att det vid rekrytering av en myndighetschef skall läggas särskild vikt vid leda</w:t>
      </w:r>
      <w:r w:rsidRPr="001B4EC1">
        <w:t>r</w:t>
      </w:r>
      <w:r w:rsidRPr="001B4EC1">
        <w:t>egenskaper. En ledamot i en förvaltningsmyndighets styrelse skall utses med utgångspunkt i att målen för verksamheten uppfylls effektivt, att ledamoten skall företräda ett medborgerligt omdöme samt att ledamoten skall utöva det allmännas insyn. Vidare anförs att en statlig myndighets styrelse är samma</w:t>
      </w:r>
      <w:r w:rsidRPr="001B4EC1">
        <w:t>n</w:t>
      </w:r>
      <w:r w:rsidRPr="001B4EC1">
        <w:t>satt av personer med skilda kunskaper och erfarenheter</w:t>
      </w:r>
      <w:r w:rsidRPr="001B4EC1">
        <w:t>. Varje ledamot föru</w:t>
      </w:r>
      <w:r w:rsidRPr="001B4EC1">
        <w:t>t</w:t>
      </w:r>
      <w:r w:rsidRPr="001B4EC1">
        <w:t>sätts bidra med kompetens till ett aktivt och effektivt styrelsearbete.</w:t>
      </w:r>
    </w:p>
    <w:p w:rsidR="00252869" w:rsidRPr="001B4EC1" w:rsidRDefault="00252869">
      <w:pPr>
        <w:pStyle w:val="Normaltindrag"/>
      </w:pPr>
      <w:r w:rsidRPr="001B4EC1">
        <w:t>Som svar på frågan hur regeringen motiverar fördelningen av utnämningar av ordförande i styrelser för högskolor och universitet, särskilt med avseende på partipolitisk bakgrund, anförs i promemorian att eftersom högskolan har en fundamental roll i samhället som bärare av kunskap och för en ständig u</w:t>
      </w:r>
      <w:r w:rsidRPr="001B4EC1">
        <w:t>t</w:t>
      </w:r>
      <w:r w:rsidRPr="001B4EC1">
        <w:t>veckling av ny kunskap, och därmed inte kan jämföras med någon annan statlig eller privat organisation, är det av vikt att ordförande hämtas från olika delar av samhällslivet: offentliga sektorn, näringslivet, fackliga eller andra organisationer samt personer med eller utan erfarenhet från det politiska livet. Jämställdhetsaspekten betonas också särskilt.</w:t>
      </w:r>
    </w:p>
    <w:p w:rsidR="00252869" w:rsidRPr="001B4EC1" w:rsidRDefault="00252869">
      <w:pPr>
        <w:pStyle w:val="Rubrik5"/>
        <w:rPr>
          <w:noProof w:val="0"/>
        </w:rPr>
      </w:pPr>
      <w:r w:rsidRPr="001B4EC1">
        <w:rPr>
          <w:noProof w:val="0"/>
        </w:rPr>
        <w:t>Promemorian den 23 mars 2004</w:t>
      </w:r>
    </w:p>
    <w:p w:rsidR="00252869" w:rsidRPr="001B4EC1" w:rsidRDefault="00252869">
      <w:r w:rsidRPr="001B4EC1">
        <w:t>Konstitutionsutskottet har i en skrivelse till Regeringskansliet begärt svar på vissa frågor med anledning av granskningsanmälan och ovan nämnda pr</w:t>
      </w:r>
      <w:r w:rsidRPr="001B4EC1">
        <w:t>o</w:t>
      </w:r>
      <w:r w:rsidRPr="001B4EC1">
        <w:t>memoria. Som svar har lämnats en promemoria upprättad i Finansdepart</w:t>
      </w:r>
      <w:r w:rsidRPr="001B4EC1">
        <w:t>e</w:t>
      </w:r>
      <w:r w:rsidRPr="001B4EC1">
        <w:t xml:space="preserve">mentet den 23 mars 2004, </w:t>
      </w:r>
      <w:r w:rsidRPr="001B4EC1">
        <w:rPr>
          <w:i/>
        </w:rPr>
        <w:t>bilaga A3.4.3</w:t>
      </w:r>
      <w:r w:rsidRPr="001B4EC1">
        <w:t>.</w:t>
      </w:r>
    </w:p>
    <w:p w:rsidR="00252869" w:rsidRPr="001B4EC1" w:rsidRDefault="00252869">
      <w:pPr>
        <w:pStyle w:val="Normaltindrag"/>
      </w:pPr>
      <w:r w:rsidRPr="001B4EC1">
        <w:t>Som svar på utskottets begäran om en utförligare redogörelse och mot</w:t>
      </w:r>
      <w:r w:rsidRPr="001B4EC1">
        <w:t>i</w:t>
      </w:r>
      <w:r w:rsidRPr="001B4EC1">
        <w:t>vering för den partipolitiska fördelningen vid de utnämningar av ordförande i styrelser för högskolor och universitet anförs i promemorian bl.a. att erfare</w:t>
      </w:r>
      <w:r w:rsidRPr="001B4EC1">
        <w:t>n</w:t>
      </w:r>
      <w:r w:rsidRPr="001B4EC1">
        <w:t>het av att leda verksamhet inom offentlig förvaltning ges stor betydelse efte</w:t>
      </w:r>
      <w:r w:rsidRPr="001B4EC1">
        <w:t>r</w:t>
      </w:r>
      <w:r w:rsidRPr="001B4EC1">
        <w:t>som universitet och högskolor är statliga verksamheter med ett brett uppdrag. En majoritet av ordförandena är personer som funnits eller finns i ledande positioner i den offentliga förvaltningen som tjänstemän. Dessa personers kompetens och erfarenhet utgör motivet till varför</w:t>
      </w:r>
      <w:r w:rsidRPr="001B4EC1">
        <w:t xml:space="preserve"> de utnämnts till ordförande i styrelser för statliga universitet och högskolor, och enligt promemorian sker det alltså inte någon partipolitisk fördelning vid dessa utnämningar.</w:t>
      </w:r>
    </w:p>
    <w:p w:rsidR="00252869" w:rsidRPr="001B4EC1" w:rsidRDefault="00252869">
      <w:pPr>
        <w:pStyle w:val="Normaltindrag"/>
      </w:pPr>
      <w:r w:rsidRPr="001B4EC1">
        <w:t>På utskottets begäran om en redogörelse för de rättsliga överväganden som ligger till grund för praxis i utnämningsärenden att behandla kravprofiler så att de ej blir allmänna handlingar anförs i promemorian att kravprofilen är en sammanfattning av allmänt tillgänglig information om verksamheten, förest</w:t>
      </w:r>
      <w:r w:rsidRPr="001B4EC1">
        <w:t>å</w:t>
      </w:r>
      <w:r w:rsidRPr="001B4EC1">
        <w:t>ende utvecklingsbehov och ledarskap som ett underlag inför rekryteringsi</w:t>
      </w:r>
      <w:r w:rsidRPr="001B4EC1">
        <w:t>n</w:t>
      </w:r>
      <w:r w:rsidRPr="001B4EC1">
        <w:t>tervjuer och meritvärdering. Den har alltså kommit till endast för ärendets beredning. Den tillför inte nya sakuppgifter i ärendet och utgör således en minnesanteckning i den mening som avses i 2 kap. 9 § tryckfrihetsföror</w:t>
      </w:r>
      <w:r w:rsidRPr="001B4EC1">
        <w:t>d</w:t>
      </w:r>
      <w:r w:rsidRPr="001B4EC1">
        <w:t>ningen. För att en sådan minnesanteckning skall bli att anse som allmän handling skall den tas om hand för arkivering, och det anförs i promemorian att det inte finns någon skyldighet att arkivera minnesanteckningar</w:t>
      </w:r>
      <w:r w:rsidRPr="001B4EC1">
        <w:t>.</w:t>
      </w:r>
    </w:p>
    <w:p w:rsidR="00252869" w:rsidRPr="001B4EC1" w:rsidRDefault="00252869">
      <w:pPr>
        <w:pStyle w:val="Rubrik4"/>
        <w:rPr>
          <w:noProof w:val="0"/>
        </w:rPr>
      </w:pPr>
      <w:bookmarkStart w:id="111" w:name="_Toc72648542"/>
      <w:r w:rsidRPr="001B4EC1">
        <w:rPr>
          <w:noProof w:val="0"/>
        </w:rPr>
        <w:t>Utfrågning med statsminister Göran Persson</w:t>
      </w:r>
      <w:bookmarkEnd w:id="111"/>
    </w:p>
    <w:p w:rsidR="00252869" w:rsidRPr="001B4EC1" w:rsidRDefault="00252869">
      <w:r w:rsidRPr="001B4EC1">
        <w:t xml:space="preserve">Vid den utfrågning som konstitutionsutskottet höll med statsminister Göran Persson den 20 april 2004 berördes även detta ärende, </w:t>
      </w:r>
      <w:r w:rsidRPr="001B4EC1">
        <w:rPr>
          <w:i/>
        </w:rPr>
        <w:t>bilaga B10</w:t>
      </w:r>
      <w:r w:rsidRPr="001B4EC1">
        <w:t>. Statsm</w:t>
      </w:r>
      <w:r w:rsidRPr="001B4EC1">
        <w:t>i</w:t>
      </w:r>
      <w:r w:rsidRPr="001B4EC1">
        <w:t>nistern uppgav då bl.a. följande.</w:t>
      </w:r>
    </w:p>
    <w:p w:rsidR="00252869" w:rsidRPr="001B4EC1" w:rsidRDefault="00252869">
      <w:pPr>
        <w:pStyle w:val="Normaltindrag"/>
      </w:pPr>
      <w:r w:rsidRPr="001B4EC1">
        <w:t>Tillsättningar av statliga chefer bygger på kriterierna förtjänst och skic</w:t>
      </w:r>
      <w:r w:rsidRPr="001B4EC1">
        <w:t>k</w:t>
      </w:r>
      <w:r w:rsidRPr="001B4EC1">
        <w:t>lighet. Så har det varit och så kommer det att vara. Den huvudsakliga fö</w:t>
      </w:r>
      <w:r w:rsidRPr="001B4EC1">
        <w:t>r</w:t>
      </w:r>
      <w:r w:rsidRPr="001B4EC1">
        <w:t>klaringen till att en del av dem som utses har socialdemokratisk bakgrund är att Socialdemokraterna har innehaft regeringsmakten under lång tid och dä</w:t>
      </w:r>
      <w:r w:rsidRPr="001B4EC1">
        <w:t>r</w:t>
      </w:r>
      <w:r w:rsidRPr="001B4EC1">
        <w:t>vid har fostrat väldigt många duktiga chefer – statssekreterare – i statsapp</w:t>
      </w:r>
      <w:r w:rsidRPr="001B4EC1">
        <w:t>a</w:t>
      </w:r>
      <w:r w:rsidRPr="001B4EC1">
        <w:t>raten. Statssekreterarna har en politisk förankring, men de har också chefskap för en stor organisation. Vidare är det sedan tidigare känt att det för vissa partier har varit mer naturligt att söka sig till off</w:t>
      </w:r>
      <w:r w:rsidRPr="001B4EC1">
        <w:t>entlig verksamhet, som dä</w:t>
      </w:r>
      <w:r w:rsidRPr="001B4EC1">
        <w:t>r</w:t>
      </w:r>
      <w:r w:rsidRPr="001B4EC1">
        <w:t>med dragit till sig begåvningarna. I andra partier har många av dem som varit framträdande sökt sig till näringsl</w:t>
      </w:r>
      <w:r w:rsidRPr="001B4EC1">
        <w:t>i</w:t>
      </w:r>
      <w:r w:rsidRPr="001B4EC1">
        <w:t>vet.</w:t>
      </w:r>
    </w:p>
    <w:p w:rsidR="00252869" w:rsidRPr="001B4EC1" w:rsidRDefault="00252869">
      <w:pPr>
        <w:pStyle w:val="Normaltindrag"/>
      </w:pPr>
      <w:r w:rsidRPr="001B4EC1">
        <w:t>De chefer som har kommit in med en politisk bakgrund kan inte sägas ha gjort ett sämre arbete än andra. Ofta är det till och med så att ha gått en pol</w:t>
      </w:r>
      <w:r w:rsidRPr="001B4EC1">
        <w:t>i</w:t>
      </w:r>
      <w:r w:rsidRPr="001B4EC1">
        <w:t>tisk väg har varit att utöva ett ledarskap som är ohyggligt påfrestande, där man gång efter annan kommer upp till granskning, offentligt och internt, gång efter annan skall upp till omval och prövning, gång efter annan skall visa att man kan hävda sig i konkurrens med andra. Det gör att förmågan att komm</w:t>
      </w:r>
      <w:r w:rsidRPr="001B4EC1">
        <w:t>u</w:t>
      </w:r>
      <w:r w:rsidRPr="001B4EC1">
        <w:t>nicera, delegera, leda, ta initiativ, förstå sin samtid och allt sådant som är viktigt för goda chefer faktiskt finns väl representerat hos de politiker som förmår att skapa ett sådant läge att de väljs om</w:t>
      </w:r>
      <w:r w:rsidRPr="001B4EC1">
        <w:t>. Det kan vara politiker av olika färg.</w:t>
      </w:r>
    </w:p>
    <w:p w:rsidR="00252869" w:rsidRPr="001B4EC1" w:rsidRDefault="00252869">
      <w:pPr>
        <w:pStyle w:val="Normaltindrag"/>
      </w:pPr>
      <w:r w:rsidRPr="001B4EC1">
        <w:t>Vänsterpartiet, Kristdemokraterna och Miljöpartiet har haft det sämsta u</w:t>
      </w:r>
      <w:r w:rsidRPr="001B4EC1">
        <w:t>t</w:t>
      </w:r>
      <w:r w:rsidRPr="001B4EC1">
        <w:t>fallet i fråga om utnämningar av myndighetschefer. Regeringen har under senare år uppmärksammat detta i samtal med partiledninga</w:t>
      </w:r>
      <w:r w:rsidRPr="001B4EC1">
        <w:t>r</w:t>
      </w:r>
      <w:r w:rsidRPr="001B4EC1">
        <w:t xml:space="preserve">na. </w:t>
      </w:r>
    </w:p>
    <w:p w:rsidR="00252869" w:rsidRPr="001B4EC1" w:rsidRDefault="00252869">
      <w:pPr>
        <w:pStyle w:val="Normaltindrag"/>
      </w:pPr>
      <w:r w:rsidRPr="001B4EC1">
        <w:t>På ett område finns det i sammanhanget en informell uppgörelse partierna emellan som statsministern har i åtanke, och det är utnämningen av landshö</w:t>
      </w:r>
      <w:r w:rsidRPr="001B4EC1">
        <w:t>v</w:t>
      </w:r>
      <w:r w:rsidRPr="001B4EC1">
        <w:t>dingar. Vänsterpartiet har bara en landshövding, medan däremot partier som är mindre än Vänsterpartiet har flera landshövdingar. Miljöpartiet och Kris</w:t>
      </w:r>
      <w:r w:rsidRPr="001B4EC1">
        <w:t>t</w:t>
      </w:r>
      <w:r w:rsidRPr="001B4EC1">
        <w:t>demokraterna har ingen. Där finns det alltså anledning att vara lite observant. I övrigt är det på det viset att regeringen söker dem som är bäst och som är tillgängl</w:t>
      </w:r>
      <w:r w:rsidRPr="001B4EC1">
        <w:t>i</w:t>
      </w:r>
      <w:r w:rsidRPr="001B4EC1">
        <w:t>ga.</w:t>
      </w:r>
    </w:p>
    <w:p w:rsidR="00252869" w:rsidRPr="001B4EC1" w:rsidRDefault="00252869">
      <w:pPr>
        <w:pStyle w:val="Normaltindrag"/>
      </w:pPr>
      <w:r w:rsidRPr="001B4EC1">
        <w:t>För styrelser och styrelseuppdrag är det viktigt att hitta en allsidig sa</w:t>
      </w:r>
      <w:r w:rsidRPr="001B4EC1">
        <w:t>m</w:t>
      </w:r>
      <w:r w:rsidRPr="001B4EC1">
        <w:t>mansättning. Regeringen söker hela tiden efter bra människor som är beredda att ta på sig uppdraget och som kan företräda allmänintresset på ett trovärdigt sätt i relation till sin högskola.</w:t>
      </w:r>
    </w:p>
    <w:p w:rsidR="00252869" w:rsidRPr="001B4EC1" w:rsidRDefault="00252869">
      <w:pPr>
        <w:pStyle w:val="Normaltindrag"/>
      </w:pPr>
      <w:r w:rsidRPr="001B4EC1">
        <w:t>Regeringen har inte så mycket sneglat på den partipolitiska sammansät</w:t>
      </w:r>
      <w:r w:rsidRPr="001B4EC1">
        <w:t>t</w:t>
      </w:r>
      <w:r w:rsidRPr="001B4EC1">
        <w:t>ningen, men det finns anledning att när goda förslag på kandidater förs fram ta till vara också dem som finns från den borgerliga kanten. Det är regerin</w:t>
      </w:r>
      <w:r w:rsidRPr="001B4EC1">
        <w:t>g</w:t>
      </w:r>
      <w:r w:rsidRPr="001B4EC1">
        <w:t>ens ambition. Vad gäller balansen mellan styrelseordförande vid högskolor och universitet är det klart att relationen mellan borgerliga och socialdem</w:t>
      </w:r>
      <w:r w:rsidRPr="001B4EC1">
        <w:t>o</w:t>
      </w:r>
      <w:r w:rsidRPr="001B4EC1">
        <w:t>krater kan bli bättre och regeringen jobbar successivt med att få en alltmer repr</w:t>
      </w:r>
      <w:r w:rsidRPr="001B4EC1">
        <w:t>e</w:t>
      </w:r>
      <w:r w:rsidRPr="001B4EC1">
        <w:t>sentativ sammansättning.</w:t>
      </w:r>
    </w:p>
    <w:p w:rsidR="00252869" w:rsidRPr="001B4EC1" w:rsidRDefault="00252869">
      <w:pPr>
        <w:pStyle w:val="Normaltindrag"/>
      </w:pPr>
      <w:r w:rsidRPr="001B4EC1">
        <w:t xml:space="preserve">Regeringen gör bedömningen mot bakgrund av tryckfrihetsförordningens formulering att de kravprofiler </w:t>
      </w:r>
      <w:r w:rsidRPr="001B4EC1">
        <w:t>som tas fram inför beredningen av anstäl</w:t>
      </w:r>
      <w:r w:rsidRPr="001B4EC1">
        <w:t>l</w:t>
      </w:r>
      <w:r w:rsidRPr="001B4EC1">
        <w:t>ningsärenden inte tillför någonting i sak som tidigare inte är känt, och därmed har man valt att inte föra dem till akten. När kravprofilerna väl är använda för att rekrytera en chef läggs de åt sidan, liksom allt annat arbetsmaterial i den processen.</w:t>
      </w:r>
    </w:p>
    <w:p w:rsidR="00252869" w:rsidRPr="001B4EC1" w:rsidRDefault="00252869">
      <w:pPr>
        <w:pStyle w:val="Rubrik3"/>
        <w:rPr>
          <w:b w:val="0"/>
          <w:i/>
          <w:noProof w:val="0"/>
        </w:rPr>
      </w:pPr>
      <w:bookmarkStart w:id="112" w:name="_Toc72648543"/>
      <w:r w:rsidRPr="001B4EC1">
        <w:rPr>
          <w:noProof w:val="0"/>
        </w:rPr>
        <w:t>Utskottets ställningstagande</w:t>
      </w:r>
      <w:bookmarkEnd w:id="112"/>
    </w:p>
    <w:p w:rsidR="00252869" w:rsidRPr="001B4EC1" w:rsidRDefault="00252869">
      <w:pPr>
        <w:pBdr>
          <w:right w:val="single" w:sz="4" w:space="4" w:color="FFFFFF"/>
        </w:pBdr>
      </w:pPr>
      <w:r w:rsidRPr="001B4EC1">
        <w:t>Vid tillsättning av statlig tjänst skall, enligt 11 kap. 9 § regeringsformen, avseende fästas endast vid sakliga grunder såsom förtjänst och skicklighet.</w:t>
      </w:r>
    </w:p>
    <w:p w:rsidR="00252869" w:rsidRPr="001B4EC1" w:rsidRDefault="00252869">
      <w:pPr>
        <w:pStyle w:val="Normaltindrag"/>
      </w:pPr>
      <w:r w:rsidRPr="001B4EC1">
        <w:t>Regeringens utövande av utnämningsmakten har varit föremål för konst</w:t>
      </w:r>
      <w:r w:rsidRPr="001B4EC1">
        <w:t>i</w:t>
      </w:r>
      <w:r w:rsidRPr="001B4EC1">
        <w:t>tutionsutskottets granskning vid flera tillfällen, senast hösten 2003 (2003/04:</w:t>
      </w:r>
      <w:r w:rsidRPr="001B4EC1">
        <w:br/>
        <w:t>KU10). Utskottet gjorde då, liksom tidigare, bedömningen att den omständi</w:t>
      </w:r>
      <w:r w:rsidRPr="001B4EC1">
        <w:t>g</w:t>
      </w:r>
      <w:r w:rsidRPr="001B4EC1">
        <w:t>heten att en person har en politisk bakgrund inte skall vara diskvalificerande vid tillsättningen, så länge endast sakliga grunder som förtjänst och skickli</w:t>
      </w:r>
      <w:r w:rsidRPr="001B4EC1">
        <w:t>g</w:t>
      </w:r>
      <w:r w:rsidRPr="001B4EC1">
        <w:t>het tillämpas vid tillsättningen. Utskottet menade att politisk erfarenhet tvär</w:t>
      </w:r>
      <w:r w:rsidRPr="001B4EC1">
        <w:t>t</w:t>
      </w:r>
      <w:r w:rsidRPr="001B4EC1">
        <w:t xml:space="preserve">om ibland kan vara värdefull för den som skall leda en offentlig verksamhet. Något ytterligare uttalande från utskottet </w:t>
      </w:r>
      <w:r w:rsidRPr="001B4EC1">
        <w:t>föranledde granskningen inte i detta avs</w:t>
      </w:r>
      <w:r w:rsidRPr="001B4EC1">
        <w:t>e</w:t>
      </w:r>
      <w:r w:rsidRPr="001B4EC1">
        <w:t>ende.</w:t>
      </w:r>
    </w:p>
    <w:p w:rsidR="00252869" w:rsidRPr="001B4EC1" w:rsidRDefault="00252869">
      <w:pPr>
        <w:pStyle w:val="Normaltindrag"/>
      </w:pPr>
      <w:r w:rsidRPr="001B4EC1">
        <w:t>Enligt vår mening visar inte den undersökning av utnämningarna som u</w:t>
      </w:r>
      <w:r w:rsidRPr="001B4EC1">
        <w:t>t</w:t>
      </w:r>
      <w:r w:rsidRPr="001B4EC1">
        <w:t>skottet genomförde i samband med granskningen hösten 2003 någon tendens till politisk överkantring.</w:t>
      </w:r>
    </w:p>
    <w:p w:rsidR="00252869" w:rsidRPr="001B4EC1" w:rsidRDefault="00252869">
      <w:pPr>
        <w:pStyle w:val="Normaltindrag"/>
      </w:pPr>
      <w:r w:rsidRPr="001B4EC1">
        <w:t>Vad som framkommit i denna granskning ger enligt utskottets mening inte grund för någon annan bedömning än att regeringen har utövat utnämning</w:t>
      </w:r>
      <w:r w:rsidRPr="001B4EC1">
        <w:t>s</w:t>
      </w:r>
      <w:r w:rsidRPr="001B4EC1">
        <w:t>makten i enlighet med gällande bestämmelser. Utskottet vidhåller sin tidigare bedömning avseende politisk bakgrund vid tillsättning av högre statliga tjänster.</w:t>
      </w:r>
    </w:p>
    <w:p w:rsidR="00252869" w:rsidRPr="001B4EC1" w:rsidRDefault="00252869">
      <w:pPr>
        <w:pStyle w:val="Rubrik2"/>
      </w:pPr>
      <w:bookmarkStart w:id="113" w:name="_Toc72648544"/>
      <w:r w:rsidRPr="001B4EC1">
        <w:t>3.5 Statens åtagande i fråga om Drottningholm enligt konventionen om världsarvet</w:t>
      </w:r>
      <w:bookmarkEnd w:id="113"/>
    </w:p>
    <w:p w:rsidR="00252869" w:rsidRPr="001B4EC1" w:rsidRDefault="00252869">
      <w:pPr>
        <w:pStyle w:val="Rubrik3"/>
        <w:spacing w:before="235"/>
        <w:rPr>
          <w:noProof w:val="0"/>
        </w:rPr>
      </w:pPr>
      <w:bookmarkStart w:id="114" w:name="_Toc72648545"/>
      <w:r w:rsidRPr="001B4EC1">
        <w:rPr>
          <w:noProof w:val="0"/>
        </w:rPr>
        <w:t>Anmälan</w:t>
      </w:r>
      <w:bookmarkEnd w:id="114"/>
    </w:p>
    <w:p w:rsidR="00252869" w:rsidRPr="001B4EC1" w:rsidRDefault="00252869">
      <w:r w:rsidRPr="001B4EC1">
        <w:t xml:space="preserve">I en granskningsanmälan, </w:t>
      </w:r>
      <w:r w:rsidRPr="001B4EC1">
        <w:rPr>
          <w:i/>
        </w:rPr>
        <w:t>bilaga A3.5.1,</w:t>
      </w:r>
      <w:r w:rsidRPr="001B4EC1">
        <w:t xml:space="preserve"> har begärts att konstitutionsutskottet undersöker varför Kulturdepartementet länge försummat sina förpliktelser gentemot Drottningholms kulturarv. Den obegripligt låga finansieringen av verksamheten på Sveriges teatermuseum och Drottningholms slottsteater leder enligt anmälan till stora förluster för Sverige och världen, och kulturm</w:t>
      </w:r>
      <w:r w:rsidRPr="001B4EC1">
        <w:t>i</w:t>
      </w:r>
      <w:r w:rsidRPr="001B4EC1">
        <w:t>nisterns ovilja att i detta sammanhang respektera världsarvskonventionens pri</w:t>
      </w:r>
      <w:r w:rsidRPr="001B4EC1">
        <w:t>n</w:t>
      </w:r>
      <w:r w:rsidRPr="001B4EC1">
        <w:t>ciper bör därför granskas.</w:t>
      </w:r>
    </w:p>
    <w:p w:rsidR="00252869" w:rsidRPr="001B4EC1" w:rsidRDefault="00252869">
      <w:pPr>
        <w:pStyle w:val="R3"/>
      </w:pPr>
      <w:r w:rsidRPr="001B4EC1">
        <w:t>Unescos världsarvskonvention</w:t>
      </w:r>
    </w:p>
    <w:p w:rsidR="00252869" w:rsidRPr="001B4EC1" w:rsidRDefault="00252869">
      <w:r w:rsidRPr="001B4EC1">
        <w:t>Unescos konvention om skydd för världens kultur- och naturarv antogs 1972. Sverige ratificerade konventionen 1985. Regeringen lämnade våren 2002 i skrivelsen Unescos världsarvskonvention och de svenska världsarvsobjekten (skr. 2001/02:171) en beskrivning av konventionen och dess tillämpning inom Unesco och i Sverige. Regeringen ansåg att nuvarande regelverk och organ</w:t>
      </w:r>
      <w:r w:rsidRPr="001B4EC1">
        <w:t>i</w:t>
      </w:r>
      <w:r w:rsidRPr="001B4EC1">
        <w:t xml:space="preserve">sation för skydd och stöd till de svenska världsarven är tillfredsställande samt att Sverige i framtiden bör vara restriktivt med att nominera nya världsarv. </w:t>
      </w:r>
    </w:p>
    <w:p w:rsidR="00252869" w:rsidRPr="001B4EC1" w:rsidRDefault="00252869">
      <w:pPr>
        <w:pStyle w:val="Normaltindrag"/>
      </w:pPr>
      <w:r w:rsidRPr="001B4EC1">
        <w:t>För att skydda jordens mest värdefulla kultur- och naturmiljöer mot först</w:t>
      </w:r>
      <w:r w:rsidRPr="001B4EC1">
        <w:t>ö</w:t>
      </w:r>
      <w:r w:rsidRPr="001B4EC1">
        <w:t>relse och förfall antogs världsarvskonventionen vid Unescos generalkonferens 1972. Konventionen har undertecknats av 167 stater, vilka alla därmed har förbundit sig att uppfylla dess krav och förpliktelser. Konventionen omfattar totalt 38 artiklar. I konventionens inledande artiklar definieras begreppen kultur- och naturarv (artikel 1–3). Genom att underteckna konventionen fö</w:t>
      </w:r>
      <w:r w:rsidRPr="001B4EC1">
        <w:t>r</w:t>
      </w:r>
      <w:r w:rsidRPr="001B4EC1">
        <w:t>binder sig varje land inte bara att vårda världsarvsområden på eget territorium utan också att vårda och skydda sitt övriga nationel</w:t>
      </w:r>
      <w:r w:rsidRPr="001B4EC1">
        <w:t>la arv. Konventionen kräver att anslutna nationer har en lämplig organisation och adekvat lagstif</w:t>
      </w:r>
      <w:r w:rsidRPr="001B4EC1">
        <w:t>t</w:t>
      </w:r>
      <w:r w:rsidRPr="001B4EC1">
        <w:t>ning för att kunna skydda och vårda sina världsarvsområden. Enligt konve</w:t>
      </w:r>
      <w:r w:rsidRPr="001B4EC1">
        <w:t>n</w:t>
      </w:r>
      <w:r w:rsidRPr="001B4EC1">
        <w:t>tionen skall det finnas en mellanstatlig kommitté – Världsarvskommittén – inom Unesco (artikel 8–10). Kommittén skall upprätta en lista över den del av kultur- och naturarvet som den anser ha särskilt stort universellt värde enligt av kommittén fastställda kriterier, den s.k. världsarvslistan (artikel 11). Ko</w:t>
      </w:r>
      <w:r w:rsidRPr="001B4EC1">
        <w:t>n</w:t>
      </w:r>
      <w:r w:rsidRPr="001B4EC1">
        <w:t>ventionen definierar de natur-</w:t>
      </w:r>
      <w:r w:rsidRPr="001B4EC1">
        <w:t xml:space="preserve"> och kulturobjekt som kan övervägas för i</w:t>
      </w:r>
      <w:r w:rsidRPr="001B4EC1">
        <w:t>n</w:t>
      </w:r>
      <w:r w:rsidRPr="001B4EC1">
        <w:t>skrivning på världsarvslistan och redovisar anslutna länders skyldigheter att identifiera potentiella objekt och deras ansvar att skydda och vårda dem. Världsarvsfonden administreras av Världsarvskommittén på sätt som närmare anges i konventionen och de operationella riktlinjerna. Konventionen anger vidare hur fonden skall användas och administreras och vid vilka tillfällen internationellt finansiellt stöd kan ges (artikel 15–18). En stat som är ansluten till konven</w:t>
      </w:r>
      <w:r w:rsidRPr="001B4EC1">
        <w:t>tionen kan ansöka om internationellt bistånd för kultur- och natu</w:t>
      </w:r>
      <w:r w:rsidRPr="001B4EC1">
        <w:t>r</w:t>
      </w:r>
      <w:r w:rsidRPr="001B4EC1">
        <w:t>värden inom dess territorium som utgör en del av det kultur- eller naturarv som är av särskilt stort universellt värde. I konventionens artiklar 19–26 r</w:t>
      </w:r>
      <w:r w:rsidRPr="001B4EC1">
        <w:t>e</w:t>
      </w:r>
      <w:r w:rsidRPr="001B4EC1">
        <w:t>gleras villkoren för internationellt bistånd. Genom utbildnings- och inform</w:t>
      </w:r>
      <w:r w:rsidRPr="001B4EC1">
        <w:t>a</w:t>
      </w:r>
      <w:r w:rsidRPr="001B4EC1">
        <w:t>tionsprogram skall konventionsstaterna öka allmänhetens uppskattning och respekt för kultur- och naturarvet. Staterna skall hålla allmänheten underrättad om de faror som hotar detta arv och om den verksamhet som bedri</w:t>
      </w:r>
      <w:r w:rsidRPr="001B4EC1">
        <w:t>vs enligt konventionen. Vidare ges i detta hänseende särskilda föreskrifter för konve</w:t>
      </w:r>
      <w:r w:rsidRPr="001B4EC1">
        <w:t>n</w:t>
      </w:r>
      <w:r w:rsidRPr="001B4EC1">
        <w:t>tionsstater som tar emot internationellt bistånd (artikel 27 och 28). Konve</w:t>
      </w:r>
      <w:r w:rsidRPr="001B4EC1">
        <w:t>n</w:t>
      </w:r>
      <w:r w:rsidRPr="001B4EC1">
        <w:t>tionsstaterna är skyldiga att lämna återkommande rapporter om hur de tillä</w:t>
      </w:r>
      <w:r w:rsidRPr="001B4EC1">
        <w:t>m</w:t>
      </w:r>
      <w:r w:rsidRPr="001B4EC1">
        <w:t xml:space="preserve">par konventionen (artikel 29). De länder som undertecknat konventionen skall göra återkommande redovisningar till Unesco om hur dessa skyldigheter fullgörs. </w:t>
      </w:r>
    </w:p>
    <w:p w:rsidR="00252869" w:rsidRPr="001B4EC1" w:rsidRDefault="00252869">
      <w:pPr>
        <w:pStyle w:val="Normaltindrag"/>
      </w:pPr>
      <w:r w:rsidRPr="001B4EC1">
        <w:t xml:space="preserve">Vården av världsarvsområdena är enligt skrivelsen en ständigt pågående process. Ett objekt på världsarvslistan skall </w:t>
      </w:r>
      <w:r w:rsidRPr="001B4EC1">
        <w:t>vårdas, förvaltas och brukas på ett sådant sätt att de kvaliteter som en gång gjorde objektet till ett värdigt värld</w:t>
      </w:r>
      <w:r w:rsidRPr="001B4EC1">
        <w:t>s</w:t>
      </w:r>
      <w:r w:rsidRPr="001B4EC1">
        <w:t>arv finns kvar.</w:t>
      </w:r>
    </w:p>
    <w:p w:rsidR="00252869" w:rsidRPr="001B4EC1" w:rsidRDefault="00252869">
      <w:pPr>
        <w:pStyle w:val="Normaltindrag"/>
      </w:pPr>
      <w:r w:rsidRPr="001B4EC1">
        <w:t>Allmänheten, icke-statliga organisationer eller andra grupper kan anmäla eventuella hot mot ett världsarvsobjekt till Världsarvskommittén. Om anm</w:t>
      </w:r>
      <w:r w:rsidRPr="001B4EC1">
        <w:t>ä</w:t>
      </w:r>
      <w:r w:rsidRPr="001B4EC1">
        <w:t xml:space="preserve">lan är berättigad och problemen är allvarliga kan objektet, efter undersökning av Unesco eller dess rådgivande organ, placeras på en särskild lista över </w:t>
      </w:r>
      <w:r w:rsidRPr="001B4EC1">
        <w:rPr>
          <w:i/>
        </w:rPr>
        <w:t>Världsarv i fara (World Heritage in Danger List)</w:t>
      </w:r>
      <w:r w:rsidRPr="001B4EC1">
        <w:t>. Listans huvuduppgift är att uppmärksamma världssamfundet på naturliga eller av människan skapade situationer som hotar de värden som en gång motiverade en inskrivning på världsarvslistan. Det är vanligen en mycket effektiv påtryckning på ett land som inte skött sina åligganden. De vanligaste skälen till att</w:t>
      </w:r>
      <w:r w:rsidRPr="001B4EC1">
        <w:t xml:space="preserve"> ett område plac</w:t>
      </w:r>
      <w:r w:rsidRPr="001B4EC1">
        <w:t>e</w:t>
      </w:r>
      <w:r w:rsidRPr="001B4EC1">
        <w:t>ras på listan över Världsarv i fara är krig, miljöhot, exploateringstryck och naturkatastrofer. Hotade objekt på listan är normalt berättigade till särskilt stöd och räddningsaktioner.</w:t>
      </w:r>
    </w:p>
    <w:p w:rsidR="00252869" w:rsidRPr="001B4EC1" w:rsidRDefault="00252869">
      <w:pPr>
        <w:pStyle w:val="R3"/>
      </w:pPr>
      <w:r w:rsidRPr="001B4EC1">
        <w:t>Drottningholm och Stiftelsen Drottningholms teatermuseum</w:t>
      </w:r>
    </w:p>
    <w:p w:rsidR="00252869" w:rsidRPr="001B4EC1" w:rsidRDefault="00252869">
      <w:r w:rsidRPr="001B4EC1">
        <w:t xml:space="preserve">År 1991 blev Drottningholm upptaget på Unescos världsarvslista över platser av omistligt värde för mänskligheten. </w:t>
      </w:r>
    </w:p>
    <w:p w:rsidR="00252869" w:rsidRPr="001B4EC1" w:rsidRDefault="00252869">
      <w:pPr>
        <w:pStyle w:val="Normaltindrag"/>
      </w:pPr>
      <w:r w:rsidRPr="001B4EC1">
        <w:t xml:space="preserve">Världsarvskommitténs motivering var: </w:t>
      </w:r>
    </w:p>
    <w:p w:rsidR="00252869" w:rsidRPr="001B4EC1" w:rsidRDefault="00252869">
      <w:r w:rsidRPr="001B4EC1">
        <w:t>”Drottningholms Slottsområde – med slott, teater, Kina Slott och slottsparken – är det bäst bevarande exemplet på ett kungligt slott uppfört på 1700-talet i Sverige och som samtidigt är representativt för all europeisk kunglig arkite</w:t>
      </w:r>
      <w:r w:rsidRPr="001B4EC1">
        <w:t>k</w:t>
      </w:r>
      <w:r w:rsidRPr="001B4EC1">
        <w:t>tur från denna tid, uppförd med Versailles som förebild och inspirationskä</w:t>
      </w:r>
      <w:r w:rsidRPr="001B4EC1">
        <w:t>l</w:t>
      </w:r>
      <w:r w:rsidRPr="001B4EC1">
        <w:t xml:space="preserve">la.” </w:t>
      </w:r>
    </w:p>
    <w:p w:rsidR="00252869" w:rsidRPr="001B4EC1" w:rsidRDefault="00252869">
      <w:pPr>
        <w:pStyle w:val="Normaltindrag"/>
      </w:pPr>
      <w:r w:rsidRPr="001B4EC1">
        <w:t>Sveriges teatermuseum förvaltas av Stiftelsen Drottningholms teatermus</w:t>
      </w:r>
      <w:r w:rsidRPr="001B4EC1">
        <w:t>e</w:t>
      </w:r>
      <w:r w:rsidRPr="001B4EC1">
        <w:t>um. Stiftelsen har två verksamhetsområden, musei-, biblioteks- och arki</w:t>
      </w:r>
      <w:r w:rsidRPr="001B4EC1">
        <w:t>v</w:t>
      </w:r>
      <w:r w:rsidRPr="001B4EC1">
        <w:t>verksamhet (Sveriges teatermuseum) samt föreställningsverksamhet vid Drottningholms slottsteater, vilka var för sig bedrivs självständigt under sti</w:t>
      </w:r>
      <w:r w:rsidRPr="001B4EC1">
        <w:t>f</w:t>
      </w:r>
      <w:r w:rsidRPr="001B4EC1">
        <w:t xml:space="preserve">telsens nämnd. </w:t>
      </w:r>
    </w:p>
    <w:p w:rsidR="00252869" w:rsidRPr="001B4EC1" w:rsidRDefault="00252869">
      <w:pPr>
        <w:pStyle w:val="Normaltindrag"/>
      </w:pPr>
      <w:r w:rsidRPr="001B4EC1">
        <w:t>Drottningholms teatermuseum grundades 1922 av teaterforskaren Agne Beijer (1888–1975) och är sedan 1945 en stiftelse med statsbidrag. Stiftelsens uppdrag är att vidga kännedomen om teaterkonstens historia, med särskild hänsyn till teaterkonsten i Sverige under äldre och nyar</w:t>
      </w:r>
      <w:r w:rsidRPr="001B4EC1">
        <w:t>e tid, samt för detta ändamål verka för dels att museets samlingar av föremål, bilder, arkivaliska dokument och litteratur, ägnade att historiskt belysa denna konst, förkovras, dels att i den omfattning som av Riksantikvarieämbetet kan godkännas och med H.M. Konungens medgivande anordna teaterföreställningar, konserter eller liknande arrangemang på slottsteatern.</w:t>
      </w:r>
    </w:p>
    <w:p w:rsidR="00252869" w:rsidRPr="001B4EC1" w:rsidRDefault="00252869">
      <w:pPr>
        <w:pStyle w:val="Normaltindrag"/>
      </w:pPr>
      <w:r w:rsidRPr="001B4EC1">
        <w:t>Stiftelsen består av dels Drottningholms slottsteater med till densamma h</w:t>
      </w:r>
      <w:r w:rsidRPr="001B4EC1">
        <w:t>ö</w:t>
      </w:r>
      <w:r w:rsidRPr="001B4EC1">
        <w:t>rande inredning, inklusive scenmaskineri, dels dekorationer, föremålssa</w:t>
      </w:r>
      <w:r w:rsidRPr="001B4EC1">
        <w:t>m</w:t>
      </w:r>
      <w:r w:rsidRPr="001B4EC1">
        <w:t>lingar, bibliotek och arkiv och dels all annan egendom, av vad slag det vara må, som mottagits för att tillhöra museet eller dess fonder. Statens fastighet</w:t>
      </w:r>
      <w:r w:rsidRPr="001B4EC1">
        <w:t>s</w:t>
      </w:r>
      <w:r w:rsidRPr="001B4EC1">
        <w:t>verk underhåller och vidmakthåller oförändrad status på slottsteatern.</w:t>
      </w:r>
    </w:p>
    <w:p w:rsidR="00252869" w:rsidRPr="001B4EC1" w:rsidRDefault="00252869">
      <w:pPr>
        <w:pStyle w:val="R3"/>
      </w:pPr>
      <w:r w:rsidRPr="001B4EC1">
        <w:t>Skyddet enligt världsarvskonventionen</w:t>
      </w:r>
    </w:p>
    <w:p w:rsidR="00252869" w:rsidRPr="001B4EC1" w:rsidRDefault="00252869">
      <w:pPr>
        <w:pStyle w:val="R4"/>
      </w:pPr>
      <w:r w:rsidRPr="001B4EC1">
        <w:t>Omfattningen</w:t>
      </w:r>
    </w:p>
    <w:p w:rsidR="00252869" w:rsidRPr="001B4EC1" w:rsidRDefault="00252869">
      <w:r w:rsidRPr="001B4EC1">
        <w:t>Svenska Unescorådet har gett ut skriften Konvention om skydd för världens kultur- och naturarv (nr 2/2002). I inledningen framhålls att de länder som undertecknar konventionen erkänner att skyldigheten att säkerställa identifi</w:t>
      </w:r>
      <w:r w:rsidRPr="001B4EC1">
        <w:t>e</w:t>
      </w:r>
      <w:r w:rsidRPr="001B4EC1">
        <w:t>ring, skydd, bevarande, levandegörande och överlämnande till kommande generationer av det kultur- och naturarv som avses i artiklarna 1 och 2 och som befinner sig på dess territorium främst tillkommer denna stat (artikel 4) som skall anta en allmän politik som syftar till att ge kultur- och naturarvet en funktion i samhällslivet (artikel 5 a) och upprätta en eller flera organ inom sitt territorium, för skydd, bevarande och levandegörande av kultur- och natura</w:t>
      </w:r>
      <w:r w:rsidRPr="001B4EC1">
        <w:t>r</w:t>
      </w:r>
      <w:r w:rsidRPr="001B4EC1">
        <w:t>vet (artikel 5 b).</w:t>
      </w:r>
    </w:p>
    <w:p w:rsidR="00252869" w:rsidRPr="001B4EC1" w:rsidRDefault="00252869">
      <w:pPr>
        <w:pStyle w:val="Normaltindrag"/>
      </w:pPr>
      <w:r w:rsidRPr="001B4EC1">
        <w:t>Enligt Unescorådets skrift h</w:t>
      </w:r>
      <w:r w:rsidRPr="001B4EC1">
        <w:t>ar det en alldeles speciell betydelse att ett o</w:t>
      </w:r>
      <w:r w:rsidRPr="001B4EC1">
        <w:t>b</w:t>
      </w:r>
      <w:r w:rsidRPr="001B4EC1">
        <w:t>jekt förs upp på listan eftersom det innebär att objektet med hänsyn till dess särskilt stora universella och gränsöverskridande värde erbjuds hela mäns</w:t>
      </w:r>
      <w:r w:rsidRPr="001B4EC1">
        <w:t>k</w:t>
      </w:r>
      <w:r w:rsidRPr="001B4EC1">
        <w:t>ligheten och att dess skydd därmed är en internationell angelägenhet.</w:t>
      </w:r>
    </w:p>
    <w:p w:rsidR="00252869" w:rsidRPr="001B4EC1" w:rsidRDefault="00252869">
      <w:pPr>
        <w:pStyle w:val="Normaltindrag"/>
      </w:pPr>
      <w:r w:rsidRPr="001B4EC1">
        <w:t>Ett av syftena med konventionen är att i varje land skapa strukturer, la</w:t>
      </w:r>
      <w:r w:rsidRPr="001B4EC1">
        <w:t>g</w:t>
      </w:r>
      <w:r w:rsidRPr="001B4EC1">
        <w:t>stiftning och ansvariga organ för bevarande av kultur- och naturarv och att fästa uppmärksamheten på  de mest representativa objekten och utveckla ett effektivt internationellt samarbete för att skapa så goda garantier som möjligt för att världens kultur- och naturarv skall kunna skyddas och överlämnas i gott skick till kommande generationer. Konventionen kräver av de länder som ansluter sig att de har en lagstiftning, organisation och utbildning som gara</w:t>
      </w:r>
      <w:r w:rsidRPr="001B4EC1">
        <w:t>n</w:t>
      </w:r>
      <w:r w:rsidRPr="001B4EC1">
        <w:t>terar att kultur- och naturvärdena i det egna lande</w:t>
      </w:r>
      <w:r w:rsidRPr="001B4EC1">
        <w:t>t kan skyddas och vårdas.</w:t>
      </w:r>
    </w:p>
    <w:p w:rsidR="00252869" w:rsidRPr="001B4EC1" w:rsidRDefault="00252869">
      <w:pPr>
        <w:pStyle w:val="Normaltindrag"/>
      </w:pPr>
      <w:r w:rsidRPr="001B4EC1">
        <w:t>I skriften framhålls att det innebär ett stort ansvar att förvalta ett världsarv. I den utfästelse som den svenska regeringen gjort när konventionen unde</w:t>
      </w:r>
      <w:r w:rsidRPr="001B4EC1">
        <w:t>r</w:t>
      </w:r>
      <w:r w:rsidRPr="001B4EC1">
        <w:t xml:space="preserve">tecknades, åtog man sig att </w:t>
      </w:r>
      <w:r w:rsidRPr="001B4EC1">
        <w:rPr>
          <w:i/>
        </w:rPr>
        <w:t>vårda och skydda sina världsarv för kommande generationer.</w:t>
      </w:r>
      <w:r w:rsidRPr="001B4EC1">
        <w:t xml:space="preserve"> Detta åtagande ställer enligt skriften stora krav på förvaltning och tillsyn, där frågor om turism, slitage och förändringstryck av olika slag måste ges särskild uppmärksamhet. </w:t>
      </w:r>
    </w:p>
    <w:p w:rsidR="00252869" w:rsidRPr="001B4EC1" w:rsidRDefault="00252869">
      <w:pPr>
        <w:pStyle w:val="Normaltindrag"/>
      </w:pPr>
      <w:r w:rsidRPr="001B4EC1">
        <w:t>I Svenska Unescorådets skrift redovisas vidare de svenska världsarvso</w:t>
      </w:r>
      <w:r w:rsidRPr="001B4EC1">
        <w:t>b</w:t>
      </w:r>
      <w:r w:rsidRPr="001B4EC1">
        <w:t>jekten. I fråga om slottsteatern på Drottningholm sägs bl.a. att teatersalongen är oförändrad sedan den färdigställdes 1766. Scenmaskineriet är alltjämt det ursprungliga från 1766 och är alltjämt i bruk. Dessutom har ett trettiotal mer eller mindre kompletta kulissuppsättningar bevarats från 1700-talet. Drot</w:t>
      </w:r>
      <w:r w:rsidRPr="001B4EC1">
        <w:t>t</w:t>
      </w:r>
      <w:r w:rsidRPr="001B4EC1">
        <w:t>ningholmsteatern är den enda 1700-talsteater som alltjämt ger föreställningar med ursprungligt maskineri och med ursprunglig scendekor om än av säke</w:t>
      </w:r>
      <w:r w:rsidRPr="001B4EC1">
        <w:t>r</w:t>
      </w:r>
      <w:r w:rsidRPr="001B4EC1">
        <w:t>hetsskäl i dag i kopior. Vidare anges i skriften att</w:t>
      </w:r>
      <w:r w:rsidRPr="001B4EC1">
        <w:t xml:space="preserve"> till Drottningholmsteatern i dag också hör ett teatermus</w:t>
      </w:r>
      <w:r w:rsidRPr="001B4EC1">
        <w:t>e</w:t>
      </w:r>
      <w:r w:rsidRPr="001B4EC1">
        <w:t>um.</w:t>
      </w:r>
    </w:p>
    <w:p w:rsidR="00252869" w:rsidRPr="001B4EC1" w:rsidRDefault="00252869">
      <w:pPr>
        <w:pStyle w:val="Normaltindrag"/>
      </w:pPr>
      <w:r w:rsidRPr="001B4EC1">
        <w:t>Definitionen av kulturarv finns i artikel 1 i konventionen om skydd för världens kultur- och naturarv. Det kulturarv som skyddas av konventionen är således minnesmärken: arkitektoniska verk, monumentala skulpturer och målningar, element eller byggnadsverk av arkeologisk art, inskriptioner, grottbostäder samt flera företeelser tillsammans som är av särskilt stort un</w:t>
      </w:r>
      <w:r w:rsidRPr="001B4EC1">
        <w:t>i</w:t>
      </w:r>
      <w:r w:rsidRPr="001B4EC1">
        <w:t>versellt värde ur estetisk eller vetenskaplig synpunkt. Vidare ingår i begreppet kulturarv grupper av byggnader och miljöer av särskilt värde.</w:t>
      </w:r>
    </w:p>
    <w:p w:rsidR="00252869" w:rsidRPr="001B4EC1" w:rsidRDefault="00252869">
      <w:pPr>
        <w:pStyle w:val="Normaltindrag"/>
      </w:pPr>
      <w:r w:rsidRPr="001B4EC1">
        <w:t>Enligt artikel 3 tillkommer det varje stat att identifiera och avgränsa de olika värdena på  sitt territorium.</w:t>
      </w:r>
    </w:p>
    <w:p w:rsidR="00252869" w:rsidRPr="001B4EC1" w:rsidRDefault="00252869">
      <w:pPr>
        <w:pStyle w:val="Normaltindrag"/>
      </w:pPr>
      <w:r w:rsidRPr="001B4EC1">
        <w:t>I den svenska ansökan i fråga om Drottningholm sägs att teaterbyggnadens exteriör är ett utsökt exempel på skandinavisk design med ren enkelhet i formen. Interiören med teatersalong, scenområde och klädloger är nästan oförändrad sedan 1760, det har inte ens skett en riktig restaurering. Scenm</w:t>
      </w:r>
      <w:r w:rsidRPr="001B4EC1">
        <w:t>a</w:t>
      </w:r>
      <w:r w:rsidRPr="001B4EC1">
        <w:t>skineriet, som kan åstadkomma alla sceneffekter som behövdes i 1700-talsrepetoaren, fungerar fortfarande. Uppemot 30 mer eller mindre kompletta uppsättningar scendek</w:t>
      </w:r>
      <w:r w:rsidRPr="001B4EC1">
        <w:t>o</w:t>
      </w:r>
      <w:r w:rsidRPr="001B4EC1">
        <w:t>rer ingår.</w:t>
      </w:r>
    </w:p>
    <w:p w:rsidR="00252869" w:rsidRPr="001B4EC1" w:rsidRDefault="00252869">
      <w:pPr>
        <w:pStyle w:val="Normaltindrag"/>
      </w:pPr>
      <w:r w:rsidRPr="001B4EC1">
        <w:t>Vid sidan av dess estetiska värden är teatern unik i ordets sanna betydelse på grund av dess autentiska tillstånd, och den betraktas vid sidan av Grip</w:t>
      </w:r>
      <w:r w:rsidRPr="001B4EC1">
        <w:t>s</w:t>
      </w:r>
      <w:r w:rsidRPr="001B4EC1">
        <w:t>holmsteatern som den bäst bibehållna 1700-talsteatern i dag, och den är därför en ovärderlig källa till kunskap om 1700-talets teaterkultur.</w:t>
      </w:r>
    </w:p>
    <w:p w:rsidR="00252869" w:rsidRPr="001B4EC1" w:rsidRDefault="00252869">
      <w:pPr>
        <w:pStyle w:val="Normaltindrag"/>
      </w:pPr>
      <w:r w:rsidRPr="001B4EC1">
        <w:t>I en PM som bifogades ansökan till Unesco redovisades gränserna för skyddsområdet. Hela den kungliga egendomen omfattas men teatern och den kinesiska paviljongen pekas särskilt ut på grund av deras anmärkningsvärda autencitet.</w:t>
      </w:r>
    </w:p>
    <w:p w:rsidR="00252869" w:rsidRPr="001B4EC1" w:rsidRDefault="00252869">
      <w:pPr>
        <w:pStyle w:val="Normaltindrag"/>
      </w:pPr>
      <w:r w:rsidRPr="001B4EC1">
        <w:t xml:space="preserve">Under rubriken </w:t>
      </w:r>
      <w:r w:rsidRPr="001B4EC1">
        <w:rPr>
          <w:i/>
        </w:rPr>
        <w:t>Skötsel av byggnader och mark</w:t>
      </w:r>
      <w:r w:rsidRPr="001B4EC1">
        <w:t xml:space="preserve"> anges som ansvariga Stå</w:t>
      </w:r>
      <w:r w:rsidRPr="001B4EC1">
        <w:t>t</w:t>
      </w:r>
      <w:r w:rsidRPr="001B4EC1">
        <w:t>hållarämbetet med Byggnadsstyrelsen som stödjande organ. Riksantikvari</w:t>
      </w:r>
      <w:r w:rsidRPr="001B4EC1">
        <w:t>e</w:t>
      </w:r>
      <w:r w:rsidRPr="001B4EC1">
        <w:t>ämbetet anges som ansvarig för vägledning och tillståndsgivning i fråga om åtgärder som påverkar de kulturhistoriska värdena.</w:t>
      </w:r>
    </w:p>
    <w:p w:rsidR="00252869" w:rsidRPr="001B4EC1" w:rsidRDefault="00252869">
      <w:pPr>
        <w:pStyle w:val="Normaltindrag"/>
      </w:pPr>
      <w:r w:rsidRPr="001B4EC1">
        <w:t xml:space="preserve">Under rubriken </w:t>
      </w:r>
      <w:r w:rsidRPr="001B4EC1">
        <w:rPr>
          <w:i/>
        </w:rPr>
        <w:t xml:space="preserve">Skötsel av samlingar </w:t>
      </w:r>
      <w:r w:rsidRPr="001B4EC1">
        <w:t>anges att samlingarna å andra sidan har tre ansvariga organ beroende på skilda administrativa förhållanden. Dessa är Husgerådskammaren, Drottningholms teatermuseum och Nationalmuseum.</w:t>
      </w:r>
    </w:p>
    <w:p w:rsidR="00252869" w:rsidRPr="001B4EC1" w:rsidRDefault="00252869">
      <w:pPr>
        <w:pStyle w:val="Normaltindrag"/>
      </w:pPr>
      <w:r w:rsidRPr="001B4EC1">
        <w:t>Slottet, teatern, trädgården, parken och den kinesiska paviljongen finns b</w:t>
      </w:r>
      <w:r w:rsidRPr="001B4EC1">
        <w:t>e</w:t>
      </w:r>
      <w:r w:rsidRPr="001B4EC1">
        <w:t>skrivna i en annan bilaga till ansökan till Unesco. När det gäller teatern anges att den nuvarande slottsteatern är den andra på denna plats och byggdes me</w:t>
      </w:r>
      <w:r w:rsidRPr="001B4EC1">
        <w:t>l</w:t>
      </w:r>
      <w:r w:rsidRPr="001B4EC1">
        <w:t xml:space="preserve">lan 1764–1766. 1791 gjordes en tillbyggnad som kallas frukostsalongen. Exteriören är en enkel version av fransk rokokostil och tillbyggnaden 1791 är strikt neoklassicism. Interiören utmärks av en utsökt balans mellan scen och teatersalong. Dessa delar utgör en enda rumslig enhet, vilket är typiskt för 1700-talet. </w:t>
      </w:r>
    </w:p>
    <w:p w:rsidR="00252869" w:rsidRPr="001B4EC1" w:rsidRDefault="00252869">
      <w:pPr>
        <w:pStyle w:val="Normaltindrag"/>
      </w:pPr>
      <w:r w:rsidRPr="001B4EC1">
        <w:t xml:space="preserve">Under rubriken </w:t>
      </w:r>
      <w:r w:rsidRPr="001B4EC1">
        <w:rPr>
          <w:i/>
        </w:rPr>
        <w:t>Finansiella medel</w:t>
      </w:r>
      <w:r w:rsidRPr="001B4EC1">
        <w:t xml:space="preserve"> anges att medel för skötseln årligen  a</w:t>
      </w:r>
      <w:r w:rsidRPr="001B4EC1">
        <w:t>n</w:t>
      </w:r>
      <w:r w:rsidRPr="001B4EC1">
        <w:t>visas i statsbudgeten. När det förutses behov av större investeringar anvisas m</w:t>
      </w:r>
      <w:r w:rsidRPr="001B4EC1">
        <w:t>e</w:t>
      </w:r>
      <w:r w:rsidRPr="001B4EC1">
        <w:t>del genom engångsbelopp vid varje tillfälle.</w:t>
      </w:r>
    </w:p>
    <w:p w:rsidR="00252869" w:rsidRPr="001B4EC1" w:rsidRDefault="00252869">
      <w:pPr>
        <w:pStyle w:val="R4"/>
      </w:pPr>
      <w:r w:rsidRPr="001B4EC1">
        <w:t>Innebörden av skyddet</w:t>
      </w:r>
    </w:p>
    <w:p w:rsidR="00252869" w:rsidRPr="001B4EC1" w:rsidRDefault="00252869">
      <w:r w:rsidRPr="001B4EC1">
        <w:t>I världsarvskonventionens artiklar 4 och 5 beskrivs vad åtagandet innebär. Enligt artikel 4 erkänner konventionsparten att skyldigheten att säkerställa identifiering, skydd, bevarande, levandegörande och överlämnande till ko</w:t>
      </w:r>
      <w:r w:rsidRPr="001B4EC1">
        <w:t>m</w:t>
      </w:r>
      <w:r w:rsidRPr="001B4EC1">
        <w:t>mande generationer av det kultur- och naturarv som avses i artiklarna 1 och 2 och som befinner sig på dess territorium främst ankommer på denna stat. Den skall göra allt den förmår så långt dess egna resurser räcker och – om så är lämpligt – med visst intern</w:t>
      </w:r>
      <w:r w:rsidRPr="001B4EC1">
        <w:t>a</w:t>
      </w:r>
      <w:r w:rsidRPr="001B4EC1">
        <w:t>tionellt bistånd.</w:t>
      </w:r>
    </w:p>
    <w:p w:rsidR="00252869" w:rsidRPr="001B4EC1" w:rsidRDefault="00252869">
      <w:pPr>
        <w:pStyle w:val="Normaltindrag"/>
      </w:pPr>
      <w:r w:rsidRPr="001B4EC1">
        <w:t>För att säkerställa att effektiva och aktiva åtgärder vidtas, för skydd, bev</w:t>
      </w:r>
      <w:r w:rsidRPr="001B4EC1">
        <w:t>a</w:t>
      </w:r>
      <w:r w:rsidRPr="001B4EC1">
        <w:t xml:space="preserve">rande och levandegörande av det kultur- och naturarv som befinner sig på dess  territorium, skall varje stat enligt artikel 5, såvitt möjligt och lämpligt, sträva efter att bl.a. </w:t>
      </w:r>
    </w:p>
    <w:p w:rsidR="00252869" w:rsidRPr="001B4EC1" w:rsidRDefault="00252869">
      <w:r w:rsidRPr="001B4EC1">
        <w:t>anta en allmän politik som syftar till att ge kulturarvet en funktion i samhäll</w:t>
      </w:r>
      <w:r w:rsidRPr="001B4EC1">
        <w:t>s</w:t>
      </w:r>
      <w:r w:rsidRPr="001B4EC1">
        <w:t xml:space="preserve">livet samt inordna skyddet av arvet i omfattande planeringsprogram, </w:t>
      </w:r>
    </w:p>
    <w:p w:rsidR="00252869" w:rsidRPr="001B4EC1" w:rsidRDefault="00252869">
      <w:r w:rsidRPr="001B4EC1">
        <w:t>upprätta organ för skydd, bevarande och levandegörande av kultur- och n</w:t>
      </w:r>
      <w:r w:rsidRPr="001B4EC1">
        <w:t>a</w:t>
      </w:r>
      <w:r w:rsidRPr="001B4EC1">
        <w:t>turarvet med lämplig personal och med resurser som gör det möjligt för dem att utföra sina uppgifter,</w:t>
      </w:r>
    </w:p>
    <w:p w:rsidR="00252869" w:rsidRPr="001B4EC1" w:rsidRDefault="00252869">
      <w:pPr>
        <w:pBdr>
          <w:right w:val="single" w:sz="4" w:space="4" w:color="FFFFFF"/>
        </w:pBdr>
      </w:pPr>
      <w:r w:rsidRPr="001B4EC1">
        <w:t>utarbeta arbetsmetoder som gör det möjligt att motverka de faror som hotar kultur- eller naturarvet,</w:t>
      </w:r>
    </w:p>
    <w:p w:rsidR="00252869" w:rsidRPr="001B4EC1" w:rsidRDefault="00252869">
      <w:pPr>
        <w:pBdr>
          <w:right w:val="single" w:sz="4" w:space="4" w:color="FFFFFF"/>
        </w:pBdr>
      </w:pPr>
      <w:r w:rsidRPr="001B4EC1">
        <w:t>vidta lämpliga rättsliga, vetenskapliga, tekniska, administrativa och ekon</w:t>
      </w:r>
      <w:r w:rsidRPr="001B4EC1">
        <w:t>o</w:t>
      </w:r>
      <w:r w:rsidRPr="001B4EC1">
        <w:t>miska åtgärder som är nödvändiga för identifiering, skydd, bevarande, pr</w:t>
      </w:r>
      <w:r w:rsidRPr="001B4EC1">
        <w:t>e</w:t>
      </w:r>
      <w:r w:rsidRPr="001B4EC1">
        <w:t xml:space="preserve">sentation och återställande av detta arv. </w:t>
      </w:r>
    </w:p>
    <w:p w:rsidR="00252869" w:rsidRPr="001B4EC1" w:rsidRDefault="00252869">
      <w:r w:rsidRPr="001B4EC1">
        <w:t>I ansökan till Unesco hänvisas till förordningen (1988:1229) om statliga byggnadsminnen m.m. och  kulturminneslagen.</w:t>
      </w:r>
    </w:p>
    <w:p w:rsidR="00252869" w:rsidRPr="001B4EC1" w:rsidRDefault="00252869">
      <w:pPr>
        <w:pStyle w:val="R3"/>
      </w:pPr>
      <w:r w:rsidRPr="001B4EC1">
        <w:t>Budgetpropositionen 2004</w:t>
      </w:r>
    </w:p>
    <w:p w:rsidR="00252869" w:rsidRPr="001B4EC1" w:rsidRDefault="00252869">
      <w:r w:rsidRPr="001B4EC1">
        <w:t>Till de båda grenarna av Stiftelsen Drottningholms teatermuseums verksa</w:t>
      </w:r>
      <w:r w:rsidRPr="001B4EC1">
        <w:t>m</w:t>
      </w:r>
      <w:r w:rsidRPr="001B4EC1">
        <w:t>het fördelas statliga medel från utgiftsområde 17 Kultur, medier, trossamfund och fritid. Bidrag till Drottningholms slottsteater betalas dels från anslaget 28:31 Bidrag till vissa museer med 6 952 000 kr, dels från anslaget 28:7 B</w:t>
      </w:r>
      <w:r w:rsidRPr="001B4EC1">
        <w:t>i</w:t>
      </w:r>
      <w:r w:rsidRPr="001B4EC1">
        <w:t>drag till vissa teater-, dans- och musikändamål. Enligt regleringsbrevet till Kulturrådet får bidrag lämnas från anslagsposten 3 Bidrag till viss teaterver</w:t>
      </w:r>
      <w:r w:rsidRPr="001B4EC1">
        <w:t>k</w:t>
      </w:r>
      <w:r w:rsidRPr="001B4EC1">
        <w:t>samhet med tillhopa 13 945 000 kr till bl.a. föreställningsverksamheten hos Stiftelsen Drottningholms teatermuseum. I likhe</w:t>
      </w:r>
      <w:r w:rsidRPr="001B4EC1">
        <w:t>t med tidigare år tilldelades Drottningholmsteatern, utöver sitt ordinarie verksamhetsbidrag, ett extra stöd på 1 miljon kronor från anslaget 28:2 Bidrag till allmän kulturverksamhet, utvec</w:t>
      </w:r>
      <w:r w:rsidRPr="001B4EC1">
        <w:t>k</w:t>
      </w:r>
      <w:r w:rsidRPr="001B4EC1">
        <w:t xml:space="preserve">ling samt internationellt kulturutbyte och samarbete. </w:t>
      </w:r>
    </w:p>
    <w:p w:rsidR="00252869" w:rsidRPr="001B4EC1" w:rsidRDefault="00252869">
      <w:pPr>
        <w:pStyle w:val="R4"/>
      </w:pPr>
      <w:r w:rsidRPr="001B4EC1">
        <w:t>Interpellationssvar om vården av teaterklenoder</w:t>
      </w:r>
    </w:p>
    <w:p w:rsidR="00252869" w:rsidRPr="001B4EC1" w:rsidRDefault="00252869">
      <w:r w:rsidRPr="001B4EC1">
        <w:t>Som svar på en interpellation av Ana Maria Narti har kulturminister Marita Ulvskog den 5 december 2003 hänvisat till att det är viktigt att slå fast att Drottningholms slottsanläggning är upptagen på Unescos världsarvslista bl.a. på grund av att teatern och dess samlingar är en unik kulturskatt. Av detta skäl har Stiftelsen Drottningholms teatermuseum erhållit ett årligt statsbidrag, som för innevarande år uppgår till 14,8 miljoner kronor. Drottningholms teatermuseum är inte en statlig myndighet utan en sj</w:t>
      </w:r>
      <w:r w:rsidRPr="001B4EC1">
        <w:t>älvständig stiftelse. Det är följaktligen stiftelsen och dess styrelse som har det yttersta ansvaret för hur verksamheten bedrivs. Det är styrelsen som prioriterar hur statsbidraget och andra ekonomiska resurser fördelas och används. För statsbidraget har rege</w:t>
      </w:r>
      <w:r w:rsidRPr="001B4EC1">
        <w:t>r</w:t>
      </w:r>
      <w:r w:rsidRPr="001B4EC1">
        <w:t>ingen satt upp som mål att museet ”skall förbättra förutsättningarna för sa</w:t>
      </w:r>
      <w:r w:rsidRPr="001B4EC1">
        <w:t>m</w:t>
      </w:r>
      <w:r w:rsidRPr="001B4EC1">
        <w:t>lingarnas långsiktiga bevarande”. Det är styrelsen och verksamhetsledarna som svarar för långsiktiga vårdplaner, för valet av lämpliga magasinslokaler och för nödvändiga konta</w:t>
      </w:r>
      <w:r w:rsidRPr="001B4EC1">
        <w:t>kter med fastighetsägare rörande underhåll och andra angelägenheter. Regeringen utgår från att styrelsen agerar utifrån detta a</w:t>
      </w:r>
      <w:r w:rsidRPr="001B4EC1">
        <w:t>n</w:t>
      </w:r>
      <w:r w:rsidRPr="001B4EC1">
        <w:t>svar.</w:t>
      </w:r>
    </w:p>
    <w:p w:rsidR="00252869" w:rsidRPr="001B4EC1" w:rsidRDefault="00252869">
      <w:pPr>
        <w:pStyle w:val="Normaltindrag"/>
      </w:pPr>
      <w:r w:rsidRPr="001B4EC1">
        <w:t>När det gäller de mer långsiktiga planerna för museet har stiftelsens styre</w:t>
      </w:r>
      <w:r w:rsidRPr="001B4EC1">
        <w:t>l</w:t>
      </w:r>
      <w:r w:rsidRPr="001B4EC1">
        <w:t>se tidigare hemställt att regeringen tar initiativ till dels en utredning om sa</w:t>
      </w:r>
      <w:r w:rsidRPr="001B4EC1">
        <w:t>m</w:t>
      </w:r>
      <w:r w:rsidRPr="001B4EC1">
        <w:t>gående med Dansmuseet, dels en översyn av frågan om dokumentationen av scenkonsten i Sverige. Förslagen, som bereds i Kulturdepartementet, kräver noggrann analys och samråd. De förslag om höjningar av anslaget som stifte</w:t>
      </w:r>
      <w:r w:rsidRPr="001B4EC1">
        <w:t>l</w:t>
      </w:r>
      <w:r w:rsidRPr="001B4EC1">
        <w:t>sen uppvaktat om bereds i det ordinarie budgetarbetet. Från och med i år höjdes det årliga anslaget med en halv miljon kronor.</w:t>
      </w:r>
    </w:p>
    <w:p w:rsidR="00252869" w:rsidRPr="001B4EC1" w:rsidRDefault="00252869">
      <w:pPr>
        <w:pStyle w:val="Normaltindrag"/>
      </w:pPr>
      <w:r w:rsidRPr="001B4EC1">
        <w:t>Sammantaget får de båda verksamheterna 14,8 miljoner kronor i statsb</w:t>
      </w:r>
      <w:r w:rsidRPr="001B4EC1">
        <w:t>i</w:t>
      </w:r>
      <w:r w:rsidRPr="001B4EC1">
        <w:t xml:space="preserve">drag. Man kan dela upp det på de olika verksamheterna. Museet har ett anslag som räknas upp i takt med pris- och löneomräkningen och fick dessutom en nivåhöjning i den förra budgetpropositionen. Teaterverksamheten har utöver sitt anslag under fyra års tid haft ett tillägg på 1 miljon kronor. </w:t>
      </w:r>
    </w:p>
    <w:p w:rsidR="00252869" w:rsidRPr="001B4EC1" w:rsidRDefault="00252869">
      <w:pPr>
        <w:pStyle w:val="R3"/>
      </w:pPr>
      <w:r w:rsidRPr="001B4EC1">
        <w:t>Verksamhetsberättelse/årsredovisning 2003 för Stiftelsen Drottningholms teatermuseum</w:t>
      </w:r>
    </w:p>
    <w:p w:rsidR="00252869" w:rsidRPr="001B4EC1" w:rsidRDefault="00252869">
      <w:pPr>
        <w:pStyle w:val="R4"/>
      </w:pPr>
      <w:r w:rsidRPr="001B4EC1">
        <w:t>Ekonomi</w:t>
      </w:r>
    </w:p>
    <w:p w:rsidR="00252869" w:rsidRPr="001B4EC1" w:rsidRDefault="00252869">
      <w:r w:rsidRPr="001B4EC1">
        <w:t>Nämnden för Stiftelsen Drottningholms teatermuseum avgav i februari 2004 årsredovisning/verksamhetsberättelse för år 2003.  För samlingsverksamheten var summan intäkter 10,8 miljoner kronor och kostnaderna var 10,7 miljoner kronor. Stiftelsen erhöll 7 186 000 kr i statsbidrag till Sveriges teatermuseum, varav 500 000 kr på tilläggsbudget som engångsanvisning. Drottningholmst</w:t>
      </w:r>
      <w:r w:rsidRPr="001B4EC1">
        <w:t>e</w:t>
      </w:r>
      <w:r w:rsidRPr="001B4EC1">
        <w:t>aterns vänner bidrog med 150 000 kr till inköp, varav 125 000 kr till muse</w:t>
      </w:r>
      <w:r w:rsidRPr="001B4EC1">
        <w:t>i</w:t>
      </w:r>
      <w:r w:rsidRPr="001B4EC1">
        <w:t>samlingarna och 25 000 kr till biblioteket. Visningsintäkterna på Drottnin</w:t>
      </w:r>
      <w:r w:rsidRPr="001B4EC1">
        <w:t>g</w:t>
      </w:r>
      <w:r w:rsidRPr="001B4EC1">
        <w:t>holm uppgick till 150 000 kr och visningsintäkterna i Gäddviken till 21 600 kr. 2003 års verksamhet vid Sveriges teatermuseum redovisar ett överskott om 186 000 kr. Från Riksbankens Jubileumsfond erhölls 866 000 kr för pr</w:t>
      </w:r>
      <w:r w:rsidRPr="001B4EC1">
        <w:t>o</w:t>
      </w:r>
      <w:r w:rsidRPr="001B4EC1">
        <w:t>jektet Dokumentation av scenkonst.</w:t>
      </w:r>
    </w:p>
    <w:p w:rsidR="00252869" w:rsidRPr="001B4EC1" w:rsidRDefault="00252869">
      <w:r w:rsidRPr="001B4EC1">
        <w:t>För slottsteaterns del gäller att föreställningsverksamheten fick 6 621 000 kr i statsanslag för 2003. E</w:t>
      </w:r>
      <w:r w:rsidRPr="001B4EC1">
        <w:t>tt engångsanslag på 1 miljon kronor anvisades också. Enligt årsredovisningen har det samlade statliga anslaget, oavsett vilka berä</w:t>
      </w:r>
      <w:r w:rsidRPr="001B4EC1">
        <w:t>k</w:t>
      </w:r>
      <w:r w:rsidRPr="001B4EC1">
        <w:t>ningar och jämförelser som görs, med undantag för åren 1999 och 2000 u</w:t>
      </w:r>
      <w:r w:rsidRPr="001B4EC1">
        <w:t>r</w:t>
      </w:r>
      <w:r w:rsidRPr="001B4EC1">
        <w:t xml:space="preserve">holkats varje år sedan 1992. </w:t>
      </w:r>
    </w:p>
    <w:p w:rsidR="00252869" w:rsidRPr="001B4EC1" w:rsidRDefault="00252869">
      <w:pPr>
        <w:pStyle w:val="Normaltindrag"/>
      </w:pPr>
      <w:r w:rsidRPr="001B4EC1">
        <w:t>Sponsorsintäkterna minskade något, till 2,25 miljoner kr, biljettintäkterna uppgick till 1,06 miljoner kr, ersättning från Föreningen Drottningholmste</w:t>
      </w:r>
      <w:r w:rsidRPr="001B4EC1">
        <w:t>a</w:t>
      </w:r>
      <w:r w:rsidRPr="001B4EC1">
        <w:t>terns vänner till 450 000 kr, ersättning från Kungliga Operan till 0,6 miljoner kronor. Överskottet för 2003 uppgick till 593 000 kr. Enligt årsredovisningen var föreställningsverksamheten under 2003 den mest begränsade på 50 år med bara åtta egna föreställningar och 13 balettföreställningar som gavs av Kun</w:t>
      </w:r>
      <w:r w:rsidRPr="001B4EC1">
        <w:t>g</w:t>
      </w:r>
      <w:r w:rsidRPr="001B4EC1">
        <w:t>liga Operan, beroende på den mångåriga urholkningen av stiftelsens statsanslag för föreställningsverksa</w:t>
      </w:r>
      <w:r w:rsidRPr="001B4EC1">
        <w:t>m</w:t>
      </w:r>
      <w:r w:rsidRPr="001B4EC1">
        <w:t xml:space="preserve">heten. </w:t>
      </w:r>
    </w:p>
    <w:p w:rsidR="00252869" w:rsidRPr="001B4EC1" w:rsidRDefault="00252869">
      <w:pPr>
        <w:pStyle w:val="Normaltindrag"/>
      </w:pPr>
      <w:r w:rsidRPr="001B4EC1">
        <w:t>Enligt årsredovisningen gäller för både Sveriges teatermuseum och Drot</w:t>
      </w:r>
      <w:r w:rsidRPr="001B4EC1">
        <w:t>t</w:t>
      </w:r>
      <w:r w:rsidRPr="001B4EC1">
        <w:t>ningholms slottsteater att ökningen av statsbidragen under många år långt ifrån nöjaktigt kompenserat för automatiska kostnadsökningar med oförän</w:t>
      </w:r>
      <w:r w:rsidRPr="001B4EC1">
        <w:t>d</w:t>
      </w:r>
      <w:r w:rsidRPr="001B4EC1">
        <w:t>rad verksamhet. För teatermuseet har främst ökade lokalkostnader kraftigt urholkat tillgängliga medel. Endast tack vare en engångsanvisning på 500 000 kr under 2003 kunde två vakantsatta museitjänster periodvis besättas. Näm</w:t>
      </w:r>
      <w:r w:rsidRPr="001B4EC1">
        <w:t>n</w:t>
      </w:r>
      <w:r w:rsidRPr="001B4EC1">
        <w:t>den hänvisade till att det ordinarie statsanslaget för Drottningholms slottste</w:t>
      </w:r>
      <w:r w:rsidRPr="001B4EC1">
        <w:t>a</w:t>
      </w:r>
      <w:r w:rsidRPr="001B4EC1">
        <w:t>ter inte ökat sedan 1992. Ett årligt engångsanslag på 1 miljo</w:t>
      </w:r>
      <w:r w:rsidRPr="001B4EC1">
        <w:t>n kronor sedan 1999 kompenserade visserligen under 2000 och 2001 för kostnadsökningar, men den ackumulerade urholkningen sedan 1992 ledde enligt årsredovisnin</w:t>
      </w:r>
      <w:r w:rsidRPr="001B4EC1">
        <w:t>g</w:t>
      </w:r>
      <w:r w:rsidRPr="001B4EC1">
        <w:t>en till att stiftelsen tvingades halvera sin föreställningsverksamhet på slottst</w:t>
      </w:r>
      <w:r w:rsidRPr="001B4EC1">
        <w:t>e</w:t>
      </w:r>
      <w:r w:rsidRPr="001B4EC1">
        <w:t>atern under 2003. Vidare hänvisades till ökade kostnader på grund av det nya pe</w:t>
      </w:r>
      <w:r w:rsidRPr="001B4EC1">
        <w:t>n</w:t>
      </w:r>
      <w:r w:rsidRPr="001B4EC1">
        <w:t>sionsavtalet, PA 03.</w:t>
      </w:r>
    </w:p>
    <w:p w:rsidR="00252869" w:rsidRPr="001B4EC1" w:rsidRDefault="00252869">
      <w:pPr>
        <w:pStyle w:val="R4"/>
      </w:pPr>
      <w:r w:rsidRPr="001B4EC1">
        <w:t>Lokaler och samlingar</w:t>
      </w:r>
    </w:p>
    <w:p w:rsidR="00252869" w:rsidRPr="001B4EC1" w:rsidRDefault="00252869">
      <w:r w:rsidRPr="001B4EC1">
        <w:t>Sveriges teatermuseum har enligt årsredovisningen ställning som centrum för dokumentation av scenkonst i hela riket och förvaltare av landets största teaterhistoriska samling. Museet samlar företrädesvis föremål knutna till svensk teater, opera och dans. En tyngdpunkt ligger i de scenografiska sa</w:t>
      </w:r>
      <w:r w:rsidRPr="001B4EC1">
        <w:t>m</w:t>
      </w:r>
      <w:r w:rsidRPr="001B4EC1">
        <w:t>lingarna och porträttsamlingarna, där en representativ bredd eftersträvas. De teaterhistoriska föremålssamlingarna omfattar ca 31 500 föremål från 1500-talet till i dag i form av scendekorationer, scenmodeller, rekvisita, dekor- och kostymskisser, scenbilder och porträtt, kostymer, accessoarer, dockteatrar, skuggspelsteatrar samt teatertekniska och teaterbyggnadsrelaterade föremål. Biblioteket innehåller 72 000 volymer, pjäsmanuskriptsamlingen 32 000 manuskript, affischsamlingen 76 000 affischer, programsa</w:t>
      </w:r>
      <w:r w:rsidRPr="001B4EC1">
        <w:t>mlingen 151 hyl</w:t>
      </w:r>
      <w:r w:rsidRPr="001B4EC1">
        <w:t>l</w:t>
      </w:r>
      <w:r w:rsidRPr="001B4EC1">
        <w:t xml:space="preserve">meter och pressklipparkivet 178,5 hyllmeter. Fototeket innehåller över </w:t>
      </w:r>
      <w:r w:rsidRPr="001B4EC1">
        <w:br/>
        <w:t>1 miljon foton. Det finns 200 enskilda arkiv som innerhåller originaldok</w:t>
      </w:r>
      <w:r w:rsidRPr="001B4EC1">
        <w:t>u</w:t>
      </w:r>
      <w:r w:rsidRPr="001B4EC1">
        <w:t>ment kring svensk teater. Möjligheten att ta emot mer skrymmande föremål (dekorationer, kostymer och teknik) begränsas bl.a. av utrymmesbrist i mag</w:t>
      </w:r>
      <w:r w:rsidRPr="001B4EC1">
        <w:t>a</w:t>
      </w:r>
      <w:r w:rsidRPr="001B4EC1">
        <w:t>sinen. I de av Kungliga Operan förhyrda lokalerna i Gäddviken, Nacka, a</w:t>
      </w:r>
      <w:r w:rsidRPr="001B4EC1">
        <w:t>n</w:t>
      </w:r>
      <w:r w:rsidRPr="001B4EC1">
        <w:t>vänds merparten av lokalytan av Sveriges teatermuseum (arkiv, bibliotek, fototek och museisamlingar), men rymmer även Drottningholm</w:t>
      </w:r>
      <w:r w:rsidRPr="001B4EC1">
        <w:t>s slottsteaters administration och den gemensamma kanslifunktionen. I enlighet med tidig</w:t>
      </w:r>
      <w:r w:rsidRPr="001B4EC1">
        <w:t>a</w:t>
      </w:r>
      <w:r w:rsidRPr="001B4EC1">
        <w:t>re redovisas det statliga bidraget för dessa stiftelsens gemensamma lokaler via anslaget till Sveriges teatermus</w:t>
      </w:r>
      <w:r w:rsidRPr="001B4EC1">
        <w:t>e</w:t>
      </w:r>
      <w:r w:rsidRPr="001B4EC1">
        <w:t>um och redovisas således i dess ekonomi.</w:t>
      </w:r>
    </w:p>
    <w:p w:rsidR="00252869" w:rsidRPr="001B4EC1" w:rsidRDefault="00252869">
      <w:pPr>
        <w:pStyle w:val="Normaltindrag"/>
      </w:pPr>
      <w:r w:rsidRPr="001B4EC1">
        <w:t xml:space="preserve">Den under år 2003 permanenta 1600–1700-talsteaterutställningen i Hertig Carls paviljong har måst tas ned för översyn på grund av skadliga tempe-ratur-, fukt- och säkerhetsförhållanden. Konservatorer som anlitats under året har påtalat att fukt- och ljusförhållanden är </w:t>
      </w:r>
      <w:r w:rsidRPr="001B4EC1">
        <w:t>olämpliga även när det gäller föremål som hänger på Drottningholmsteatern, vilket fått till följd att depos</w:t>
      </w:r>
      <w:r w:rsidRPr="001B4EC1">
        <w:t>i</w:t>
      </w:r>
      <w:r w:rsidRPr="001B4EC1">
        <w:t>tioner från bl.a. Nationalmuseum måst återlämnas.</w:t>
      </w:r>
    </w:p>
    <w:p w:rsidR="00252869" w:rsidRPr="001B4EC1" w:rsidRDefault="00252869">
      <w:pPr>
        <w:pStyle w:val="Normaltindrag"/>
      </w:pPr>
      <w:r w:rsidRPr="001B4EC1">
        <w:t>Utanför lokalerna i Gäddviken i Nacka finns samlingar i Dragonstallet (på Drottningholm men utanför världsarvsområdet) och ett magasin från 1974 i Dammtorp på Lovön, vilket är museets klimatmässigt bästa magasin. Under perioden 1999–2000 drabbades magasinet av ett kraftigt läckage, vilket åtgä</w:t>
      </w:r>
      <w:r w:rsidRPr="001B4EC1">
        <w:t>r</w:t>
      </w:r>
      <w:r w:rsidRPr="001B4EC1">
        <w:t>dades av Statens fastighetsverk. En skadeinventering i dekormagasinet p</w:t>
      </w:r>
      <w:r w:rsidRPr="001B4EC1">
        <w:t>å</w:t>
      </w:r>
      <w:r w:rsidRPr="001B4EC1">
        <w:t>börjades först 2003. Även om skadeinventeringen just påbörjats är det enligt årsredovisningen angeläget att påpeka att omfattningen av skadorna betydligt överdrivits i medierna. Magasinet på Dragonstallets vind har inte utnyttjats fullt ut på grund av takläckage och oacceptabla fuktighets- och temperaturv</w:t>
      </w:r>
      <w:r w:rsidRPr="001B4EC1">
        <w:t>a</w:t>
      </w:r>
      <w:r w:rsidRPr="001B4EC1">
        <w:t>riationer. I slutet av 2003 gjordes därför en omfattande flyttning av kostymer till bättre förv</w:t>
      </w:r>
      <w:r w:rsidRPr="001B4EC1">
        <w:t>a</w:t>
      </w:r>
      <w:r w:rsidRPr="001B4EC1">
        <w:t>ring i Gäddviken.</w:t>
      </w:r>
    </w:p>
    <w:p w:rsidR="00252869" w:rsidRPr="001B4EC1" w:rsidRDefault="00252869">
      <w:pPr>
        <w:pStyle w:val="Normaltindrag"/>
      </w:pPr>
      <w:r w:rsidRPr="001B4EC1">
        <w:t>Enligt årsredovisn</w:t>
      </w:r>
      <w:r w:rsidRPr="001B4EC1">
        <w:t>ingen är museets centrala uppgift under 2004 att med anlitande av experter göra en inventering, en vårdplan för framtiden och vissa brådskande vårdinsatser. Eftersom museet saknade egna medel för detta ä</w:t>
      </w:r>
      <w:r w:rsidRPr="001B4EC1">
        <w:t>n</w:t>
      </w:r>
      <w:r w:rsidRPr="001B4EC1">
        <w:t>damål söktes och beviljades 250 000 kr från Stiftelsen Konung Gustaf VI Adolfs fond för svensk kultur, vilka medel kommer att användas för ändam</w:t>
      </w:r>
      <w:r w:rsidRPr="001B4EC1">
        <w:t>å</w:t>
      </w:r>
      <w:r w:rsidRPr="001B4EC1">
        <w:t>let tillsammans med det från Föreningen Drottningholmsteaterns vänner årligen tilldelade inköpsbidraget på 150 000 kr.</w:t>
      </w:r>
    </w:p>
    <w:p w:rsidR="00252869" w:rsidRPr="001B4EC1" w:rsidRDefault="00252869">
      <w:pPr>
        <w:pStyle w:val="Normaltindrag"/>
      </w:pPr>
      <w:r w:rsidRPr="001B4EC1">
        <w:t>Med restriktivitet har museet tagit emot don</w:t>
      </w:r>
      <w:r w:rsidRPr="001B4EC1">
        <w:t>ationer, bl.a. värdefulla sa</w:t>
      </w:r>
      <w:r w:rsidRPr="001B4EC1">
        <w:t>m</w:t>
      </w:r>
      <w:r w:rsidRPr="001B4EC1">
        <w:t>lingar från nedlagda teatrar, från privatpersoner och dödsbön, främst arkival</w:t>
      </w:r>
      <w:r w:rsidRPr="001B4EC1">
        <w:t>i</w:t>
      </w:r>
      <w:r w:rsidRPr="001B4EC1">
        <w:t>er, foton, pjäsmanuskript, pressklipp och program men även scenmodeller, tavlor och viss rekvisita.</w:t>
      </w:r>
    </w:p>
    <w:p w:rsidR="00252869" w:rsidRPr="001B4EC1" w:rsidRDefault="00252869">
      <w:pPr>
        <w:pStyle w:val="Normaltindrag"/>
      </w:pPr>
      <w:r w:rsidRPr="001B4EC1">
        <w:t>I avsaknad av fast museiintendent har sortering, gallring, föremålsregistr</w:t>
      </w:r>
      <w:r w:rsidRPr="001B4EC1">
        <w:t>e</w:t>
      </w:r>
      <w:r w:rsidRPr="001B4EC1">
        <w:t>ring och föremålsdokumentation endast kunnat utföras i begränsad utsträc</w:t>
      </w:r>
      <w:r w:rsidRPr="001B4EC1">
        <w:t>k</w:t>
      </w:r>
      <w:r w:rsidRPr="001B4EC1">
        <w:t>ning av en tillfällig vikarie och två praktikanter. Den mångåriga bristen på en arkivarie försätter enligt årsredovisningen museet i en alltmer prekär situ</w:t>
      </w:r>
      <w:r w:rsidRPr="001B4EC1">
        <w:t>a</w:t>
      </w:r>
      <w:r w:rsidRPr="001B4EC1">
        <w:t>tion. Enstaka insatser har gjorts av tre praktikanter. Också bl.a. förlusten av en tidigare tjänst för pressbevakning  försvårar museets arbete.</w:t>
      </w:r>
    </w:p>
    <w:p w:rsidR="00252869" w:rsidRPr="001B4EC1" w:rsidRDefault="00252869">
      <w:pPr>
        <w:pStyle w:val="Rubrik3"/>
        <w:rPr>
          <w:noProof w:val="0"/>
        </w:rPr>
      </w:pPr>
      <w:bookmarkStart w:id="115" w:name="_Toc72648546"/>
      <w:r w:rsidRPr="001B4EC1">
        <w:rPr>
          <w:noProof w:val="0"/>
        </w:rPr>
        <w:t>Promemorior från Kulturdepartementet</w:t>
      </w:r>
      <w:bookmarkEnd w:id="115"/>
    </w:p>
    <w:p w:rsidR="00252869" w:rsidRPr="001B4EC1" w:rsidRDefault="00252869">
      <w:pPr>
        <w:rPr>
          <w:i/>
        </w:rPr>
      </w:pPr>
      <w:r w:rsidRPr="001B4EC1">
        <w:t>Som svar på frågor från konstitutionsutskottet har det inom Kulturdepart</w:t>
      </w:r>
      <w:r w:rsidRPr="001B4EC1">
        <w:t>e</w:t>
      </w:r>
      <w:r w:rsidRPr="001B4EC1">
        <w:t xml:space="preserve">mentet utarbetats två promemorior, </w:t>
      </w:r>
      <w:r w:rsidRPr="001B4EC1">
        <w:rPr>
          <w:i/>
        </w:rPr>
        <w:t>bilagorna A3.5.2–3.</w:t>
      </w:r>
    </w:p>
    <w:p w:rsidR="00252869" w:rsidRPr="001B4EC1" w:rsidRDefault="00252869">
      <w:pPr>
        <w:pStyle w:val="Normaltindrag"/>
      </w:pPr>
      <w:r w:rsidRPr="001B4EC1">
        <w:t xml:space="preserve">I promemoriorna hänvisas till att Unescos världsarvskommittés beslut om världsarvet Drottningholms slottsområde inte innehåller någon uttrycklig skrivning om samlingarna på Sveriges teatermuseum. Eftersom samlingarna är en viktig del av slottsteatern och bidrar till teaterns stora värde får det dock enligt promemorian anses att dessa ingår. Omständigheter som talar för att samlingarna inte omfattas av konventionsåtagandet är dels att konventionen inte </w:t>
      </w:r>
      <w:r w:rsidRPr="001B4EC1">
        <w:t>innehåller någon uttrycklig skrivning om samlingar, dels att Unescos världsarvskommittés beslut inte heller innehåller någon uttrycklig skrivning om samlingarna på Sveriges teatermuseum. Enligt promemoriorna är det ägaren som har huvudansvaret för sin egendom och som underhåller den. Ägaren svarar för ett världsarvs dagliga skötsel i enlighet med fastställda planer och eventuell skyddslagstiftning. Det innebär också att ägaren skall ha sådan tillsyn att egendomen inte förstörs eller förfaller. Ägarens ansva</w:t>
      </w:r>
      <w:r w:rsidRPr="001B4EC1">
        <w:t>r inn</w:t>
      </w:r>
      <w:r w:rsidRPr="001B4EC1">
        <w:t>e</w:t>
      </w:r>
      <w:r w:rsidRPr="001B4EC1">
        <w:t>bär inte att det är förenligt med statens världsarvsåtagande att låta ett värld</w:t>
      </w:r>
      <w:r w:rsidRPr="001B4EC1">
        <w:t>s</w:t>
      </w:r>
      <w:r w:rsidRPr="001B4EC1">
        <w:t>arvsobjekt helt förfaras. Det förhållandet att regeringen utser delar av näm</w:t>
      </w:r>
      <w:r w:rsidRPr="001B4EC1">
        <w:t>n</w:t>
      </w:r>
      <w:r w:rsidRPr="001B4EC1">
        <w:t>dens ledamöter kan enligt Kulturdepartementet i sig inte anses medföra ett ansvar för stiftelsens verksamhet. Det är Stiftelsen Drottningholms teaterm</w:t>
      </w:r>
      <w:r w:rsidRPr="001B4EC1">
        <w:t>u</w:t>
      </w:r>
      <w:r w:rsidRPr="001B4EC1">
        <w:t>seum och dess styrelse som har ansvaret för samlingarna. Sveriges anslutning till världsarvskonventionen medför i sig ingen skyldighet för staten att ge ekonomiskt stöd till världsarvsobjekten. Årli</w:t>
      </w:r>
      <w:r w:rsidRPr="001B4EC1">
        <w:t>ga statliga bidrag utgår dock både till Drottningholms slottsteater och Sveriges teatermuseum och genom regleringsbrevet anger staten villkoret för statsbidraget, bl.a. om återrapport</w:t>
      </w:r>
      <w:r w:rsidRPr="001B4EC1">
        <w:t>e</w:t>
      </w:r>
      <w:r w:rsidRPr="001B4EC1">
        <w:t>ring i fråga om samlingarnas omfattning, innehåll samt om magasinssituati</w:t>
      </w:r>
      <w:r w:rsidRPr="001B4EC1">
        <w:t>o</w:t>
      </w:r>
      <w:r w:rsidRPr="001B4EC1">
        <w:t>nen. Någon omprioritering när det gäller fördelningen av anslag mellan de två verksamheterna har inte begärts från stifte</w:t>
      </w:r>
      <w:r w:rsidRPr="001B4EC1">
        <w:t>l</w:t>
      </w:r>
      <w:r w:rsidRPr="001B4EC1">
        <w:t>sens sida.</w:t>
      </w:r>
    </w:p>
    <w:p w:rsidR="00252869" w:rsidRPr="001B4EC1" w:rsidRDefault="00252869">
      <w:pPr>
        <w:pStyle w:val="Rubrik3"/>
        <w:rPr>
          <w:noProof w:val="0"/>
        </w:rPr>
      </w:pPr>
      <w:bookmarkStart w:id="116" w:name="_Toc72648547"/>
      <w:r w:rsidRPr="001B4EC1">
        <w:rPr>
          <w:noProof w:val="0"/>
        </w:rPr>
        <w:t>Utskottets ställningstagande</w:t>
      </w:r>
      <w:bookmarkEnd w:id="116"/>
    </w:p>
    <w:p w:rsidR="00252869" w:rsidRPr="001B4EC1" w:rsidRDefault="00252869">
      <w:r w:rsidRPr="001B4EC1">
        <w:t>Statens åtagande enligt världsarvskonventionen innebär att det finns en sky</w:t>
      </w:r>
      <w:r w:rsidRPr="001B4EC1">
        <w:t>l</w:t>
      </w:r>
      <w:r w:rsidRPr="001B4EC1">
        <w:t>dighet för staten att se till att världsarvsobjektet bevaras, skyddas och öve</w:t>
      </w:r>
      <w:r w:rsidRPr="001B4EC1">
        <w:t>r</w:t>
      </w:r>
      <w:r w:rsidRPr="001B4EC1">
        <w:t>lämnas till kommande generationer i ett skick som innebär att värdet inte försämrats. Det är i första hand ägaren som har huvudansvaret för egendomen och dess vård. Som framhållits från Kulturdepartementets sida är det emelle</w:t>
      </w:r>
      <w:r w:rsidRPr="001B4EC1">
        <w:t>r</w:t>
      </w:r>
      <w:r w:rsidRPr="001B4EC1">
        <w:t>tid inte förenligt med statens världsarvsåtagande att låta ett världsarvsobjekt helt förfaras. Enligt utskottets mening för detta med sig att det inom Rege</w:t>
      </w:r>
      <w:r w:rsidRPr="001B4EC1">
        <w:t>r</w:t>
      </w:r>
      <w:r w:rsidRPr="001B4EC1">
        <w:t>ingskansliet bör vara sörjt för en beredskap att vi</w:t>
      </w:r>
      <w:r w:rsidRPr="001B4EC1">
        <w:t>dta de åtgärder som kan behövas för att Sverige skall kunna leva upp till sitt åtagande att inte låta världsarvsobjekt förfaras.</w:t>
      </w:r>
    </w:p>
    <w:p w:rsidR="00252869" w:rsidRPr="001B4EC1" w:rsidRDefault="00252869">
      <w:pPr>
        <w:pStyle w:val="Normaltindrag"/>
      </w:pPr>
      <w:r w:rsidRPr="001B4EC1">
        <w:t>Granskningen föranleder inte något uttalande i övrigt från utskottets sida.</w:t>
      </w:r>
    </w:p>
    <w:p w:rsidR="00252869" w:rsidRPr="001B4EC1" w:rsidRDefault="00252869">
      <w:pPr>
        <w:pStyle w:val="Rubrik2"/>
      </w:pPr>
      <w:bookmarkStart w:id="117" w:name="_Toc72648548"/>
      <w:r w:rsidRPr="001B4EC1">
        <w:t>3.6 Tre f.d. försvarsministrars ansvar i fråga om Försvarsmaktens agera</w:t>
      </w:r>
      <w:r w:rsidRPr="001B4EC1">
        <w:t>n</w:t>
      </w:r>
      <w:r w:rsidRPr="001B4EC1">
        <w:t>de</w:t>
      </w:r>
      <w:bookmarkEnd w:id="117"/>
    </w:p>
    <w:p w:rsidR="00252869" w:rsidRPr="001B4EC1" w:rsidRDefault="00252869">
      <w:pPr>
        <w:pStyle w:val="Rubrik3"/>
        <w:spacing w:before="235"/>
        <w:rPr>
          <w:noProof w:val="0"/>
        </w:rPr>
      </w:pPr>
      <w:bookmarkStart w:id="118" w:name="_Toc72648549"/>
      <w:r w:rsidRPr="001B4EC1">
        <w:rPr>
          <w:noProof w:val="0"/>
        </w:rPr>
        <w:t>Anmälan</w:t>
      </w:r>
      <w:bookmarkEnd w:id="118"/>
    </w:p>
    <w:p w:rsidR="00252869" w:rsidRPr="001B4EC1" w:rsidRDefault="00252869">
      <w:r w:rsidRPr="001B4EC1">
        <w:t xml:space="preserve">I en anmälan i konstitutionsutskottet har begärts att utskottet granskar före detta försvarsministrarna Thage G. Petersons, Anders Björcks och Björn von Sydows roll vid och kännedom om hur Försvarsmakten mellan år 1995 och 2001 använt sig av svenska agenter för att i samarbete med rysk maffia bl.a. köpa en stulen flygradaranläggning, betecknad som elektrooptisk enhet 36 E. Agenterna har även haft andra uppdrag för försvarets räkning, benämnda </w:t>
      </w:r>
      <w:r w:rsidRPr="001B4EC1">
        <w:br/>
        <w:t xml:space="preserve">GP 1, GP 2 och GP 4. </w:t>
      </w:r>
    </w:p>
    <w:p w:rsidR="00252869" w:rsidRPr="001B4EC1" w:rsidRDefault="00252869">
      <w:pPr>
        <w:pStyle w:val="Normaltindrag"/>
      </w:pPr>
      <w:r w:rsidRPr="001B4EC1">
        <w:t>Utskottets granskning bör enligt anmälningen vidare avse ansvarig mini</w:t>
      </w:r>
      <w:r w:rsidRPr="001B4EC1">
        <w:t>s</w:t>
      </w:r>
      <w:r w:rsidRPr="001B4EC1">
        <w:t>ters roll vid och kännedom om vissa förehavanden vid Försvarets materie</w:t>
      </w:r>
      <w:r w:rsidRPr="001B4EC1">
        <w:t>l</w:t>
      </w:r>
      <w:r w:rsidRPr="001B4EC1">
        <w:t>verk och Inspektionen för strategiska produkter samt vissa frågor om up</w:t>
      </w:r>
      <w:r w:rsidRPr="001B4EC1">
        <w:t>p</w:t>
      </w:r>
      <w:r w:rsidRPr="001B4EC1">
        <w:t xml:space="preserve">handling m.m. Anmälningen återfinns i </w:t>
      </w:r>
      <w:r w:rsidRPr="001B4EC1">
        <w:rPr>
          <w:i/>
        </w:rPr>
        <w:t>bilaga A3.6.1</w:t>
      </w:r>
      <w:r w:rsidRPr="001B4EC1">
        <w:t>.</w:t>
      </w:r>
    </w:p>
    <w:p w:rsidR="00252869" w:rsidRPr="001B4EC1" w:rsidRDefault="00252869">
      <w:pPr>
        <w:pStyle w:val="R3"/>
      </w:pPr>
      <w:r w:rsidRPr="001B4EC1">
        <w:t>Utskottets granskning</w:t>
      </w:r>
    </w:p>
    <w:p w:rsidR="00252869" w:rsidRPr="001B4EC1" w:rsidRDefault="00252869">
      <w:r w:rsidRPr="001B4EC1">
        <w:t>Utskottet har riktat in den granskning som anmälningen ger anledning till på vissa frågor om anskaffningen av den aktuella flygradaranläggningen, de ekonomiska befogenheter som förelegat i fråga om köpet samt regeringens eller regeringens ledamöters kännedom om anskaffningen av flygradara</w:t>
      </w:r>
      <w:r w:rsidRPr="001B4EC1">
        <w:t>n</w:t>
      </w:r>
      <w:r w:rsidRPr="001B4EC1">
        <w:t>läggningen och om hanteringen av utfärda</w:t>
      </w:r>
      <w:r w:rsidRPr="001B4EC1">
        <w:t>n</w:t>
      </w:r>
      <w:r w:rsidRPr="001B4EC1">
        <w:t>de av intyg m.m.</w:t>
      </w:r>
    </w:p>
    <w:p w:rsidR="00252869" w:rsidRPr="001B4EC1" w:rsidRDefault="00252869">
      <w:pPr>
        <w:pStyle w:val="R3"/>
      </w:pPr>
      <w:r w:rsidRPr="001B4EC1">
        <w:t>Bakgrund</w:t>
      </w:r>
    </w:p>
    <w:p w:rsidR="00252869" w:rsidRPr="001B4EC1" w:rsidRDefault="00252869">
      <w:pPr>
        <w:pStyle w:val="R4"/>
      </w:pPr>
      <w:r w:rsidRPr="001B4EC1">
        <w:t>Gällande bestämmelser</w:t>
      </w:r>
    </w:p>
    <w:p w:rsidR="00252869" w:rsidRPr="001B4EC1" w:rsidRDefault="00252869">
      <w:pPr>
        <w:pStyle w:val="Rubrik5"/>
        <w:spacing w:before="235"/>
        <w:rPr>
          <w:noProof w:val="0"/>
        </w:rPr>
      </w:pPr>
      <w:r w:rsidRPr="001B4EC1">
        <w:rPr>
          <w:noProof w:val="0"/>
        </w:rPr>
        <w:t>Försvarsunderrättelseverksamhet m.m.</w:t>
      </w:r>
    </w:p>
    <w:p w:rsidR="00252869" w:rsidRPr="001B4EC1" w:rsidRDefault="00252869">
      <w:r w:rsidRPr="001B4EC1">
        <w:t>Enligt 1 § lagen (2000:130) om försvarsunderrättelseverksamhet skall fö</w:t>
      </w:r>
      <w:r w:rsidRPr="001B4EC1">
        <w:t>r</w:t>
      </w:r>
      <w:r w:rsidRPr="001B4EC1">
        <w:t>svarsunderrättelseverksamhet bedrivas för att kartlägga yttre militära hot mot landet och till stöd för svensk utrikes-, försvars- och säkerhetspolitik. I ver</w:t>
      </w:r>
      <w:r w:rsidRPr="001B4EC1">
        <w:t>k</w:t>
      </w:r>
      <w:r w:rsidRPr="001B4EC1">
        <w:t>samheten ingår att medverka i svenskt deltagande i internationellt säkerhet</w:t>
      </w:r>
      <w:r w:rsidRPr="001B4EC1">
        <w:t>s</w:t>
      </w:r>
      <w:r w:rsidRPr="001B4EC1">
        <w:t>samarbete och att, enligt vad regeringen närmare bestämmer, medverka med underrättelser för att stärka samhället vid svåra påfrestningar på samhället i fred. Regeringen bestämmer försvarsunderrättelseverk</w:t>
      </w:r>
      <w:r w:rsidRPr="001B4EC1">
        <w:softHyphen/>
        <w:t>samhetens inriktning. Försvarsunderrättelseverksamhet skall bedrivas av</w:t>
      </w:r>
      <w:r w:rsidRPr="001B4EC1">
        <w:t xml:space="preserve"> Försvarsmakten och de andra myndigheter som regeringen bestämmer. Försvarsmakten skall enligt 4 § förordningen (2000:555) med instruktion för Försvarsmakten leda och bedriva den verksamhet som anges i 1 § lagen om försvarsunderrättelsever</w:t>
      </w:r>
      <w:r w:rsidRPr="001B4EC1">
        <w:t>k</w:t>
      </w:r>
      <w:r w:rsidRPr="001B4EC1">
        <w:t xml:space="preserve">samhet. </w:t>
      </w:r>
    </w:p>
    <w:p w:rsidR="00252869" w:rsidRPr="001B4EC1" w:rsidRDefault="00252869">
      <w:pPr>
        <w:pStyle w:val="Normaltindrag"/>
      </w:pPr>
      <w:r w:rsidRPr="001B4EC1">
        <w:t>Enligt 5 § lagen om försvarsunderrättelseverksamhet skall en särskild nämnd under regeringen ha insyn i försvarsunderrättelseverksamheten. Fö</w:t>
      </w:r>
      <w:r w:rsidRPr="001B4EC1">
        <w:t>r</w:t>
      </w:r>
      <w:r w:rsidRPr="001B4EC1">
        <w:t>svarets underrättelsenämnd har till uppgift att följa underrättelsetjänsten inom Försvarsmakten och de övriga myndigheter som bedriver försvarsunderrätte</w:t>
      </w:r>
      <w:r w:rsidRPr="001B4EC1">
        <w:t>l</w:t>
      </w:r>
      <w:r w:rsidRPr="001B4EC1">
        <w:t>severksamhet (SFS 1988:552). Nämnden skall bl.a. granska att verksamheten bedrivs i enlighet med den inriktning som är bestämd och skall särskilt bl.a. granska de medel och metoder för inhämtning av underrättelser som används.</w:t>
      </w:r>
    </w:p>
    <w:p w:rsidR="00252869" w:rsidRPr="001B4EC1" w:rsidRDefault="00252869">
      <w:pPr>
        <w:pStyle w:val="Normaltindrag"/>
      </w:pPr>
      <w:r w:rsidRPr="001B4EC1">
        <w:t>Försvarets materielverk skall enligt 1 a § förordningen (1996:103) med i</w:t>
      </w:r>
      <w:r w:rsidRPr="001B4EC1">
        <w:t>n</w:t>
      </w:r>
      <w:r w:rsidRPr="001B4EC1">
        <w:t>struktion för Försvarets materielverk och enligt 2 § förordningen (2000:131) om försvarsunderrättelseverksamhet bedriva försvarsunderrättelseverksamhet. De myndigheter som bedriver försvarsunderrättelseverksamhet skall enligt 4 § sistnämnda förordning till Regeringskansliet (Försvarsdepartementet) lämna information om viktiga frågor som uppkommer i samarbetet och om försvarsunderrättelseverksamhetens inriktning i övrigt, verksamhetens bedr</w:t>
      </w:r>
      <w:r w:rsidRPr="001B4EC1">
        <w:t>i</w:t>
      </w:r>
      <w:r w:rsidRPr="001B4EC1">
        <w:t xml:space="preserve">vande i stort och om viktiga händelser. Skrivelser till regeringen </w:t>
      </w:r>
      <w:r w:rsidRPr="001B4EC1">
        <w:t>eller Rege</w:t>
      </w:r>
      <w:r w:rsidRPr="001B4EC1">
        <w:t>r</w:t>
      </w:r>
      <w:r w:rsidRPr="001B4EC1">
        <w:t>ingskansliet som berör försvarsunderrättelsemyndigheternas administration eller förvaltning och som avser försvarsunderrättelseverksamhet skall ställas till expeditions- och rättschefen i Försvarsdepartementet (Försvarsmaktens reglering</w:t>
      </w:r>
      <w:r w:rsidRPr="001B4EC1">
        <w:t>s</w:t>
      </w:r>
      <w:r w:rsidRPr="001B4EC1">
        <w:t xml:space="preserve">brev bilaga 4). </w:t>
      </w:r>
    </w:p>
    <w:p w:rsidR="00252869" w:rsidRPr="001B4EC1" w:rsidRDefault="00252869">
      <w:pPr>
        <w:pStyle w:val="Rubrik5"/>
        <w:rPr>
          <w:noProof w:val="0"/>
        </w:rPr>
      </w:pPr>
      <w:r w:rsidRPr="001B4EC1">
        <w:rPr>
          <w:noProof w:val="0"/>
        </w:rPr>
        <w:t xml:space="preserve">Offentlig upphandling </w:t>
      </w:r>
    </w:p>
    <w:p w:rsidR="00252869" w:rsidRPr="001B4EC1" w:rsidRDefault="00252869">
      <w:r w:rsidRPr="001B4EC1">
        <w:t>Lagen (1992:1528) om offentlig upphandling (LOU) gäller enligt 1 kap. 2 § vid upphandling som görs av bl.a. staten. Enligt 1 kap. 3 § gäller endast b</w:t>
      </w:r>
      <w:r w:rsidRPr="001B4EC1">
        <w:t>e</w:t>
      </w:r>
      <w:r w:rsidRPr="001B4EC1">
        <w:t>stämmelserna i 6 kap. för upphandling som omfattas av sekretess eller andra särskilda begränsningar med hänsyn till rikets säkerhet samt  upphandling av försvarsprodukter och tjänster som inte har civil användning och som omfa</w:t>
      </w:r>
      <w:r w:rsidRPr="001B4EC1">
        <w:t>t</w:t>
      </w:r>
      <w:r w:rsidRPr="001B4EC1">
        <w:t xml:space="preserve">tas av artikel 296 i Romfördraget. Anbud får enligt 6 kap. 2 b § begäras av endast en leverantör bl.a. om det som skall upphandlas av tekniska skäl eller på grund av ensamrätt kan levereras av endast en viss leverantör eller om det gäller ytterligare leveranser från den ursprungliga </w:t>
      </w:r>
      <w:r w:rsidRPr="001B4EC1">
        <w:t xml:space="preserve">leverantören. </w:t>
      </w:r>
    </w:p>
    <w:p w:rsidR="00252869" w:rsidRPr="001B4EC1" w:rsidRDefault="00252869">
      <w:pPr>
        <w:pStyle w:val="Normaltindrag"/>
      </w:pPr>
      <w:r w:rsidRPr="001B4EC1">
        <w:t>Vid upphandling som omfattas av sekretess och andra särskilda begrän</w:t>
      </w:r>
      <w:r w:rsidRPr="001B4EC1">
        <w:t>s</w:t>
      </w:r>
      <w:r w:rsidRPr="001B4EC1">
        <w:t>ningar med hänsyn till rikets säkerhet samt av försvarsprodukter och tjänster som inte har civil användning m.m. får regeringen enligt 6 kap. 17 § föreskr</w:t>
      </w:r>
      <w:r w:rsidRPr="001B4EC1">
        <w:t>i</w:t>
      </w:r>
      <w:r w:rsidRPr="001B4EC1">
        <w:t>va eller i enskilda fall besluta om undantag från bestämmelser i lagen som är nödvändiga med hänsyn till försvars- och säkerhetspolitiska intressen. R</w:t>
      </w:r>
      <w:r w:rsidRPr="001B4EC1">
        <w:t>e</w:t>
      </w:r>
      <w:r w:rsidRPr="001B4EC1">
        <w:t>geringen får i föreskrifter eller i enskilda fall överlåta till en upphandlande enhet att själv besluta om sådana undantag som avses i första stycket. Mater</w:t>
      </w:r>
      <w:r w:rsidRPr="001B4EC1">
        <w:t>i</w:t>
      </w:r>
      <w:r w:rsidRPr="001B4EC1">
        <w:t>elverket har fått förordnande att i vissa fall b</w:t>
      </w:r>
      <w:r w:rsidRPr="001B4EC1">
        <w:t>esluta sådana undantag (3 § förordning  2001:870 om försvarsup</w:t>
      </w:r>
      <w:r w:rsidRPr="001B4EC1">
        <w:t>p</w:t>
      </w:r>
      <w:r w:rsidRPr="001B4EC1">
        <w:t xml:space="preserve">handling). </w:t>
      </w:r>
    </w:p>
    <w:p w:rsidR="00252869" w:rsidRPr="001B4EC1" w:rsidRDefault="00252869">
      <w:pPr>
        <w:pStyle w:val="R3"/>
      </w:pPr>
      <w:r w:rsidRPr="001B4EC1">
        <w:t>Frågestund i riksdagen torsdagen den 23 januari 2003</w:t>
      </w:r>
    </w:p>
    <w:p w:rsidR="00252869" w:rsidRPr="001B4EC1" w:rsidRDefault="00252869">
      <w:r w:rsidRPr="001B4EC1">
        <w:t xml:space="preserve">Lars Ångström anförde vid frågestunden den 23 januari 2003 att det är många som förvånats över uppgifter i TV och kvällstidning om hur det svenska försvaret har använt sig av narkotikasmugglare för att köpa stöldgods från Ryssland och försvarets samarbete med den ryska maffian. </w:t>
      </w:r>
    </w:p>
    <w:p w:rsidR="00252869" w:rsidRPr="001B4EC1" w:rsidRDefault="00252869">
      <w:pPr>
        <w:pStyle w:val="Normaltindrag"/>
      </w:pPr>
      <w:r w:rsidRPr="001B4EC1">
        <w:t>Statsrådet Gunnar Lund anförde att han som ansvarig för vapenexporten skall svara på frågan. Denna fråga aktualiserades redan förra våren i en art</w:t>
      </w:r>
      <w:r w:rsidRPr="001B4EC1">
        <w:t>i</w:t>
      </w:r>
      <w:r w:rsidRPr="001B4EC1">
        <w:t>kelserie i Dagens Nyheter. Det föranledde Materielverket och dess revisorer att noggrant gå igenom om något hade förevarit som det fanns att erinra mot. Inget tydde på det vid det tillfället. Regeringen utgår från att Materielverket, som alla myndigheter, har följt svensk lag. De har att hålla sig till de regler som gäller för offentlig upphandling. Regeringen kan inte och skall inte lägga sig i ärenden om offentlig upphandling som sker i regi av den enskilda my</w:t>
      </w:r>
      <w:r w:rsidRPr="001B4EC1">
        <w:t>n</w:t>
      </w:r>
      <w:r w:rsidRPr="001B4EC1">
        <w:t xml:space="preserve">digheten. </w:t>
      </w:r>
    </w:p>
    <w:p w:rsidR="00252869" w:rsidRPr="001B4EC1" w:rsidRDefault="00252869">
      <w:pPr>
        <w:pStyle w:val="Normaltindrag"/>
      </w:pPr>
      <w:r w:rsidRPr="001B4EC1">
        <w:t>Vidare anfördes att Sverige själv</w:t>
      </w:r>
      <w:r w:rsidRPr="001B4EC1">
        <w:t>klart inte skall samarbeta med rysk ma</w:t>
      </w:r>
      <w:r w:rsidRPr="001B4EC1">
        <w:t>f</w:t>
      </w:r>
      <w:r w:rsidRPr="001B4EC1">
        <w:t>fia. Det finns heller inte tydligt och klart bevisat att så skulle ha skett i det här fallet. Definitivt har inte Sverige som nation gjort det. Det kan ha ägt rum oegentligheter, t.o.m. brott av olika slag, i samband med den här affären. Det skall självklart bli en fråga för polis- och åklagarmyndigheter. Men de sven</w:t>
      </w:r>
      <w:r w:rsidRPr="001B4EC1">
        <w:t>s</w:t>
      </w:r>
      <w:r w:rsidRPr="001B4EC1">
        <w:t>ka myndigheter som har varit involverade i det här har inte begått några fel, såvitt regeringen kan bedöma.</w:t>
      </w:r>
    </w:p>
    <w:p w:rsidR="00252869" w:rsidRPr="001B4EC1" w:rsidRDefault="00252869">
      <w:pPr>
        <w:pStyle w:val="Normaltindrag"/>
      </w:pPr>
      <w:r w:rsidRPr="001B4EC1">
        <w:t>Statsrådet Lund informerade slutligen om att f</w:t>
      </w:r>
      <w:r w:rsidRPr="001B4EC1">
        <w:t>örsvarsministern samma dag hade varit i kontakt med Försvarets materielverk för att få en ytterligare red</w:t>
      </w:r>
      <w:r w:rsidRPr="001B4EC1">
        <w:t>o</w:t>
      </w:r>
      <w:r w:rsidRPr="001B4EC1">
        <w:t xml:space="preserve">visning av ärendet för att se om det finns tillkommande omständigheter. </w:t>
      </w:r>
    </w:p>
    <w:p w:rsidR="00252869" w:rsidRPr="001B4EC1" w:rsidRDefault="00252869">
      <w:pPr>
        <w:pStyle w:val="Rubrik3"/>
        <w:rPr>
          <w:noProof w:val="0"/>
        </w:rPr>
      </w:pPr>
      <w:bookmarkStart w:id="119" w:name="_Toc72648550"/>
      <w:r w:rsidRPr="001B4EC1">
        <w:rPr>
          <w:noProof w:val="0"/>
        </w:rPr>
        <w:t>Promemorior från Regeringskansliet</w:t>
      </w:r>
      <w:bookmarkEnd w:id="119"/>
    </w:p>
    <w:p w:rsidR="00252869" w:rsidRPr="001B4EC1" w:rsidRDefault="00252869">
      <w:r w:rsidRPr="001B4EC1">
        <w:t xml:space="preserve">Mot bakgrund av de uppgifter som förekommit i medierna om Försvarets materielverks anskaffning av viss utrustning från Ryssland har den 24 januari 2003 upprättats en promemoria inom Försvarsdepartementet, </w:t>
      </w:r>
      <w:r w:rsidRPr="001B4EC1">
        <w:rPr>
          <w:i/>
        </w:rPr>
        <w:t>bilaga A3.6.2</w:t>
      </w:r>
      <w:r w:rsidRPr="001B4EC1">
        <w:t xml:space="preserve">. </w:t>
      </w:r>
    </w:p>
    <w:p w:rsidR="00252869" w:rsidRPr="001B4EC1" w:rsidRDefault="00252869">
      <w:pPr>
        <w:pStyle w:val="Normaltindrag"/>
      </w:pPr>
      <w:r w:rsidRPr="001B4EC1">
        <w:t>Utskottet har genom två skrivelser till Regeringskansliet begärt svar på vissa frågor. Som svar har avlämnats promemorior upprättade inom Utrike</w:t>
      </w:r>
      <w:r w:rsidRPr="001B4EC1">
        <w:t>s</w:t>
      </w:r>
      <w:r w:rsidRPr="001B4EC1">
        <w:t>departementet och Försvarsdepartementet den 25 februari 2003 och inom Försvarsd</w:t>
      </w:r>
      <w:r w:rsidRPr="001B4EC1">
        <w:t>e</w:t>
      </w:r>
      <w:r w:rsidRPr="001B4EC1">
        <w:t xml:space="preserve">partementet den 2 april 2004, </w:t>
      </w:r>
      <w:r w:rsidRPr="001B4EC1">
        <w:rPr>
          <w:i/>
        </w:rPr>
        <w:t>bilagorna A3.6.3–4</w:t>
      </w:r>
      <w:r w:rsidRPr="001B4EC1">
        <w:t>.</w:t>
      </w:r>
    </w:p>
    <w:p w:rsidR="00252869" w:rsidRPr="001B4EC1" w:rsidRDefault="00252869">
      <w:pPr>
        <w:pStyle w:val="R4"/>
      </w:pPr>
      <w:r w:rsidRPr="001B4EC1">
        <w:t>Anskaffningen av flygradaranläggningen m.m.</w:t>
      </w:r>
    </w:p>
    <w:p w:rsidR="00252869" w:rsidRPr="001B4EC1" w:rsidRDefault="00252869">
      <w:r w:rsidRPr="001B4EC1">
        <w:t>Enligt promemorian den 24 januari 2003 fick Försvarets materielverk år 1994 Försvarsmaktens uppdrag att från Ryssland anskaffa mätutrustning för mikr</w:t>
      </w:r>
      <w:r w:rsidRPr="001B4EC1">
        <w:t>o</w:t>
      </w:r>
      <w:r w:rsidRPr="001B4EC1">
        <w:t>vågssignaler. Materielverket vände sig till företaget Exico AB som i sin tur anskaffade utrustningen hos det ryska statliga exportföretaget Rosvooruzh</w:t>
      </w:r>
      <w:r w:rsidRPr="001B4EC1">
        <w:t>e</w:t>
      </w:r>
      <w:r w:rsidRPr="001B4EC1">
        <w:t xml:space="preserve">nie. </w:t>
      </w:r>
    </w:p>
    <w:p w:rsidR="00252869" w:rsidRPr="001B4EC1" w:rsidRDefault="00252869">
      <w:pPr>
        <w:pStyle w:val="Normaltindrag"/>
      </w:pPr>
      <w:r w:rsidRPr="001B4EC1">
        <w:t>Utrustningen levererades till Sverige den 16 november 1995. Under tiden fram till oktober 1999 genomfördes tilläggsbeställningar och tilläggslevera</w:t>
      </w:r>
      <w:r w:rsidRPr="001B4EC1">
        <w:t>n</w:t>
      </w:r>
      <w:r w:rsidRPr="001B4EC1">
        <w:t>ser vad gäller mätutrustningen från Rosvooruzhenie via Exico AB. Sedan dess har inga beställningar avseende mätutrus</w:t>
      </w:r>
      <w:r w:rsidRPr="001B4EC1">
        <w:t>t</w:t>
      </w:r>
      <w:r w:rsidRPr="001B4EC1">
        <w:t>ningen gjorts.</w:t>
      </w:r>
    </w:p>
    <w:p w:rsidR="00252869" w:rsidRPr="001B4EC1" w:rsidRDefault="00252869">
      <w:pPr>
        <w:pStyle w:val="Normaltindrag"/>
      </w:pPr>
      <w:r w:rsidRPr="001B4EC1">
        <w:t>På Försvarsmaktens uppdrag gjorde Materielverket år 1998 och 1999 andra beställningar från Ryssland hos Exico AB. Vissa förskottsbetalningar har gjorts. Vad beställningarna avser omfattas av försvarssekretess. Enligt Materielverkets uppfattning fullgjorde inte Exico AB sina åtaganden. Mater</w:t>
      </w:r>
      <w:r w:rsidRPr="001B4EC1">
        <w:t>i</w:t>
      </w:r>
      <w:r w:rsidRPr="001B4EC1">
        <w:t>elverket anser därför att verket har en fordran på bolaget som svarar mot förskottsbetalningarna. Efter år 1999 har Materielverket inte lagt några b</w:t>
      </w:r>
      <w:r w:rsidRPr="001B4EC1">
        <w:t>e</w:t>
      </w:r>
      <w:r w:rsidRPr="001B4EC1">
        <w:t>ställningar på Exico AB.</w:t>
      </w:r>
    </w:p>
    <w:p w:rsidR="00252869" w:rsidRPr="001B4EC1" w:rsidRDefault="00252869">
      <w:pPr>
        <w:pStyle w:val="Normaltindrag"/>
      </w:pPr>
      <w:r w:rsidRPr="001B4EC1">
        <w:t>Som svar på fråga av motsvarande innehåll anförs i promemorian den 25 februari 2003 att regeringen har inte haft någon befattning med anskaffningen av flygradaranläggningen. Försvarsdepartementet har däremot fått inform</w:t>
      </w:r>
      <w:r w:rsidRPr="001B4EC1">
        <w:t>a</w:t>
      </w:r>
      <w:r w:rsidRPr="001B4EC1">
        <w:t>tion från Försvarets materielverk om anskaffningen. Det skedde genom en skrivelse den 22 november 1995. Påföljande dag bekantgjorde Materielverket anskaffningen genom ett pressmeddelande. Materielverkets skrivelse den 22 november 1995 lades till handlingarna som en rutinåtgärd av expeditionsch</w:t>
      </w:r>
      <w:r w:rsidRPr="001B4EC1">
        <w:t>e</w:t>
      </w:r>
      <w:r w:rsidRPr="001B4EC1">
        <w:t>fen den 6 december 1995. Av akten i ärendet framgår inget ytterligare. Det finns inget som tyder på att saken har varit föremål för beredning eller info</w:t>
      </w:r>
      <w:r w:rsidRPr="001B4EC1">
        <w:t>r</w:t>
      </w:r>
      <w:r w:rsidRPr="001B4EC1">
        <w:t>mation till den politiska le</w:t>
      </w:r>
      <w:r w:rsidRPr="001B4EC1">
        <w:t>d</w:t>
      </w:r>
      <w:r w:rsidRPr="001B4EC1">
        <w:t xml:space="preserve">ningen. </w:t>
      </w:r>
    </w:p>
    <w:p w:rsidR="00252869" w:rsidRPr="001B4EC1" w:rsidRDefault="00252869">
      <w:pPr>
        <w:pStyle w:val="Normaltindrag"/>
      </w:pPr>
      <w:r w:rsidRPr="001B4EC1">
        <w:t>Som svar på fråga om rege</w:t>
      </w:r>
      <w:r w:rsidRPr="001B4EC1">
        <w:t>ringens eller regeringens ledamöters kännedom om anskaffningen anförs att någon information om anskaffningen inte har lämnats till regeringen eller till dess ledamöter av berörda myndigheter. Mat</w:t>
      </w:r>
      <w:r w:rsidRPr="001B4EC1">
        <w:t>e</w:t>
      </w:r>
      <w:r w:rsidRPr="001B4EC1">
        <w:t>rielverkets ledning informerade den 24 januari 2003 försvarsminister Leni Björklund om anskaffningen.</w:t>
      </w:r>
    </w:p>
    <w:p w:rsidR="00252869" w:rsidRPr="001B4EC1" w:rsidRDefault="00252869">
      <w:pPr>
        <w:pStyle w:val="Normaltindrag"/>
      </w:pPr>
      <w:r w:rsidRPr="001B4EC1">
        <w:t>I Försvarsdepartementets promemoria den 2 april 2004 anförs som svar på  fråga av motsvarande innehåll att förre expeditions- och rättschefen, numera generaldirektören vid Försvarets radioanstalt, Ingvar Åkesson ha</w:t>
      </w:r>
      <w:r w:rsidRPr="001B4EC1">
        <w:t>r uppgivit att han inte vid något tillfälle inom ramen för sitt arbete med 1996 års underrä</w:t>
      </w:r>
      <w:r w:rsidRPr="001B4EC1">
        <w:t>t</w:t>
      </w:r>
      <w:r w:rsidRPr="001B4EC1">
        <w:t>telsekommitté (Fö 1996:08) diskuterat de anskaffningar som berörs i grans</w:t>
      </w:r>
      <w:r w:rsidRPr="001B4EC1">
        <w:t>k</w:t>
      </w:r>
      <w:r w:rsidRPr="001B4EC1">
        <w:t>ningsärendet. Han har vidare uppgivit att, vad han kan komma ihåg, anskaf</w:t>
      </w:r>
      <w:r w:rsidRPr="001B4EC1">
        <w:t>f</w:t>
      </w:r>
      <w:r w:rsidRPr="001B4EC1">
        <w:t>ningen av de aktuella flygradaranläggningarna över huvud taget inte har diskuterats i kommittén i övrigt. Han hade ingen kännedom om dem vid tiden för kommitténs arbete. Av naturliga skäl har han därmed inte heller lämnat information om anskaffningarna till departementsch</w:t>
      </w:r>
      <w:r w:rsidRPr="001B4EC1">
        <w:t>e</w:t>
      </w:r>
      <w:r w:rsidRPr="001B4EC1">
        <w:t xml:space="preserve">fen. </w:t>
      </w:r>
    </w:p>
    <w:p w:rsidR="00252869" w:rsidRPr="001B4EC1" w:rsidRDefault="00252869">
      <w:pPr>
        <w:pStyle w:val="R4"/>
      </w:pPr>
      <w:r w:rsidRPr="001B4EC1">
        <w:t>De ekonomiska befogenheter som förelegat i fråga om köpet</w:t>
      </w:r>
    </w:p>
    <w:p w:rsidR="00252869" w:rsidRPr="001B4EC1" w:rsidRDefault="00252869">
      <w:r w:rsidRPr="001B4EC1">
        <w:t>I promemorian den 25 februari 2003 anförs att befogenheterna att besluta om anskaffning av materiel under den aktuella tiden har varit uppdelad mellan regeringen och Försvarsmakten. Av regleringsbreven framgår vilka ärenden om materielanskaffning som skulle prövas av regeringen. Anskaffningen av radaranläggningen hörde inte till denna kategori av ärenden.</w:t>
      </w:r>
    </w:p>
    <w:p w:rsidR="00252869" w:rsidRPr="001B4EC1" w:rsidRDefault="00252869">
      <w:pPr>
        <w:pStyle w:val="Normaltindrag"/>
      </w:pPr>
      <w:r w:rsidRPr="001B4EC1">
        <w:t xml:space="preserve">En skyldighet har gällt för Försvarsmakten att till Försvarsdepartementet anmäla avsikten att besluta om anskaffning av materiel där det sammanlagda anskaffningsvärdet för ett enskilt objekt uppgår till 50 miljoner kronor eller mer. År 1997 höjdes beloppet till 100 miljoner kronor. Någon anmälan om avsikten att besluta om anskaffning av flygradaranläggningen har inte gjorts till Försvarsdepartementet. </w:t>
      </w:r>
    </w:p>
    <w:p w:rsidR="00252869" w:rsidRPr="001B4EC1" w:rsidRDefault="00252869">
      <w:pPr>
        <w:pStyle w:val="Normaltindrag"/>
      </w:pPr>
      <w:r w:rsidRPr="001B4EC1">
        <w:t>Av de uppgifter som Materielverket lämnat Försvarsdepartementet med anledning av granskningen framgår att värdet av det som levererades enligt pressmeddelandet var lägre än 50 miljoner kronor. De provkörningar och försök som följde på leveransen ledde till ytterligare beställningar och kos</w:t>
      </w:r>
      <w:r w:rsidRPr="001B4EC1">
        <w:t>t</w:t>
      </w:r>
      <w:r w:rsidRPr="001B4EC1">
        <w:t>nader på några miljoner kronor.</w:t>
      </w:r>
    </w:p>
    <w:p w:rsidR="00252869" w:rsidRPr="001B4EC1" w:rsidRDefault="00252869">
      <w:pPr>
        <w:pStyle w:val="R4"/>
      </w:pPr>
      <w:r w:rsidRPr="001B4EC1">
        <w:t>Regeringen eller regeringens ledamöters kännedom om hanteringen av utfärdande av intyg</w:t>
      </w:r>
    </w:p>
    <w:p w:rsidR="00252869" w:rsidRPr="001B4EC1" w:rsidRDefault="00252869">
      <w:r w:rsidRPr="001B4EC1">
        <w:t>Mot bakgrund av flera tidningsartiklar i mars 2002 med uppgifter om att en person som hade tillverkningstillstånd för krigsmateriel fängslats för missta</w:t>
      </w:r>
      <w:r w:rsidRPr="001B4EC1">
        <w:t>n</w:t>
      </w:r>
      <w:r w:rsidRPr="001B4EC1">
        <w:t>ke om brott mot rikets säkerhet, förhörde sig enheten för strategisk expor</w:t>
      </w:r>
      <w:r w:rsidRPr="001B4EC1">
        <w:t>t</w:t>
      </w:r>
      <w:r w:rsidRPr="001B4EC1">
        <w:t>kontroll på UD (UD-ESEK) hos Inspektionen för strategiska produkter om ärendet. Det framkom att det handlade om en person som hade två tillstånd för tillverkning av krigsmateriel. Enligt uppgift hade det första tillståndet utfärdats i juli 1998 och rörde i huvudsak modifiering av k-pist. Det andra tillståndet hade utfärdats i maj 2001 och avsåg ett bredare tillstånd för handel, utveckling och tillverkning av krigsmateriel. Sedvanlig</w:t>
      </w:r>
      <w:r w:rsidRPr="001B4EC1">
        <w:t>t remissförfarande hade ägt rum inför utfärdandet av det förstnämnda tillståndet med remisser till Polismyndigheten i Skåne och Sydsvenska handelskammaren. Båda remissi</w:t>
      </w:r>
      <w:r w:rsidRPr="001B4EC1">
        <w:t>n</w:t>
      </w:r>
      <w:r w:rsidRPr="001B4EC1">
        <w:t>stanserna uppgavs ha lämnat ärendet utan erinran. Inget remissförfarande tillämpades vid utfärdandet av det senare tillståndet då det följde av det första och inget fanns vid det tillfället att erinra mot innehavarens förfarande med det ursprungliga tillstå</w:t>
      </w:r>
      <w:r w:rsidRPr="001B4EC1">
        <w:t>n</w:t>
      </w:r>
      <w:r w:rsidRPr="001B4EC1">
        <w:t xml:space="preserve">det. </w:t>
      </w:r>
    </w:p>
    <w:p w:rsidR="00252869" w:rsidRPr="001B4EC1" w:rsidRDefault="00252869">
      <w:pPr>
        <w:pStyle w:val="Normaltindrag"/>
      </w:pPr>
      <w:r w:rsidRPr="001B4EC1">
        <w:t>Tillverkningstillstånden hade utfärdats av Inspektionen för strategiska pr</w:t>
      </w:r>
      <w:r w:rsidRPr="001B4EC1">
        <w:t>o</w:t>
      </w:r>
      <w:r w:rsidRPr="001B4EC1">
        <w:t xml:space="preserve">dukter enligt lagen (1992:1300) om krigsmateriel. Myndigheten hade avgjort båda ärendena och således inte överlämnat dem för beslut av regeringen. </w:t>
      </w:r>
    </w:p>
    <w:p w:rsidR="00252869" w:rsidRPr="001B4EC1" w:rsidRDefault="00252869">
      <w:pPr>
        <w:pStyle w:val="Normaltindrag"/>
      </w:pPr>
      <w:r w:rsidRPr="001B4EC1">
        <w:t xml:space="preserve">Statsrådet Leif Pagrotsky informerades av UD-ESEK om ovanstående i slutet av mars 2002. </w:t>
      </w:r>
    </w:p>
    <w:p w:rsidR="00252869" w:rsidRPr="001B4EC1" w:rsidRDefault="00252869">
      <w:pPr>
        <w:pStyle w:val="Normaltindrag"/>
      </w:pPr>
      <w:r w:rsidRPr="001B4EC1">
        <w:t>Inspektionen för strategiska produkter informerade den 19 april 2002 UD-ESEK, som därefter underättade statsrådet Leif Pagrotsky, att myndigheten medgivit säkerhetspolisen att väcka åtal mot den aktuella personen om mis</w:t>
      </w:r>
      <w:r w:rsidRPr="001B4EC1">
        <w:t>s</w:t>
      </w:r>
      <w:r w:rsidRPr="001B4EC1">
        <w:t>tanke att denne uppsåtligen vilselett Inspektionen för strategiska produkter att utfärda tillverkningstillstånd för krigsmateriel. Myndigheten uppgav även att båda tillverkningstillstånden dragits in med omedelbar ve</w:t>
      </w:r>
      <w:r w:rsidRPr="001B4EC1">
        <w:t>r</w:t>
      </w:r>
      <w:r w:rsidRPr="001B4EC1">
        <w:t xml:space="preserve">kan. </w:t>
      </w:r>
    </w:p>
    <w:p w:rsidR="00252869" w:rsidRPr="001B4EC1" w:rsidRDefault="00252869">
      <w:pPr>
        <w:pStyle w:val="Normaltindrag"/>
      </w:pPr>
      <w:r w:rsidRPr="001B4EC1">
        <w:t>Vidare informerade Inspektionen för strategiska produkter om att myndi</w:t>
      </w:r>
      <w:r w:rsidRPr="001B4EC1">
        <w:t>g</w:t>
      </w:r>
      <w:r w:rsidRPr="001B4EC1">
        <w:t>heten i syfte att utöka och förbättra tillsynen vid tillståndshanteringen for</w:t>
      </w:r>
      <w:r w:rsidRPr="001B4EC1">
        <w:t>t</w:t>
      </w:r>
      <w:r w:rsidRPr="001B4EC1">
        <w:t>sättningsvis hade för avsikt att tillsammans med berörd polisinstans göra fysisk inspektion hos sökanden. Ytterligare en åtgärd från myndighetens sida var att tillstånden skulle specificeras vad avsåg produktindelningen och sål</w:t>
      </w:r>
      <w:r w:rsidRPr="001B4EC1">
        <w:t>e</w:t>
      </w:r>
      <w:r w:rsidRPr="001B4EC1">
        <w:t>des inte längre enbart hänvisa till krigsmaterielförteckningens rubriker, vilket i det aktuella fallet hade lett till att til</w:t>
      </w:r>
      <w:r w:rsidRPr="001B4EC1">
        <w:t>l</w:t>
      </w:r>
      <w:r w:rsidRPr="001B4EC1">
        <w:t xml:space="preserve">ståndet fått en bred utformning. </w:t>
      </w:r>
    </w:p>
    <w:p w:rsidR="00252869" w:rsidRPr="001B4EC1" w:rsidRDefault="00252869">
      <w:pPr>
        <w:pStyle w:val="Normaltindrag"/>
      </w:pPr>
      <w:r w:rsidRPr="001B4EC1">
        <w:t xml:space="preserve">Åtalspunkten om vilseledande av Inspektionen </w:t>
      </w:r>
      <w:r w:rsidRPr="001B4EC1">
        <w:t>för strategiska produkter vid utfärdande av tillverkningstillstånd ogillades senare av tingsrätten i Malmö.</w:t>
      </w:r>
    </w:p>
    <w:p w:rsidR="00252869" w:rsidRPr="001B4EC1" w:rsidRDefault="00252869">
      <w:pPr>
        <w:pStyle w:val="Normaltindrag"/>
      </w:pPr>
      <w:r w:rsidRPr="001B4EC1">
        <w:t>Utskottet har inhämtat att Hovrätten över Skåne och Blekinge enligt lag</w:t>
      </w:r>
      <w:r w:rsidRPr="001B4EC1">
        <w:t>a</w:t>
      </w:r>
      <w:r w:rsidRPr="001B4EC1">
        <w:t>kraftvunnen dom den 20 maj 2003 inte har gjort någon annan bedömning än den tingsrätten gjort när det gäller påståendet om brott mot lagen om krig</w:t>
      </w:r>
      <w:r w:rsidRPr="001B4EC1">
        <w:t>s</w:t>
      </w:r>
      <w:r w:rsidRPr="001B4EC1">
        <w:t>materiel.</w:t>
      </w:r>
    </w:p>
    <w:p w:rsidR="00252869" w:rsidRPr="001B4EC1" w:rsidRDefault="00252869">
      <w:pPr>
        <w:pStyle w:val="R3"/>
      </w:pPr>
      <w:r w:rsidRPr="001B4EC1">
        <w:t>Andra utredningar i ärendet</w:t>
      </w:r>
    </w:p>
    <w:p w:rsidR="00252869" w:rsidRPr="001B4EC1" w:rsidRDefault="00252869">
      <w:pPr>
        <w:pStyle w:val="R4"/>
      </w:pPr>
      <w:r w:rsidRPr="001B4EC1">
        <w:t>Försvarets materielverks internrevision hösten 2002</w:t>
      </w:r>
    </w:p>
    <w:p w:rsidR="00252869" w:rsidRPr="001B4EC1" w:rsidRDefault="00252869">
      <w:r w:rsidRPr="001B4EC1">
        <w:t>I Försvarsdepartementets promemoria den 24 januari 2003 anförs att med anledning av bl.a. de uppgifter som förekommit i massmedier har Materie</w:t>
      </w:r>
      <w:r w:rsidRPr="001B4EC1">
        <w:t>l</w:t>
      </w:r>
      <w:r w:rsidRPr="001B4EC1">
        <w:t>verkets internrevision under hösten 2002 gjort en bedömning av huruvida de påståenden som framförts bort föranleda en revision av Materielverkets handläggning av ärendet. Internrevisionens bedömning har resulterat i slutsa</w:t>
      </w:r>
      <w:r w:rsidRPr="001B4EC1">
        <w:t>t</w:t>
      </w:r>
      <w:r w:rsidRPr="001B4EC1">
        <w:t>sen att det vid denna tidpunkt inte framkommit sådana uppgifter vad gäller Materielverkets handläggning av ärendet att då funnits anledning att övergå till en mer g</w:t>
      </w:r>
      <w:r w:rsidRPr="001B4EC1">
        <w:t>e</w:t>
      </w:r>
      <w:r w:rsidRPr="001B4EC1">
        <w:t xml:space="preserve">nomgripande revisionsinsats. </w:t>
      </w:r>
    </w:p>
    <w:p w:rsidR="00252869" w:rsidRPr="001B4EC1" w:rsidRDefault="00252869">
      <w:pPr>
        <w:pStyle w:val="Normaltindrag"/>
      </w:pPr>
      <w:r w:rsidRPr="001B4EC1">
        <w:t>Materielverket konstaterar att massmedier återupprepat tidigare påståenden om Materielverkets</w:t>
      </w:r>
      <w:r w:rsidRPr="001B4EC1">
        <w:t xml:space="preserve"> handläggning av ärendet och framfört nya uppgifter vilka innehåller allvarlig kritik mot Materielverket. Generaldirektören och verkets styrelse avser därför enligt promemorian att ge internrevisionen ett nytt up</w:t>
      </w:r>
      <w:r w:rsidRPr="001B4EC1">
        <w:t>p</w:t>
      </w:r>
      <w:r w:rsidRPr="001B4EC1">
        <w:t>drag att snarast genomföra en genomlysning av hur angivna upphandlingar har handlagts av Materielverket och dess meda</w:t>
      </w:r>
      <w:r w:rsidRPr="001B4EC1">
        <w:t>r</w:t>
      </w:r>
      <w:r w:rsidRPr="001B4EC1">
        <w:t>betare.</w:t>
      </w:r>
    </w:p>
    <w:p w:rsidR="00252869" w:rsidRPr="001B4EC1" w:rsidRDefault="00252869">
      <w:pPr>
        <w:pStyle w:val="R4"/>
      </w:pPr>
      <w:r w:rsidRPr="001B4EC1">
        <w:t>Försvarets materielverks rapport den 28 april 2003 avseende granskning av Försvarets materielverks upphandlingar från företaget Exico AB m.m.</w:t>
      </w:r>
    </w:p>
    <w:p w:rsidR="00252869" w:rsidRPr="001B4EC1" w:rsidRDefault="00252869">
      <w:r w:rsidRPr="001B4EC1">
        <w:t>Försvarets materielverks styrelse och generaldirektör uppdrog genom beslut den 31 januari 2003 åt Materielverkets internrevision att genomföra en granskning av upphandlingar från Exico AB samt hur dessa upphandlingar och ärendet i övrigt handlagts av Materielverket. Av rapporten den 28 april 2003 framgår följande.</w:t>
      </w:r>
    </w:p>
    <w:p w:rsidR="00252869" w:rsidRPr="001B4EC1" w:rsidRDefault="00252869">
      <w:pPr>
        <w:pStyle w:val="Normaltindrag"/>
      </w:pPr>
      <w:r w:rsidRPr="001B4EC1">
        <w:t xml:space="preserve">Under början av 1990-talet uppstod efter Sovjetunionens upplösning en unik möjlighet att införskaffa materiel och information från Ryssland. Mot bakgrund av svenska Försvarsmaktens intresse av teknisk information om radar ansågs det angeläget att ta till vara denna möjlighet. </w:t>
      </w:r>
    </w:p>
    <w:p w:rsidR="00252869" w:rsidRPr="001B4EC1" w:rsidRDefault="00252869">
      <w:pPr>
        <w:pStyle w:val="Normaltindrag"/>
      </w:pPr>
      <w:r w:rsidRPr="001B4EC1">
        <w:t>Vid granskningen har framkommit att utrustning till stor del upphandlats för ett underrättelseintresse. Denna omständighet har bidragit till att vissa upphandlingar har formella brister samt till att Materielverket inte i alla lägen agerat fullt affärsmässigt. Det är således inga vanliga upphandlingar. Bedö</w:t>
      </w:r>
      <w:r w:rsidRPr="001B4EC1">
        <w:t>m</w:t>
      </w:r>
      <w:r w:rsidRPr="001B4EC1">
        <w:t>ningarna i rapporten görs dock mot Materielverkets tjänsteföreskrifter gälla</w:t>
      </w:r>
      <w:r w:rsidRPr="001B4EC1">
        <w:t>n</w:t>
      </w:r>
      <w:r w:rsidRPr="001B4EC1">
        <w:t xml:space="preserve">de upphandling och LOU. Av utredningen framgår att samtliga upphandlingar av Exico AB har genomförts som upphandlingar enligt 6 kap. LOU riktade  mot endast en leverantör. </w:t>
      </w:r>
    </w:p>
    <w:p w:rsidR="00252869" w:rsidRPr="001B4EC1" w:rsidRDefault="00252869">
      <w:pPr>
        <w:pStyle w:val="Normaltindrag"/>
      </w:pPr>
      <w:r w:rsidRPr="001B4EC1">
        <w:t>Utskottet har gjort sig underrättat om Materielverkets hela granskning</w:t>
      </w:r>
      <w:r w:rsidRPr="001B4EC1">
        <w:t>s</w:t>
      </w:r>
      <w:r w:rsidRPr="001B4EC1">
        <w:t>rapport.</w:t>
      </w:r>
    </w:p>
    <w:p w:rsidR="00252869" w:rsidRPr="001B4EC1" w:rsidRDefault="00252869">
      <w:pPr>
        <w:pStyle w:val="R4"/>
      </w:pPr>
      <w:r w:rsidRPr="001B4EC1">
        <w:t>Riksdagens ombudsmän</w:t>
      </w:r>
    </w:p>
    <w:p w:rsidR="00252869" w:rsidRPr="001B4EC1" w:rsidRDefault="00252869">
      <w:r w:rsidRPr="001B4EC1">
        <w:t>Frågan om Inspektionens för strategiska produkter hantering av tillstånd för tillverkning av krigsmateriel prövas för närvarande av Riksdagens ombud</w:t>
      </w:r>
      <w:r w:rsidRPr="001B4EC1">
        <w:t>s</w:t>
      </w:r>
      <w:r w:rsidRPr="001B4EC1">
        <w:t>män</w:t>
      </w:r>
      <w:r w:rsidRPr="001B4EC1">
        <w:rPr>
          <w:b/>
        </w:rPr>
        <w:t xml:space="preserve"> </w:t>
      </w:r>
      <w:r w:rsidRPr="001B4EC1">
        <w:t>efter en anmälan om att tillstånd och intyg utfärdats för skens skull och att tillstånd är givna med annat syfte än tillverkning.</w:t>
      </w:r>
    </w:p>
    <w:p w:rsidR="00252869" w:rsidRPr="001B4EC1" w:rsidRDefault="00252869">
      <w:pPr>
        <w:pStyle w:val="Rubrik3"/>
        <w:rPr>
          <w:noProof w:val="0"/>
        </w:rPr>
      </w:pPr>
      <w:bookmarkStart w:id="120" w:name="_Toc72648551"/>
      <w:r w:rsidRPr="001B4EC1">
        <w:rPr>
          <w:noProof w:val="0"/>
        </w:rPr>
        <w:t>Utskottets ställningstagande</w:t>
      </w:r>
      <w:bookmarkEnd w:id="120"/>
    </w:p>
    <w:p w:rsidR="00252869" w:rsidRPr="001B4EC1" w:rsidRDefault="00252869">
      <w:r w:rsidRPr="001B4EC1">
        <w:t>Utskottet har i sin granskning inte funnit att berörda statsråd varit involverade i de frågor som behandlas i anmälningen. Granskningen föranleder därför inte något uttalande av utsko</w:t>
      </w:r>
      <w:r w:rsidRPr="001B4EC1">
        <w:t>t</w:t>
      </w:r>
      <w:r w:rsidRPr="001B4EC1">
        <w:t>tet.</w:t>
      </w:r>
    </w:p>
    <w:p w:rsidR="00252869" w:rsidRPr="001B4EC1" w:rsidRDefault="00252869"/>
    <w:p w:rsidR="00252869" w:rsidRPr="001B4EC1" w:rsidRDefault="00252869">
      <w:pPr>
        <w:pStyle w:val="Normaltindrag"/>
        <w:sectPr w:rsidR="00000000" w:rsidRPr="001B4EC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52869" w:rsidRPr="001B4EC1" w:rsidRDefault="00252869">
      <w:pPr>
        <w:pStyle w:val="Rubrik1"/>
        <w:rPr>
          <w:noProof w:val="0"/>
        </w:rPr>
      </w:pPr>
      <w:bookmarkStart w:id="121" w:name="_Toc72648552"/>
      <w:r w:rsidRPr="001B4EC1">
        <w:rPr>
          <w:noProof w:val="0"/>
        </w:rPr>
        <w:t>4 Vissa frågor rörande statsministern</w:t>
      </w:r>
      <w:bookmarkEnd w:id="121"/>
    </w:p>
    <w:p w:rsidR="00252869" w:rsidRPr="001B4EC1" w:rsidRDefault="00252869">
      <w:pPr>
        <w:pStyle w:val="Rubrik2"/>
        <w:spacing w:before="0"/>
      </w:pPr>
      <w:bookmarkStart w:id="122" w:name="_Toc72648553"/>
      <w:r w:rsidRPr="001B4EC1">
        <w:t>4.1 Statsminister Göran Perssons agerande i förhållande till ett visst medieföretag</w:t>
      </w:r>
      <w:bookmarkEnd w:id="122"/>
    </w:p>
    <w:p w:rsidR="00252869" w:rsidRPr="001B4EC1" w:rsidRDefault="00252869">
      <w:pPr>
        <w:pStyle w:val="Rubrik3"/>
        <w:spacing w:before="110"/>
        <w:rPr>
          <w:noProof w:val="0"/>
        </w:rPr>
      </w:pPr>
      <w:bookmarkStart w:id="123" w:name="_Toc72648554"/>
      <w:r w:rsidRPr="001B4EC1">
        <w:rPr>
          <w:noProof w:val="0"/>
        </w:rPr>
        <w:t>Ärendet</w:t>
      </w:r>
      <w:bookmarkEnd w:id="123"/>
      <w:r w:rsidRPr="001B4EC1">
        <w:rPr>
          <w:noProof w:val="0"/>
        </w:rPr>
        <w:t xml:space="preserve"> </w:t>
      </w:r>
    </w:p>
    <w:p w:rsidR="00252869" w:rsidRPr="001B4EC1" w:rsidRDefault="00252869">
      <w:r w:rsidRPr="001B4EC1">
        <w:t xml:space="preserve">I en granskningsanmälan, </w:t>
      </w:r>
      <w:r w:rsidRPr="001B4EC1">
        <w:rPr>
          <w:i/>
        </w:rPr>
        <w:t>bilaga A4.1.1</w:t>
      </w:r>
      <w:r w:rsidRPr="001B4EC1">
        <w:t>, begärs att konstitutionsutskottet granskar statsminister Göran Persson för den kritik som han skall ha riktat mot TV 4 för dess bevakning av valrörelsen 2002. Anmälaren hänvisar till uppgifter som framkom i Sveriges Radios program Ekots lördagsintervju den 3 januari 2004. Enligt dessa uppgifter skulle statsministern före valdagen 2002 ha fört ett samtal med TV 4:s vd Jan Scherman om programföretagets bevakning av valrörelsen. Enligt anmälaren uppgav Jan Scherman i lördag</w:t>
      </w:r>
      <w:r w:rsidRPr="001B4EC1">
        <w:t>s</w:t>
      </w:r>
      <w:r w:rsidRPr="001B4EC1">
        <w:t>intervjun att statsmi</w:t>
      </w:r>
      <w:r w:rsidRPr="001B4EC1">
        <w:t>nistern skulle ha uttalat: ”Du investerar tungt i en borge</w:t>
      </w:r>
      <w:r w:rsidRPr="001B4EC1">
        <w:t>r</w:t>
      </w:r>
      <w:r w:rsidRPr="001B4EC1">
        <w:t>lig valseger. Tänk om det blir en socialdemokratisk valseger. Då få du hela kanslihuset emot dig, har du tänkt på det?”</w:t>
      </w:r>
    </w:p>
    <w:p w:rsidR="00252869" w:rsidRPr="001B4EC1" w:rsidRDefault="00252869">
      <w:pPr>
        <w:pStyle w:val="Normaltindrag"/>
      </w:pPr>
      <w:r w:rsidRPr="001B4EC1">
        <w:t xml:space="preserve">Om citatet korrekt återspeglar samtalet avslöjar det enligt anmälaren en ambition från statsministern att tvinga fram en mer gynnsam valbevakning av regeringspartiet. Detta är i så fall ytterst allvarliga omständigheter som bör granskas. </w:t>
      </w:r>
    </w:p>
    <w:p w:rsidR="00252869" w:rsidRPr="001B4EC1" w:rsidRDefault="00252869">
      <w:pPr>
        <w:pStyle w:val="Normaltindrag"/>
      </w:pPr>
      <w:r w:rsidRPr="001B4EC1">
        <w:t>Anmälaren anser att konstitutionsutskottet bör utreda om statsministerns samtal med Jan Scherman är sådan verksamhet som statsråd enligt 6 kap. 9 § andra stycket inte skall ägna sig åt, eftersom det kan rubba förtroendet för dem.</w:t>
      </w:r>
    </w:p>
    <w:p w:rsidR="00252869" w:rsidRPr="001B4EC1" w:rsidRDefault="00252869">
      <w:r w:rsidRPr="001B4EC1">
        <w:t xml:space="preserve">Till grund för granskningen har bl.a. legat en promemoria upprättad inom Statsrådsberedningen, </w:t>
      </w:r>
      <w:r w:rsidRPr="001B4EC1">
        <w:rPr>
          <w:i/>
        </w:rPr>
        <w:t>bilaga A4.1.2</w:t>
      </w:r>
      <w:r w:rsidRPr="001B4EC1">
        <w:t xml:space="preserve">, skrivelser från Jan Scherman, vd för TV 4 AB, </w:t>
      </w:r>
      <w:r w:rsidRPr="001B4EC1">
        <w:rPr>
          <w:i/>
        </w:rPr>
        <w:t>bilagorna A4.1.3–5</w:t>
      </w:r>
      <w:r w:rsidRPr="001B4EC1">
        <w:t>, samt utfrågningar med Jan Scherman och statm</w:t>
      </w:r>
      <w:r w:rsidRPr="001B4EC1">
        <w:t>i</w:t>
      </w:r>
      <w:r w:rsidRPr="001B4EC1">
        <w:t>nister Göran Per</w:t>
      </w:r>
      <w:r w:rsidRPr="001B4EC1">
        <w:t>s</w:t>
      </w:r>
      <w:r w:rsidRPr="001B4EC1">
        <w:t xml:space="preserve">son, </w:t>
      </w:r>
      <w:r w:rsidRPr="001B4EC1">
        <w:rPr>
          <w:i/>
        </w:rPr>
        <w:t>bilagorna B9 och B10</w:t>
      </w:r>
      <w:r w:rsidRPr="001B4EC1">
        <w:t>.</w:t>
      </w:r>
    </w:p>
    <w:p w:rsidR="00252869" w:rsidRPr="001B4EC1" w:rsidRDefault="00252869">
      <w:pPr>
        <w:pStyle w:val="R3"/>
      </w:pPr>
      <w:r w:rsidRPr="001B4EC1">
        <w:t>Gällande regler</w:t>
      </w:r>
    </w:p>
    <w:p w:rsidR="00252869" w:rsidRPr="001B4EC1" w:rsidRDefault="00252869">
      <w:pPr>
        <w:pStyle w:val="R4"/>
      </w:pPr>
      <w:r w:rsidRPr="001B4EC1">
        <w:t>Programföretags oberoende m.m.</w:t>
      </w:r>
    </w:p>
    <w:p w:rsidR="00252869" w:rsidRPr="001B4EC1" w:rsidRDefault="00252869">
      <w:r w:rsidRPr="001B4EC1">
        <w:t>Allmänt</w:t>
      </w:r>
    </w:p>
    <w:p w:rsidR="00252869" w:rsidRPr="001B4EC1" w:rsidRDefault="00252869">
      <w:r w:rsidRPr="001B4EC1">
        <w:t>Yttrandefrihetsgrundlagen (YGL) reglerar skyddet för yttrandefrihet i radio, television, filmer, videogram och ljudupptagningar m.m. Lagen bygger på samma grundsatser som tryckfrihetsförordningen. Detta innebär bl.a. att ce</w:t>
      </w:r>
      <w:r w:rsidRPr="001B4EC1">
        <w:t>n</w:t>
      </w:r>
      <w:r w:rsidRPr="001B4EC1">
        <w:t>surförbud och etableringsfrihet i princip gäller också för de medier som o</w:t>
      </w:r>
      <w:r w:rsidRPr="001B4EC1">
        <w:t>m</w:t>
      </w:r>
      <w:r w:rsidRPr="001B4EC1">
        <w:t>fattas av yttrandefrihetsgrundlagen. Endast i fråga om användningen av radi</w:t>
      </w:r>
      <w:r w:rsidRPr="001B4EC1">
        <w:t>o</w:t>
      </w:r>
      <w:r w:rsidRPr="001B4EC1">
        <w:t>frekvensspektrum har etableringsfrihet i tryckfrihetsrättslig mening inte ku</w:t>
      </w:r>
      <w:r w:rsidRPr="001B4EC1">
        <w:t>n</w:t>
      </w:r>
      <w:r w:rsidRPr="001B4EC1">
        <w:t>nat införas.</w:t>
      </w:r>
    </w:p>
    <w:p w:rsidR="00252869" w:rsidRPr="001B4EC1" w:rsidRDefault="00252869">
      <w:pPr>
        <w:spacing w:before="187"/>
      </w:pPr>
      <w:r w:rsidRPr="001B4EC1">
        <w:br w:type="page"/>
        <w:t>Förbud mot förhandsgranskning</w:t>
      </w:r>
    </w:p>
    <w:p w:rsidR="00252869" w:rsidRPr="001B4EC1" w:rsidRDefault="00252869">
      <w:r w:rsidRPr="001B4EC1">
        <w:t>Enligt 1 kap. 3 § första stycket YGL får det inte förekomma att något som är avsett att framföras i ett radioprogram eller en teknisk upptagning först måste granskas av en myndighet eller något annat allmänt organ. Inte heller är det tillåtet för myndigheter och andra allmänna organ att utan stöd i denna grundlag, på grund av det kända eller väntade innehållet i ett radioprogram eller en teknisk upptagning, förbjuda eller hindra dess offentliggörande eller spridning bland allmänheten.</w:t>
      </w:r>
    </w:p>
    <w:p w:rsidR="00252869" w:rsidRPr="001B4EC1" w:rsidRDefault="00252869">
      <w:pPr>
        <w:spacing w:before="187"/>
      </w:pPr>
      <w:r w:rsidRPr="001B4EC1">
        <w:t>Principen om etableringsfrihet och medgivandet till lagstiftning</w:t>
      </w:r>
    </w:p>
    <w:p w:rsidR="00252869" w:rsidRPr="001B4EC1" w:rsidRDefault="00252869">
      <w:r w:rsidRPr="001B4EC1">
        <w:t xml:space="preserve">Enligt 3 kap. 1 § första stycket YGL har varje svensk medborgare och svensk juridisk person rätt att sända radioprogram genom tråd (kabel). </w:t>
      </w:r>
    </w:p>
    <w:p w:rsidR="00252869" w:rsidRPr="001B4EC1" w:rsidRDefault="00252869">
      <w:pPr>
        <w:pStyle w:val="Normaltindrag"/>
      </w:pPr>
      <w:r w:rsidRPr="001B4EC1">
        <w:t>Rätten att sända radioprogram på annat sätt än genom tråd får enligt 3 kap. 2 § YGL regleras genom lag som innehåller föreskrifter om tillstånd och villkor för att sända. Det allmänna skall eftersträva att radiofrekvenserna tas i a</w:t>
      </w:r>
      <w:r w:rsidRPr="001B4EC1">
        <w:t>n</w:t>
      </w:r>
      <w:r w:rsidRPr="001B4EC1">
        <w:t xml:space="preserve">språk på ett sätt som leder till vidast möjliga yttrandefrihet. </w:t>
      </w:r>
    </w:p>
    <w:p w:rsidR="00252869" w:rsidRPr="001B4EC1" w:rsidRDefault="00252869">
      <w:pPr>
        <w:pStyle w:val="Normaltindrag"/>
      </w:pPr>
      <w:r w:rsidRPr="001B4EC1">
        <w:t>Bestämmelser om tillstånd och villkor för trådlösa sändningar finns i r</w:t>
      </w:r>
      <w:r w:rsidRPr="001B4EC1">
        <w:t>a</w:t>
      </w:r>
      <w:r w:rsidRPr="001B4EC1">
        <w:t>dio- och TV-lagen (1996:844). Tillstånd att sända TV-program meddelas enligt 2 kap. 2 § av regeringen. I lagen finns dels generella föreskrifter, dels en möjlighet för regeringen att i samband med att tillstånd ges bestämma villkor för sändningarna. Villkor som rör tillståndets innehåll, innebörd och bestånd framgår huvudsakligen direkt av bestämmelser i lagen (prop. 1995/96:160 s. 82 f.). Övriga villkor tas in i de enskilda sändningstillstånden. Vilka villkor som kan förekomma framgår av 3 kap. radio- och</w:t>
      </w:r>
      <w:r w:rsidRPr="001B4EC1">
        <w:t xml:space="preserve"> TV-lagen. Uppräkningen anger uttömmande vilka villkor regeringen får ställa (a. prop. s. 84).</w:t>
      </w:r>
    </w:p>
    <w:p w:rsidR="00252869" w:rsidRPr="001B4EC1" w:rsidRDefault="00252869">
      <w:pPr>
        <w:pStyle w:val="Normaltindrag"/>
      </w:pPr>
      <w:r w:rsidRPr="001B4EC1">
        <w:t>Ett av de villkor som sändningstillstånd får förenas med är att sändning</w:t>
      </w:r>
      <w:r w:rsidRPr="001B4EC1">
        <w:t>s</w:t>
      </w:r>
      <w:r w:rsidRPr="001B4EC1">
        <w:t>rätten skall utövas opartiskt och sakligt samt med beaktande av att en vi</w:t>
      </w:r>
      <w:r w:rsidRPr="001B4EC1">
        <w:t>d</w:t>
      </w:r>
      <w:r w:rsidRPr="001B4EC1">
        <w:t xml:space="preserve">sträckt yttrandefrihet och informationsfrihet skall råda i televisionen (3 kap. </w:t>
      </w:r>
      <w:r w:rsidRPr="001B4EC1">
        <w:br/>
        <w:t>1 §).</w:t>
      </w:r>
    </w:p>
    <w:p w:rsidR="00252869" w:rsidRPr="001B4EC1" w:rsidRDefault="00252869">
      <w:pPr>
        <w:spacing w:before="187"/>
      </w:pPr>
      <w:r w:rsidRPr="001B4EC1">
        <w:t>Programföretags redaktionella självständighet</w:t>
      </w:r>
    </w:p>
    <w:p w:rsidR="00252869" w:rsidRPr="001B4EC1" w:rsidRDefault="00252869">
      <w:r w:rsidRPr="001B4EC1">
        <w:t>Enligt 3 kap. 4 § YGL skall den som sänder radioprogram självständigt avg</w:t>
      </w:r>
      <w:r w:rsidRPr="001B4EC1">
        <w:t>ö</w:t>
      </w:r>
      <w:r w:rsidRPr="001B4EC1">
        <w:t>ra vad som skall förekomma i programmen.</w:t>
      </w:r>
    </w:p>
    <w:p w:rsidR="00252869" w:rsidRPr="001B4EC1" w:rsidRDefault="00252869">
      <w:pPr>
        <w:pStyle w:val="Normaltindrag"/>
      </w:pPr>
      <w:r w:rsidRPr="001B4EC1">
        <w:t>Bestämmelsen innebär att krav på innehållet i vad som sänds kan ställas endast genom lag eller genom sådana tillståndsvillkor som får förekomma. På detta sätt utgör bestämmelsen om programföretags redaktionella självständi</w:t>
      </w:r>
      <w:r w:rsidRPr="001B4EC1">
        <w:t>g</w:t>
      </w:r>
      <w:r w:rsidRPr="001B4EC1">
        <w:t>het ett uttryckligt skydd mot påtryckningar från det allmännas sida. Den är enligt motiven emellertid också avsedd att lämna utrymme för lagstiftning som syftar till att värna programföretags oberoende gentemot andra, t.ex. annons</w:t>
      </w:r>
      <w:bookmarkStart w:id="124" w:name="_Toc41721918"/>
      <w:r w:rsidRPr="001B4EC1">
        <w:t>örer (prop. 1990/91:64 s. 117).</w:t>
      </w:r>
    </w:p>
    <w:p w:rsidR="00252869" w:rsidRPr="001B4EC1" w:rsidRDefault="00252869">
      <w:pPr>
        <w:spacing w:before="187"/>
      </w:pPr>
      <w:r w:rsidRPr="001B4EC1">
        <w:br w:type="page"/>
        <w:t>TV 4 AB:s sändningstillstånd</w:t>
      </w:r>
    </w:p>
    <w:p w:rsidR="00252869" w:rsidRPr="001B4EC1" w:rsidRDefault="00252869">
      <w:r w:rsidRPr="001B4EC1">
        <w:t xml:space="preserve">Regeringen beslutade den 20 december 2001 att meddela TV 4 AB tillstånd att sända rikstäckande marksänd television med analog teknik. Villkoren för sändningstillståndet anges i bilaga till beslutet. </w:t>
      </w:r>
    </w:p>
    <w:p w:rsidR="00252869" w:rsidRPr="001B4EC1" w:rsidRDefault="00252869">
      <w:pPr>
        <w:pStyle w:val="Normaltindrag"/>
      </w:pPr>
      <w:r w:rsidRPr="001B4EC1">
        <w:t>I bilagan föreskrivs att tillståndet träder i kraft den 1 januari 2002 och gäl</w:t>
      </w:r>
      <w:r w:rsidRPr="001B4EC1">
        <w:t>l</w:t>
      </w:r>
      <w:r w:rsidRPr="001B4EC1">
        <w:t xml:space="preserve">er t.o.m. den 31 december 2005. </w:t>
      </w:r>
    </w:p>
    <w:p w:rsidR="00252869" w:rsidRPr="001B4EC1" w:rsidRDefault="00252869">
      <w:pPr>
        <w:pStyle w:val="Normaltindrag"/>
      </w:pPr>
      <w:r w:rsidRPr="001B4EC1">
        <w:t xml:space="preserve">Enligt villkoren skall sändningsrätten utövas opartiskt och sakligt. Av detta följer att bestämmelsen i 6 kap. 5 § radio- och TV-lagen om förbud mot åsiktsreklam skall iakttas (1 §). Kravet på opartiskhet och saklighet gäller dock inte reklam och program som inte är reklam och som sänds på uppdrag av någon annan. </w:t>
      </w:r>
    </w:p>
    <w:p w:rsidR="00252869" w:rsidRPr="001B4EC1" w:rsidRDefault="00252869">
      <w:pPr>
        <w:pStyle w:val="Normaltindrag"/>
      </w:pPr>
      <w:r w:rsidRPr="001B4EC1">
        <w:t>Vidare föreskrivs bl.a. att TV 4 skall, inom ramen för de kommersiella villkor företaget har att följa, erbjuda ett mångsidigt programutbud som kä</w:t>
      </w:r>
      <w:r w:rsidRPr="001B4EC1">
        <w:t>n</w:t>
      </w:r>
      <w:r w:rsidRPr="001B4EC1">
        <w:t>netecknas av hög kvalitet (10 §). I samma villkorsbestämmelse sägs bl.a. att TV 4 skall meddela nyheter samt kommentera eller på annat sätt belysa hä</w:t>
      </w:r>
      <w:r w:rsidRPr="001B4EC1">
        <w:t>n</w:t>
      </w:r>
      <w:r w:rsidRPr="001B4EC1">
        <w:t>delser och skeenden och därvid ge den allsidiga information som medborga</w:t>
      </w:r>
      <w:r w:rsidRPr="001B4EC1">
        <w:t>r</w:t>
      </w:r>
      <w:r w:rsidRPr="001B4EC1">
        <w:t>na behöver för att vara orienterade och kunna ta ställning i samhällsfrågor. Bolaget skall stimulera till debatt kring viktigare samhällsfrågor.</w:t>
      </w:r>
    </w:p>
    <w:p w:rsidR="00252869" w:rsidRPr="001B4EC1" w:rsidRDefault="00252869">
      <w:pPr>
        <w:pStyle w:val="Normaltindrag"/>
      </w:pPr>
      <w:r w:rsidRPr="001B4EC1">
        <w:t>Därutöver sägs i samma villkorsbestämmelse att TV 4 skall granska my</w:t>
      </w:r>
      <w:r w:rsidRPr="001B4EC1">
        <w:t>n</w:t>
      </w:r>
      <w:r w:rsidRPr="001B4EC1">
        <w:t>digheter, organisationer och företag som har inflytande på beslut som rör medborgarna samt spegla verksamheten inom sådana organ och inom andra sa</w:t>
      </w:r>
      <w:r w:rsidRPr="001B4EC1">
        <w:t>m</w:t>
      </w:r>
      <w:r w:rsidRPr="001B4EC1">
        <w:t xml:space="preserve">manslutningar och föreningar. </w:t>
      </w:r>
    </w:p>
    <w:p w:rsidR="00252869" w:rsidRPr="001B4EC1" w:rsidRDefault="00252869">
      <w:pPr>
        <w:pStyle w:val="Normaltindrag"/>
      </w:pPr>
      <w:r w:rsidRPr="001B4EC1">
        <w:t>Regeringen har vid olika tillfällen beslutat att meddela TV 4  tillstånd att sända marksänd television med digital teknik. Detta skedde för första gången den 20 december 2001, och ändrades genom beslut 4 april 2002 och den 19 december 2002. Det nu gällande tillståndet meddelades den 18 december 2003 och trädde i kraft den 1 januari</w:t>
      </w:r>
      <w:r w:rsidRPr="001B4EC1">
        <w:t xml:space="preserve"> 2004. Det gäller till utgången av 2005.</w:t>
      </w:r>
    </w:p>
    <w:p w:rsidR="00252869" w:rsidRPr="001B4EC1" w:rsidRDefault="00252869">
      <w:pPr>
        <w:pStyle w:val="Normaltindrag"/>
      </w:pPr>
      <w:r w:rsidRPr="001B4EC1">
        <w:t>Vad gäller villkor för sändningsrätten anges att de villkor som gäller enligt sändningstillståndet för marksänd television med analog teknik också gäller för de digitala sändningarna med vissa ändringar. Dessa ändringar påverkar inte innebörden i de villkor som redovisats ovan angående de analoga sän</w:t>
      </w:r>
      <w:r w:rsidRPr="001B4EC1">
        <w:t>d</w:t>
      </w:r>
      <w:r w:rsidRPr="001B4EC1">
        <w:t>ningarna.</w:t>
      </w:r>
    </w:p>
    <w:p w:rsidR="00252869" w:rsidRPr="001B4EC1" w:rsidRDefault="00252869">
      <w:pPr>
        <w:pStyle w:val="R4"/>
      </w:pPr>
      <w:r w:rsidRPr="001B4EC1">
        <w:t>Koncessionsavgifter</w:t>
      </w:r>
    </w:p>
    <w:p w:rsidR="00252869" w:rsidRPr="001B4EC1" w:rsidRDefault="00252869">
      <w:r w:rsidRPr="001B4EC1">
        <w:t>Enligt lagen (1992:72) om koncessionsavgift på televisionens och radions område skall ett programföretag som enligt 2 kap. 2 § radio- och TV-lagen har tillstånd att i hela landet sända TV-program med analog sändningsteknik betala koncessionsavgift till staten under förutsättning att företaget har rätt att sända reklam i en sådan sändning och är ensamt om denna rätt här i landet.</w:t>
      </w:r>
    </w:p>
    <w:p w:rsidR="00252869" w:rsidRPr="001B4EC1" w:rsidRDefault="00252869">
      <w:pPr>
        <w:pStyle w:val="Normaltindrag"/>
      </w:pPr>
      <w:r w:rsidRPr="001B4EC1">
        <w:t xml:space="preserve">Det enda programföretag som betalar koncessionsavgift enligt den nämnda lagen är TV 4 AB. </w:t>
      </w:r>
    </w:p>
    <w:p w:rsidR="00252869" w:rsidRPr="001B4EC1" w:rsidRDefault="00252869">
      <w:pPr>
        <w:pStyle w:val="Normaltindrag"/>
      </w:pPr>
      <w:r w:rsidRPr="001B4EC1">
        <w:t>Koncessionsavgiftsutredningen har på regeringens uppdrag gjort en öve</w:t>
      </w:r>
      <w:r w:rsidRPr="001B4EC1">
        <w:t>r</w:t>
      </w:r>
      <w:r w:rsidRPr="001B4EC1">
        <w:t xml:space="preserve">syn av reglerna för koncessionsavgift på televisionens område. Utredningen avlämnade i april 2003 betänkandet </w:t>
      </w:r>
      <w:r w:rsidRPr="001B4EC1">
        <w:rPr>
          <w:i/>
        </w:rPr>
        <w:t>Koncessionsavgift på televisionens omr</w:t>
      </w:r>
      <w:r w:rsidRPr="001B4EC1">
        <w:rPr>
          <w:i/>
        </w:rPr>
        <w:t>å</w:t>
      </w:r>
      <w:r w:rsidRPr="001B4EC1">
        <w:rPr>
          <w:i/>
        </w:rPr>
        <w:t xml:space="preserve">de </w:t>
      </w:r>
      <w:r w:rsidRPr="001B4EC1">
        <w:t>(SOU 2003:47). Utredningens förslag bereds för närvarande i Regering</w:t>
      </w:r>
      <w:r w:rsidRPr="001B4EC1">
        <w:t>s</w:t>
      </w:r>
      <w:r w:rsidRPr="001B4EC1">
        <w:t>kan</w:t>
      </w:r>
      <w:r w:rsidRPr="001B4EC1">
        <w:t>s</w:t>
      </w:r>
      <w:r w:rsidRPr="001B4EC1">
        <w:t xml:space="preserve">liet. </w:t>
      </w:r>
    </w:p>
    <w:p w:rsidR="00252869" w:rsidRPr="001B4EC1" w:rsidRDefault="00252869">
      <w:pPr>
        <w:pStyle w:val="R4"/>
      </w:pPr>
      <w:r w:rsidRPr="001B4EC1">
        <w:t>Otillåten verksamhet för statsråd enligt regeringsformen</w:t>
      </w:r>
      <w:bookmarkEnd w:id="124"/>
    </w:p>
    <w:p w:rsidR="00252869" w:rsidRPr="001B4EC1" w:rsidRDefault="00252869">
      <w:r w:rsidRPr="001B4EC1">
        <w:t>Enligt 6 kap. 9 § andra stycket RF får statsråd inte utöva allmän eller enskild tjänst. Han får inte heller inneha uppdrag eller utöva verksamhet som kan rubba förtroendet för honom.</w:t>
      </w:r>
    </w:p>
    <w:p w:rsidR="00252869" w:rsidRPr="001B4EC1" w:rsidRDefault="00252869">
      <w:pPr>
        <w:pStyle w:val="Normaltindrag"/>
      </w:pPr>
      <w:r w:rsidRPr="001B4EC1">
        <w:t>I förarbetena till bestämmelserna anförs att syftet i första hand är att värna om statsrådstjänstens integritet, men de kan också motiveras av önskemålet att ett statsråd inte skall splittra sina krafter (prop. 1973:90 s. 284). Enligt departementschefen får det från fall till fall bedömas om det rubbar förtroe</w:t>
      </w:r>
      <w:r w:rsidRPr="001B4EC1">
        <w:t>n</w:t>
      </w:r>
      <w:r w:rsidRPr="001B4EC1">
        <w:t>det för ett statsråd att han innehar ett visst uppdrag eller utövar en viss ver</w:t>
      </w:r>
      <w:r w:rsidRPr="001B4EC1">
        <w:t>k</w:t>
      </w:r>
      <w:r w:rsidRPr="001B4EC1">
        <w:t>samhet. Han anförde att det i allmänhet torde gälla att det är olämpligt att ett statsråd har uppdrag inom bolag, förening eller inrättning, vars verksamhet har huvudsakligen ekonomiskt syfte. Att undantagslöst upprätthålla en sådan regel låter sig enligt departementschefen emellertid inte göra. Han påpekade att å andra sidan kan också innehav av uppdrag av annat slag ha menlig i</w:t>
      </w:r>
      <w:r w:rsidRPr="001B4EC1">
        <w:t>n</w:t>
      </w:r>
      <w:r w:rsidRPr="001B4EC1">
        <w:t>verkan på förtroendet för den som utövar statsrå</w:t>
      </w:r>
      <w:r w:rsidRPr="001B4EC1">
        <w:t xml:space="preserve">dstjänst. </w:t>
      </w:r>
    </w:p>
    <w:p w:rsidR="00252869" w:rsidRPr="001B4EC1" w:rsidRDefault="00252869">
      <w:pPr>
        <w:pStyle w:val="Normaltindrag"/>
      </w:pPr>
      <w:r w:rsidRPr="001B4EC1">
        <w:t xml:space="preserve">I regeringens skrivelse 1996/97:56 </w:t>
      </w:r>
      <w:r w:rsidRPr="001B4EC1">
        <w:rPr>
          <w:i/>
        </w:rPr>
        <w:t xml:space="preserve">Intressekonflikter för statsråd </w:t>
      </w:r>
      <w:r w:rsidRPr="001B4EC1">
        <w:t>redovis</w:t>
      </w:r>
      <w:r w:rsidRPr="001B4EC1">
        <w:t>a</w:t>
      </w:r>
      <w:r w:rsidRPr="001B4EC1">
        <w:t>de regeringen resultatet av sina strävanden att utveckla rutiner som säkerstä</w:t>
      </w:r>
      <w:r w:rsidRPr="001B4EC1">
        <w:t>l</w:t>
      </w:r>
      <w:r w:rsidRPr="001B4EC1">
        <w:t>ler att statsråds förmögenhetsinnehav eller engagemang i andra verksamheter inte leder till intressekonflikter, insiderproblem eller jäv i uppdraget som statsråd. Redovisningen  knöt an till den diskussion som hade förts i riksd</w:t>
      </w:r>
      <w:r w:rsidRPr="001B4EC1">
        <w:t>a</w:t>
      </w:r>
      <w:r w:rsidRPr="001B4EC1">
        <w:t>gen vid flera tillfällen dessförinnan. I skrivelsen behandlas förbudet mot bisysslor (6 kap. 9 § RF), förbud mot insiderhandel och skyldighet att anmäla värdepappers</w:t>
      </w:r>
      <w:r w:rsidRPr="001B4EC1">
        <w:t>innehav samt regler om jäv. Vidare redovisades att de rutiner för insyn och kontroll som utbildats hos regeringen bl.a. innebar att eget fon</w:t>
      </w:r>
      <w:r w:rsidRPr="001B4EC1">
        <w:t>d</w:t>
      </w:r>
      <w:r w:rsidRPr="001B4EC1">
        <w:t>pappersinnehav skall redovisas offentligt, förteckning för närståendes fon</w:t>
      </w:r>
      <w:r w:rsidRPr="001B4EC1">
        <w:t>d</w:t>
      </w:r>
      <w:r w:rsidRPr="001B4EC1">
        <w:t>pappersinnehav, engagemang i andra verksamheter vid sidan av uppdraget som statsråd samt tidigare anställningar och uppdrag redovisas offentligt och att jävssituationer bevakas genom granskning av ärendeförteckningar inför regeringssammanträden.</w:t>
      </w:r>
    </w:p>
    <w:p w:rsidR="00252869" w:rsidRPr="001B4EC1" w:rsidRDefault="00252869">
      <w:pPr>
        <w:pStyle w:val="R4"/>
      </w:pPr>
      <w:r w:rsidRPr="001B4EC1">
        <w:t>Saklighet och opartiskhet i den offentliga verksam</w:t>
      </w:r>
      <w:r w:rsidRPr="001B4EC1">
        <w:t>heten samt illojal maktanvändning</w:t>
      </w:r>
    </w:p>
    <w:p w:rsidR="00252869" w:rsidRPr="001B4EC1" w:rsidRDefault="00252869">
      <w:r w:rsidRPr="001B4EC1">
        <w:t>Enligt 1 kap. 2 § RF skall den offentliga makten utövas med respekt för alla människors lika värde och för den enskilda människans frihet och värdi</w:t>
      </w:r>
      <w:r w:rsidRPr="001B4EC1">
        <w:t>g</w:t>
      </w:r>
      <w:r w:rsidRPr="001B4EC1">
        <w:t>het.</w:t>
      </w:r>
    </w:p>
    <w:p w:rsidR="00252869" w:rsidRPr="001B4EC1" w:rsidRDefault="00252869">
      <w:pPr>
        <w:pStyle w:val="Normaltindrag"/>
      </w:pPr>
      <w:r w:rsidRPr="001B4EC1">
        <w:t>Vidare stadgas i 1 kap. § 9 RF att domstolar samt förvaltningsmyndigheter och andra som fullgör uppgifter inom den offentliga förvaltningen i sin ver</w:t>
      </w:r>
      <w:r w:rsidRPr="001B4EC1">
        <w:t>k</w:t>
      </w:r>
      <w:r w:rsidRPr="001B4EC1">
        <w:t>samhet skall beakta allas likhet inför lagen samt iakttaga saklighet och opa</w:t>
      </w:r>
      <w:r w:rsidRPr="001B4EC1">
        <w:t>r</w:t>
      </w:r>
      <w:r w:rsidRPr="001B4EC1">
        <w:t>tiskhet (den s.k. objektivitetsprincipen).</w:t>
      </w:r>
    </w:p>
    <w:p w:rsidR="00252869" w:rsidRPr="001B4EC1" w:rsidRDefault="00252869">
      <w:r w:rsidRPr="001B4EC1">
        <w:t>Kravet på normmässighet i myndighetsutövningen ansågs tidigare finnas fastslaget i 16 § i 1809 års RF med dess formuleringar med rötter i medeltiden om att konung bör rätt och sanning styrka etc. (Holmberg/Stjernquist, Grundlagarna med tillhörande författningar, s. 56 f.). Grundlagberedningen föreslog att en förkortad och moderniserad version av detta stadgande skulle tas upp i den nya re</w:t>
      </w:r>
      <w:r w:rsidRPr="001B4EC1">
        <w:t>geringsformen. Förslaget kritiserades av Riksdagens o</w:t>
      </w:r>
      <w:r w:rsidRPr="001B4EC1">
        <w:t>m</w:t>
      </w:r>
      <w:r w:rsidRPr="001B4EC1">
        <w:t>budsmän, bl.a. på grund av stilbrytningen. Enligt ombudsmännens mening borde i stället komma ”ett stadgande som tydligt framhävde objektivitetskr</w:t>
      </w:r>
      <w:r w:rsidRPr="001B4EC1">
        <w:t>a</w:t>
      </w:r>
      <w:r w:rsidRPr="001B4EC1">
        <w:t>vet t.ex. genom att föreskriva att myndigheterna skall iaktta saklighet och opartiskhet samt handla fritt från godtycke och ej särbehandla någon utan laga stöd” (prop. 1973:90 bil. 3 s. 170). Justitieministern anslöt sig härtill och paragrafen fick 1974 följande lydelse: ”Domstolar och förvaltningsmyndi</w:t>
      </w:r>
      <w:r w:rsidRPr="001B4EC1">
        <w:t>g</w:t>
      </w:r>
      <w:r w:rsidRPr="001B4EC1">
        <w:t>heter s</w:t>
      </w:r>
      <w:r w:rsidRPr="001B4EC1">
        <w:t>kall i sin verksamhet iakttaga saklighet och opartiskhet.” Paragrafen avser inte bara domstolar och förvaltningsmyndigheter utan även ”andra som fullgör uppgifter inom den offentliga förvaltningen”. Med de citerade orden, som insattes i samband med 1976 års revision av RF, markeras att objekt</w:t>
      </w:r>
      <w:r w:rsidRPr="001B4EC1">
        <w:t>i</w:t>
      </w:r>
      <w:r w:rsidRPr="001B4EC1">
        <w:t>vets- och normmässighetskravet gäller även regeringen när den agerar som högsta förvaltningsmyndighet samt också privaträttsliga subjekt när de svarar för förval</w:t>
      </w:r>
      <w:r w:rsidRPr="001B4EC1">
        <w:t>t</w:t>
      </w:r>
      <w:r w:rsidRPr="001B4EC1">
        <w:t xml:space="preserve">ningsuppgifter som överlämnats till dem. </w:t>
      </w:r>
    </w:p>
    <w:p w:rsidR="00252869" w:rsidRPr="001B4EC1" w:rsidRDefault="00252869">
      <w:pPr>
        <w:pStyle w:val="Normaltindrag"/>
      </w:pPr>
      <w:r w:rsidRPr="001B4EC1">
        <w:t>Den s.k</w:t>
      </w:r>
      <w:r w:rsidRPr="001B4EC1">
        <w:rPr>
          <w:i/>
        </w:rPr>
        <w:t xml:space="preserve">. objektivitetsprincipen </w:t>
      </w:r>
      <w:r w:rsidRPr="001B4EC1">
        <w:t>som fastslås i RF 1 kap. § 9</w:t>
      </w:r>
      <w:r w:rsidRPr="001B4EC1">
        <w:rPr>
          <w:i/>
        </w:rPr>
        <w:t xml:space="preserve"> </w:t>
      </w:r>
      <w:r w:rsidRPr="001B4EC1">
        <w:t>innebär att fö</w:t>
      </w:r>
      <w:r w:rsidRPr="001B4EC1">
        <w:t>r</w:t>
      </w:r>
      <w:r w:rsidRPr="001B4EC1">
        <w:t>valtningsorgan och domstolar i sin verksamhet inte får låta sig vägledas av andra intressen än dem de är satta att tillgodose (Strömberg, Allmän förval</w:t>
      </w:r>
      <w:r w:rsidRPr="001B4EC1">
        <w:t>t</w:t>
      </w:r>
      <w:r w:rsidRPr="001B4EC1">
        <w:t>ningsrätt, 19 uppl., s. 67).</w:t>
      </w:r>
      <w:r w:rsidRPr="001B4EC1">
        <w:rPr>
          <w:b/>
        </w:rPr>
        <w:t xml:space="preserve"> </w:t>
      </w:r>
      <w:r w:rsidRPr="001B4EC1">
        <w:t xml:space="preserve">De får således inte gynna eller missgynna vissa enskilda intressen eller ta hänsyn till ovidkommande omständigheter. </w:t>
      </w:r>
    </w:p>
    <w:p w:rsidR="00252869" w:rsidRPr="001B4EC1" w:rsidRDefault="00252869">
      <w:pPr>
        <w:pStyle w:val="Normaltindrag"/>
      </w:pPr>
      <w:r w:rsidRPr="001B4EC1">
        <w:t>Objektivitetsprincipen gäller samtliga som handhar olika typer av uppgi</w:t>
      </w:r>
      <w:r w:rsidRPr="001B4EC1">
        <w:t>f</w:t>
      </w:r>
      <w:r w:rsidRPr="001B4EC1">
        <w:t>ter inom den offentliga förvaltningen, även enskilda som fullgör offentliga förvaltningsuppgifter enligt 11:6 RF. Den inskränks heller inte bara till det område som rör myndighetsutövningen utan gäller även annan offentlig ver</w:t>
      </w:r>
      <w:r w:rsidRPr="001B4EC1">
        <w:t>k</w:t>
      </w:r>
      <w:r w:rsidRPr="001B4EC1">
        <w:t>samhet (Madell, Det allmänna som avtalspart, 1998, s. 143).</w:t>
      </w:r>
    </w:p>
    <w:p w:rsidR="00252869" w:rsidRPr="001B4EC1" w:rsidRDefault="00252869">
      <w:pPr>
        <w:pStyle w:val="Normaltindrag"/>
      </w:pPr>
      <w:r w:rsidRPr="001B4EC1">
        <w:t xml:space="preserve">I RF 1 kap. § 9 stadgas vidare att domstolar och förvaltningsmyndigheter i sin verksamhet skall beakta allas likhet inför lagen, den s.k. </w:t>
      </w:r>
      <w:r w:rsidRPr="001B4EC1">
        <w:rPr>
          <w:i/>
        </w:rPr>
        <w:t>likhetsprincipen</w:t>
      </w:r>
      <w:r w:rsidRPr="001B4EC1">
        <w:t>. Denna princip kan relateras till objektivitetsprincipen i så måtto att en obef</w:t>
      </w:r>
      <w:r w:rsidRPr="001B4EC1">
        <w:t>o</w:t>
      </w:r>
      <w:r w:rsidRPr="001B4EC1">
        <w:t>gad särbehandling av vissa personer samtidigt måste anses strida mot kravet på opartiskhet och saklighet (Madell, a.a., s. 144 f.). Likhetsprincipen sträcker sig något längre än objektivitetsprincipen. Är en myndighet utrustad med fri prövningsrätt, och den därför vid fattandet av ett beslut kan välja mellan olika alternativ utan att något av alternativen strider mot objektivitetsprincipen, innebär likhetsprinc</w:t>
      </w:r>
      <w:r w:rsidRPr="001B4EC1">
        <w:t>i</w:t>
      </w:r>
      <w:r w:rsidRPr="001B4EC1">
        <w:t xml:space="preserve">pen ett krav på konsekvens i beslutsfattandet. </w:t>
      </w:r>
    </w:p>
    <w:p w:rsidR="00252869" w:rsidRPr="001B4EC1" w:rsidRDefault="00252869">
      <w:pPr>
        <w:pStyle w:val="Normaltindrag"/>
      </w:pPr>
      <w:r w:rsidRPr="001B4EC1">
        <w:t>De offentligrättsliga befogenheterna inskränks i viss utsträckning av de rättsskyddsprinciper som finns till skydd för den enskilde. Av 2 kap. 1 § RF framgår att varje medborgare gentemot det allmänna tillförsäkras yttrandefr</w:t>
      </w:r>
      <w:r w:rsidRPr="001B4EC1">
        <w:t>i</w:t>
      </w:r>
      <w:r w:rsidRPr="001B4EC1">
        <w:t>het, informationsfrihet, mötesfrihet, demonstrationsfrihet, föreningsfrihet och religionsfrihet. Dessa rättigheter tillgodoses till stor del av de ovan berörda objektivitets- och likhetsprinciperna, men inte heller i de fall det inte finns några</w:t>
      </w:r>
      <w:r w:rsidRPr="001B4EC1">
        <w:rPr>
          <w:i/>
        </w:rPr>
        <w:t xml:space="preserve"> speciella lagregler </w:t>
      </w:r>
      <w:r w:rsidRPr="001B4EC1">
        <w:t xml:space="preserve">uppställda har en myndighet någon </w:t>
      </w:r>
      <w:r w:rsidRPr="001B4EC1">
        <w:rPr>
          <w:i/>
        </w:rPr>
        <w:t>obegränsad frihet</w:t>
      </w:r>
      <w:r w:rsidRPr="001B4EC1">
        <w:t xml:space="preserve"> att själv bestämma om möjligheten att fatta beslut (Madell, a.a., s. 146 f.). Om det allmänna kan anses ha överskridit sin beslutanderätt brukar man tala om illojal maktanvändning, s.k. </w:t>
      </w:r>
      <w:r w:rsidRPr="001B4EC1">
        <w:rPr>
          <w:i/>
        </w:rPr>
        <w:t>détourn</w:t>
      </w:r>
      <w:r w:rsidRPr="001B4EC1">
        <w:rPr>
          <w:i/>
        </w:rPr>
        <w:t>ement de pouvoir</w:t>
      </w:r>
      <w:r w:rsidRPr="001B4EC1">
        <w:t xml:space="preserve"> eller </w:t>
      </w:r>
      <w:r w:rsidRPr="001B4EC1">
        <w:rPr>
          <w:i/>
        </w:rPr>
        <w:t>Erme</w:t>
      </w:r>
      <w:r w:rsidRPr="001B4EC1">
        <w:rPr>
          <w:i/>
        </w:rPr>
        <w:t>s</w:t>
      </w:r>
      <w:r w:rsidRPr="001B4EC1">
        <w:rPr>
          <w:i/>
        </w:rPr>
        <w:t>sensmissbrauch</w:t>
      </w:r>
      <w:r w:rsidRPr="001B4EC1">
        <w:t>. De offentligrättsliga skyddsprinciperna riktar sig främst mot myndighetsutövning, men principen om illojal maktanvändning kan kanske i viss utsträckning komma att aktualiseras när det allmänna disponerar över sina egendomar, ingår avtal eller delar ut bidrag, eller om myndigheten a</w:t>
      </w:r>
      <w:r w:rsidRPr="001B4EC1">
        <w:t>n</w:t>
      </w:r>
      <w:r w:rsidRPr="001B4EC1">
        <w:t xml:space="preserve">vänt sin fria beslutanderätt, sitt fria skön, på ett otillständigt sätt. </w:t>
      </w:r>
    </w:p>
    <w:p w:rsidR="00252869" w:rsidRPr="001B4EC1" w:rsidRDefault="00252869">
      <w:pPr>
        <w:pStyle w:val="Normaltindrag"/>
      </w:pPr>
      <w:r w:rsidRPr="001B4EC1">
        <w:t>Det anses således som otillbörligt att ett offentlig organ utan författning</w:t>
      </w:r>
      <w:r w:rsidRPr="001B4EC1">
        <w:t>s</w:t>
      </w:r>
      <w:r w:rsidRPr="001B4EC1">
        <w:t>stöd begär en förmån i utbyte mot myndighetsutövning (Madell, a.a., s. 544). Det spelar ingen roll om det krävda gäller till förmån för det allmänna eller till någon enskild. Ett myndighetsmissbruk är därför straffbart om det fattade beslutet i och för sig överensstämmer med föreskrift i författning, men om det meddelats endast efter det att ett ovidkommande villkor uppfyllts.</w:t>
      </w:r>
    </w:p>
    <w:p w:rsidR="00252869" w:rsidRPr="001B4EC1" w:rsidRDefault="00252869">
      <w:pPr>
        <w:pStyle w:val="R3"/>
      </w:pPr>
      <w:r w:rsidRPr="001B4EC1">
        <w:t>Tidigare granskning</w:t>
      </w:r>
    </w:p>
    <w:p w:rsidR="00252869" w:rsidRPr="001B4EC1" w:rsidRDefault="00252869">
      <w:r w:rsidRPr="001B4EC1">
        <w:t>Under föregående riksmöte granskade konstitutionsutskottet den omständi</w:t>
      </w:r>
      <w:r w:rsidRPr="001B4EC1">
        <w:t>g</w:t>
      </w:r>
      <w:r w:rsidRPr="001B4EC1">
        <w:t>heten att statsminister Göran Persson i hemlighet deltog i ett dokumentärpr</w:t>
      </w:r>
      <w:r w:rsidRPr="001B4EC1">
        <w:t>o</w:t>
      </w:r>
      <w:r w:rsidRPr="001B4EC1">
        <w:t>jekt som inletts 1996 på Sveriges Televisions AB:s (SVT) initiativ (bet. 2002/03:KU30 s.103–118). Resultatet skulle bli en dokumentär som skildrade Göran Perssons tid som partiledare och statsminister från början till slut. Enligt den överenskommelse som ingåtts med Göran Persson skulle materi</w:t>
      </w:r>
      <w:r w:rsidRPr="001B4EC1">
        <w:t>a</w:t>
      </w:r>
      <w:r w:rsidRPr="001B4EC1">
        <w:t>let och berättelsen publiceras efter det att Göran Persson slutat som partiled</w:t>
      </w:r>
      <w:r w:rsidRPr="001B4EC1">
        <w:t>a</w:t>
      </w:r>
      <w:r w:rsidRPr="001B4EC1">
        <w:t>re och/eller statsminister. Vidare gällde enligt överenskomme</w:t>
      </w:r>
      <w:r w:rsidRPr="001B4EC1">
        <w:t>lsen att samtalen skulle ske under hand på bakgrundsvillkor. I överenskommelsen sades att detta innebar att det som Göran Persson berättade eller informerade om kunde reportern i fråga omedelbart använda som underlag för publicering utan att källan avslöjades.</w:t>
      </w:r>
    </w:p>
    <w:p w:rsidR="00252869" w:rsidRPr="001B4EC1" w:rsidRDefault="00252869">
      <w:pPr>
        <w:pStyle w:val="Normaltindrag"/>
      </w:pPr>
      <w:r w:rsidRPr="001B4EC1">
        <w:t>Granskningen hade enligt utskottet utvisat att avsikten enligt avtalet mellan statsminister Göran Persson och Sveriges Television AB var att det aktuella intervjuprojektet skulle genomföras i hemlighet. Utskottet påpekade att hä</w:t>
      </w:r>
      <w:r w:rsidRPr="001B4EC1">
        <w:t>r</w:t>
      </w:r>
      <w:r w:rsidRPr="001B4EC1">
        <w:t>igenom kunde den aktuelle reportern använda Göran Perssons under intervj</w:t>
      </w:r>
      <w:r w:rsidRPr="001B4EC1">
        <w:t>u</w:t>
      </w:r>
      <w:r w:rsidRPr="001B4EC1">
        <w:t>erna lämnade uppgifter, förutom i den avslutande dokumentären, i programf</w:t>
      </w:r>
      <w:r w:rsidRPr="001B4EC1">
        <w:t>ö</w:t>
      </w:r>
      <w:r w:rsidRPr="001B4EC1">
        <w:t>retagets nyhetsrapportering inom ramen för gällande källskydd. Av betydelse i detta sammanhang var enligt utskottet att intervjuprojektet hade kommit att pågå under osedvanligt lång tid. Efter att avtalet kommit till allmänhetens kännedom hade SVT beslutat att den aktuelle reportern inte längre skall vara politisk kommentator i företagets nyhetssän</w:t>
      </w:r>
      <w:r w:rsidRPr="001B4EC1">
        <w:t>d</w:t>
      </w:r>
      <w:r w:rsidRPr="001B4EC1">
        <w:t>ningar.</w:t>
      </w:r>
    </w:p>
    <w:p w:rsidR="00252869" w:rsidRPr="001B4EC1" w:rsidRDefault="00252869">
      <w:pPr>
        <w:pStyle w:val="Normaltindrag"/>
      </w:pPr>
      <w:r w:rsidRPr="001B4EC1">
        <w:t>Utsko</w:t>
      </w:r>
      <w:r w:rsidRPr="001B4EC1">
        <w:t>ttet ansåg vidare att det inte kunde hävdas att det aktuella avtalet mellan Göran Persson och SVT hade ett sådant samband med regeringens verksamhet att dess ingående skulle ha gett upphov till en dokumentation</w:t>
      </w:r>
      <w:r w:rsidRPr="001B4EC1">
        <w:t>s</w:t>
      </w:r>
      <w:r w:rsidRPr="001B4EC1">
        <w:t>skyldighet för Göran Persson och att den därmed upprättade handlingen borde ha reg</w:t>
      </w:r>
      <w:r w:rsidRPr="001B4EC1">
        <w:t>i</w:t>
      </w:r>
      <w:r w:rsidRPr="001B4EC1">
        <w:t>strerats som allmän handling i Regeringskansliet.</w:t>
      </w:r>
    </w:p>
    <w:p w:rsidR="00252869" w:rsidRPr="001B4EC1" w:rsidRDefault="00252869">
      <w:pPr>
        <w:pStyle w:val="Normaltindrag"/>
      </w:pPr>
      <w:r w:rsidRPr="001B4EC1">
        <w:t>Därutöver framhöll utskottet att när det gäller frågor som rör statsråds r</w:t>
      </w:r>
      <w:r w:rsidRPr="001B4EC1">
        <w:t>e</w:t>
      </w:r>
      <w:r w:rsidRPr="001B4EC1">
        <w:t>lationer med public service-företagen, vid sidan av det som förekommer inom ramen för formulerandet av företagens uppdrag, bör statsråden iaktta en hög grad av försiktighet så att risk inte uppstår för att företagens självständighet och oberoende rubbas eller deras granskande uppgift påverkas. Samma fö</w:t>
      </w:r>
      <w:r w:rsidRPr="001B4EC1">
        <w:t>r</w:t>
      </w:r>
      <w:r w:rsidRPr="001B4EC1">
        <w:t>siktighet borde enligt utskottet iakttas när det gäller värnandet av statsråd</w:t>
      </w:r>
      <w:r w:rsidRPr="001B4EC1">
        <w:t>s</w:t>
      </w:r>
      <w:r w:rsidRPr="001B4EC1">
        <w:t>tjänstens integritet. Utskottet ansåg att en sådan försiktighetsprincip i nämnda avseenden innebar att Göran Persson borde ha eft</w:t>
      </w:r>
      <w:r w:rsidRPr="001B4EC1">
        <w:t>ersträvat en form för det aktuella intervjuprojektet som inte förutsatte att det hemlighölls. Enligt u</w:t>
      </w:r>
      <w:r w:rsidRPr="001B4EC1">
        <w:t>t</w:t>
      </w:r>
      <w:r w:rsidRPr="001B4EC1">
        <w:t>skottets mening kunde vad som förevarit i granskningsärendet emellertid inte föranleda någon kritik från rättslig och strikt konstitutionell utgångspunkt.</w:t>
      </w:r>
    </w:p>
    <w:p w:rsidR="00252869" w:rsidRPr="001B4EC1" w:rsidRDefault="00252869">
      <w:pPr>
        <w:pStyle w:val="Rubrik3"/>
        <w:rPr>
          <w:noProof w:val="0"/>
        </w:rPr>
      </w:pPr>
      <w:bookmarkStart w:id="125" w:name="_Toc72648555"/>
      <w:r w:rsidRPr="001B4EC1">
        <w:rPr>
          <w:noProof w:val="0"/>
        </w:rPr>
        <w:t>Promemoria från Statsrådsberedningen</w:t>
      </w:r>
      <w:bookmarkEnd w:id="125"/>
    </w:p>
    <w:p w:rsidR="00252869" w:rsidRPr="001B4EC1" w:rsidRDefault="00252869">
      <w:r w:rsidRPr="001B4EC1">
        <w:t xml:space="preserve">I en skrivelse till Regeringskansliet har utskottet begärt att få svar på vissa frågor. Som svar har till utskottet överlämnats en promemoria upprättad inom Statsrådsberedningen den 10 februari 2004. </w:t>
      </w:r>
    </w:p>
    <w:p w:rsidR="00252869" w:rsidRPr="001B4EC1" w:rsidRDefault="00252869">
      <w:pPr>
        <w:pStyle w:val="Normaltindrag"/>
      </w:pPr>
      <w:r w:rsidRPr="001B4EC1">
        <w:t>På utskottets fråga om de uppgifter är sakligt korrekta som vd:n för TV 4 AB Jan Scherman lämnat rörande samtalet mellan honom och statsminister Göran Persson efter TV 4:s partiledardebatt inför valet 2002 anförs i prom</w:t>
      </w:r>
      <w:r w:rsidRPr="001B4EC1">
        <w:t>e</w:t>
      </w:r>
      <w:r w:rsidRPr="001B4EC1">
        <w:t>morian som svar att de uttalanden om repressalier som Jan Scherman tillskr</w:t>
      </w:r>
      <w:r w:rsidRPr="001B4EC1">
        <w:t>i</w:t>
      </w:r>
      <w:r w:rsidRPr="001B4EC1">
        <w:t>ver Göran Persson inte är korrekta. Enligt promemorian minns Göran Persson inte exakt hur orden föll men är säker på att innebörden inte var den som Jan Scherman nu gör gällande, ett och halvt år efter samtalet.</w:t>
      </w:r>
    </w:p>
    <w:p w:rsidR="00252869" w:rsidRPr="001B4EC1" w:rsidRDefault="00252869">
      <w:pPr>
        <w:pStyle w:val="Normaltindrag"/>
      </w:pPr>
      <w:r w:rsidRPr="001B4EC1">
        <w:t>På utskottets fråga hur statsminister Göran Persson vill kommentera den i granskningsärendet aktuella händelsen mot bakgrund av dels TV 4 AB:s oberoende och integritet som programföretag i allmänhet och programföretag som sä</w:t>
      </w:r>
      <w:r w:rsidRPr="001B4EC1">
        <w:t>nder enligt tillstånd av regeringen i synnerhet, dels hans egen integritet som statsråd anförs i promemorian följande.  Samtalet mellan Göran Persson och Jan Scherman hade ingen anknytning till något programföretags integr</w:t>
      </w:r>
      <w:r w:rsidRPr="001B4EC1">
        <w:t>i</w:t>
      </w:r>
      <w:r w:rsidRPr="001B4EC1">
        <w:t>tet, oberoende eller sändningstillstånd och inte heller till Göran Perssons egen integritet som statsråd.</w:t>
      </w:r>
    </w:p>
    <w:p w:rsidR="00252869" w:rsidRPr="001B4EC1" w:rsidRDefault="00252869">
      <w:pPr>
        <w:pStyle w:val="Rubrik3"/>
        <w:rPr>
          <w:noProof w:val="0"/>
        </w:rPr>
      </w:pPr>
      <w:bookmarkStart w:id="126" w:name="_Toc72648556"/>
      <w:r w:rsidRPr="001B4EC1">
        <w:rPr>
          <w:noProof w:val="0"/>
        </w:rPr>
        <w:t>Skrivelser från Jan Scherman</w:t>
      </w:r>
      <w:bookmarkEnd w:id="126"/>
    </w:p>
    <w:p w:rsidR="00252869" w:rsidRPr="001B4EC1" w:rsidRDefault="00252869">
      <w:pPr>
        <w:pStyle w:val="R4"/>
      </w:pPr>
      <w:r w:rsidRPr="001B4EC1">
        <w:t>Skrivelsen den 8 mars 2004</w:t>
      </w:r>
    </w:p>
    <w:p w:rsidR="00252869" w:rsidRPr="001B4EC1" w:rsidRDefault="00252869">
      <w:r w:rsidRPr="001B4EC1">
        <w:t>I en skrivelse till verkställande direktören Jan Scherman, TV 4 AB, har u</w:t>
      </w:r>
      <w:r w:rsidRPr="001B4EC1">
        <w:t>t</w:t>
      </w:r>
      <w:r w:rsidRPr="001B4EC1">
        <w:t>skottet berett honom möjlighet att skriftligen kommentera det svar på utsko</w:t>
      </w:r>
      <w:r w:rsidRPr="001B4EC1">
        <w:t>t</w:t>
      </w:r>
      <w:r w:rsidRPr="001B4EC1">
        <w:t xml:space="preserve">tets skrivelse som Statsrådsberedningen överlämnat. </w:t>
      </w:r>
    </w:p>
    <w:p w:rsidR="00252869" w:rsidRPr="001B4EC1" w:rsidRDefault="00252869">
      <w:pPr>
        <w:pStyle w:val="Normaltindrag"/>
      </w:pPr>
      <w:r w:rsidRPr="001B4EC1">
        <w:t>Jan Scherman anför i en skrivelse till utskottet den 8 mars 2004 bl.a. fö</w:t>
      </w:r>
      <w:r w:rsidRPr="001B4EC1">
        <w:t>l</w:t>
      </w:r>
      <w:r w:rsidRPr="001B4EC1">
        <w:t>jande. Direkt efter TV 4:s partiledardebatt den 10 september 2002 ordnades enkel förtäring i TV 4:s matsal för de deltagande partiföreträdarna, mediernas representanter och medarbetare från TV 4. Han anslöt själv efter att ha följt debatten på plats i TV 4-huset. I samband med att han skulle gå fram till den framdukade buffén mötte han Göran Persson, som omgående föreslog att de skulle äta tillsammans. Så skedde efter att Göran Persson hittat en plats på markerat avstånd från övriga gäster. Jan Scherman up</w:t>
      </w:r>
      <w:r w:rsidRPr="001B4EC1">
        <w:t>pfattade omedelbart när de slog sig ned att statsministern var irriterad och besviken över TV-debatten, som enligt hans åsikt var rörig, och han riktade kritik mot programledaren.</w:t>
      </w:r>
    </w:p>
    <w:p w:rsidR="00252869" w:rsidRPr="001B4EC1" w:rsidRDefault="00252869">
      <w:pPr>
        <w:pStyle w:val="Normaltindrag"/>
      </w:pPr>
      <w:r w:rsidRPr="001B4EC1">
        <w:t>Enligt Jan Scherman tog statsministern därefter till en ton och ett ordval, som var ett otvetydigt hot. Eftersom han fann detta utfall mycket anmär</w:t>
      </w:r>
      <w:r w:rsidRPr="001B4EC1">
        <w:t>k</w:t>
      </w:r>
      <w:r w:rsidRPr="001B4EC1">
        <w:t>ningsvärt och olikt hans tidigare erfarenhet av yrkesmässiga kontakter med Göran Persson antecknade han efteråt hur orden föll.  Hans minnesanteckning från den 10 september 2002:</w:t>
      </w:r>
    </w:p>
    <w:p w:rsidR="00252869" w:rsidRPr="001B4EC1" w:rsidRDefault="00252869">
      <w:pPr>
        <w:pStyle w:val="Citat"/>
        <w:spacing w:before="125"/>
      </w:pPr>
      <w:r w:rsidRPr="001B4EC1">
        <w:t>Efter den två timmar långa debatten var det enkel eftersläckning – buffé med vin, öl eller vatten. Göran Persson upptäckte mig i folksamlingen och uppfordrade till ett samtal lite vid sidan av alla andra:</w:t>
      </w:r>
    </w:p>
    <w:p w:rsidR="00252869" w:rsidRPr="001B4EC1" w:rsidRDefault="00252869">
      <w:pPr>
        <w:pStyle w:val="CitatIndrag"/>
      </w:pPr>
      <w:r w:rsidRPr="001B4EC1">
        <w:t>– Scherman, ni spelar högt … ni har investerat tungt i en borgerlig valseger. Tänk om det inte blir så, tänk om vi klarar det här, har du tänkt på att ni då kommer att ha många ovänner i Rosenbad! Du kommer att ha hela kanslihuset emot dig. Har du verkligen tänkt på det …</w:t>
      </w:r>
    </w:p>
    <w:p w:rsidR="00252869" w:rsidRPr="001B4EC1" w:rsidRDefault="00252869">
      <w:pPr>
        <w:pStyle w:val="CitatIndrag"/>
      </w:pPr>
      <w:r w:rsidRPr="001B4EC1">
        <w:t>– Vad har hänt med Ekdal … lika bra som ni var förra valet, lika dål</w:t>
      </w:r>
      <w:r w:rsidRPr="001B4EC1">
        <w:t>i</w:t>
      </w:r>
      <w:r w:rsidRPr="001B4EC1">
        <w:t>ga är ni nu. Alice Bah … jag förstår inte.</w:t>
      </w:r>
    </w:p>
    <w:p w:rsidR="00252869" w:rsidRPr="001B4EC1" w:rsidRDefault="00252869">
      <w:pPr>
        <w:pStyle w:val="CitatIndrag"/>
      </w:pPr>
      <w:r w:rsidRPr="001B4EC1">
        <w:t>Jag kontrade med om han på allvar trodde att vi konspirerat, alltså med berått mot lagt upp arbetet så att de borgerliga skulle få hjälp av oss?</w:t>
      </w:r>
    </w:p>
    <w:p w:rsidR="00252869" w:rsidRPr="001B4EC1" w:rsidRDefault="00252869">
      <w:pPr>
        <w:pStyle w:val="CitatIndrag"/>
      </w:pPr>
      <w:r w:rsidRPr="001B4EC1">
        <w:t>– Nej, självfallet inte. Men ni gör inget bra jobb. Verkligen inte! Och vi kan ju vinna valet, har du inte tänkt på den möjligheten. Och vad hä</w:t>
      </w:r>
      <w:r w:rsidRPr="001B4EC1">
        <w:t>n</w:t>
      </w:r>
      <w:r w:rsidRPr="001B4EC1">
        <w:t>der då, efter att ni gjort en så negativ valbevakning?</w:t>
      </w:r>
    </w:p>
    <w:p w:rsidR="00252869" w:rsidRPr="001B4EC1" w:rsidRDefault="00252869">
      <w:pPr>
        <w:pStyle w:val="CitatIndrag"/>
      </w:pPr>
      <w:r w:rsidRPr="001B4EC1">
        <w:t>Och så fortsatte attackerna under cirka en kvart med ständig hänvi</w:t>
      </w:r>
      <w:r w:rsidRPr="001B4EC1">
        <w:t>s</w:t>
      </w:r>
      <w:r w:rsidRPr="001B4EC1">
        <w:t>ning till hur läget skulle bli för TV 4 vid en socialdemokratisk valseger.</w:t>
      </w:r>
    </w:p>
    <w:p w:rsidR="00252869" w:rsidRPr="001B4EC1" w:rsidRDefault="00252869">
      <w:pPr>
        <w:pStyle w:val="CitatIndrag"/>
      </w:pPr>
      <w:r w:rsidRPr="001B4EC1">
        <w:t xml:space="preserve">Senare på kvällen ringde jag Perssons pressekreterare och informerade om statsministerns påhopp och hot – bad honom informera sin ”chef” om mitt samtal. </w:t>
      </w:r>
    </w:p>
    <w:p w:rsidR="00252869" w:rsidRPr="001B4EC1" w:rsidRDefault="00252869">
      <w:pPr>
        <w:pStyle w:val="CitatIndrag"/>
      </w:pPr>
      <w:r w:rsidRPr="001B4EC1">
        <w:t>En kvart senare ringde Persson, sade till mig att vara lugn. Och uppr</w:t>
      </w:r>
      <w:r w:rsidRPr="001B4EC1">
        <w:t>e</w:t>
      </w:r>
      <w:r w:rsidRPr="001B4EC1">
        <w:t>pade sedan lika hårt som tidigare kritiken mot TV 4. Och mot programl</w:t>
      </w:r>
      <w:r w:rsidRPr="001B4EC1">
        <w:t>e</w:t>
      </w:r>
      <w:r w:rsidRPr="001B4EC1">
        <w:t>darna. Kritiken mot Alice Bah gällde den partiledarutfrågning med Göran Persson som Alice Bah och Lennart Ekdal ledde.</w:t>
      </w:r>
    </w:p>
    <w:p w:rsidR="00252869" w:rsidRPr="001B4EC1" w:rsidRDefault="00252869">
      <w:r w:rsidRPr="001B4EC1">
        <w:t>I skrivelsen anför Jan Scherman vidare att han direkt efter samtalet sökte upp TV 4:s samhällschef Göran Ellung och bad honom följa med till sitt tjänst</w:t>
      </w:r>
      <w:r w:rsidRPr="001B4EC1">
        <w:t>e</w:t>
      </w:r>
      <w:r w:rsidRPr="001B4EC1">
        <w:t>rum. Han redogjorde för det inträffade, som de både bedömde som allvarligt och att de därför skulle informera ansvariga för valbevakningen. Under inle</w:t>
      </w:r>
      <w:r w:rsidRPr="001B4EC1">
        <w:t>d</w:t>
      </w:r>
      <w:r w:rsidRPr="001B4EC1">
        <w:t>ningen av deras samtal anslöt TV 4:s programdirektör Eva Swartz, som också delgavs informationen om det inträffade.</w:t>
      </w:r>
    </w:p>
    <w:p w:rsidR="00252869" w:rsidRPr="001B4EC1" w:rsidRDefault="00252869">
      <w:pPr>
        <w:pStyle w:val="Normaltindrag"/>
      </w:pPr>
      <w:r w:rsidRPr="001B4EC1">
        <w:t>Enligt Jan Scherman ringde han efter detta pressekreterare Jan Larsson medan Göran Ellung och Eva Swartz fanns kvar för att höra vad han framfö</w:t>
      </w:r>
      <w:r w:rsidRPr="001B4EC1">
        <w:t>r</w:t>
      </w:r>
      <w:r w:rsidRPr="001B4EC1">
        <w:t>de. Han informerade Jan Larsson om att Göran Persson varit starkt kritisk till TV 4:s valbevakning, men att han också uttryckt direkta hot om vad som skulle kunna hända vid en socialdemokratisk valseger. Han betonade att det var mycket anmärkningsvärt, och att Jan Larsson lämpligen borde redogöra för hans samtal. Göran Persson ringde tillbaka på hans mobiltelefon kort tid därefter.</w:t>
      </w:r>
    </w:p>
    <w:p w:rsidR="00252869" w:rsidRPr="001B4EC1" w:rsidRDefault="00252869">
      <w:pPr>
        <w:pStyle w:val="Normaltindrag"/>
      </w:pPr>
      <w:r w:rsidRPr="001B4EC1">
        <w:t>Jan Scherman anför att mötet med Göran Ellung och Eva Swartz avslut</w:t>
      </w:r>
      <w:r w:rsidRPr="001B4EC1">
        <w:t>a</w:t>
      </w:r>
      <w:r w:rsidRPr="001B4EC1">
        <w:t xml:space="preserve">des med att de bedömde som akut viktigast att informera ansvariga för TV 4:s valbevakning och säkerställa att valbevakningen genomfördes som planerat. </w:t>
      </w:r>
    </w:p>
    <w:p w:rsidR="00252869" w:rsidRPr="001B4EC1" w:rsidRDefault="00252869">
      <w:pPr>
        <w:pStyle w:val="Normaltindrag"/>
      </w:pPr>
      <w:r w:rsidRPr="001B4EC1">
        <w:t>I sin  egenskap som vd för TV 4 såg han inget skäl att vidta andra åtgärder än denna vidareinformation. Han betonade för Ellung och Swartz att han skulle anteckna vad som hänt för att när han ansåg det lämpligt offentliggöra det inträffade.</w:t>
      </w:r>
    </w:p>
    <w:p w:rsidR="00252869" w:rsidRPr="001B4EC1" w:rsidRDefault="00252869">
      <w:pPr>
        <w:pStyle w:val="Normaltindrag"/>
      </w:pPr>
      <w:r w:rsidRPr="001B4EC1">
        <w:t>Till sin skrivelse har Jan Scherman också bifogat kommentarer från Göran Ellung och Eva Swartz rörande händelsen den 10 september 2002.</w:t>
      </w:r>
    </w:p>
    <w:p w:rsidR="00252869" w:rsidRPr="001B4EC1" w:rsidRDefault="00252869">
      <w:pPr>
        <w:pStyle w:val="R4"/>
      </w:pPr>
      <w:r w:rsidRPr="001B4EC1">
        <w:t>Skrivelsen den 24 mars 2004</w:t>
      </w:r>
    </w:p>
    <w:p w:rsidR="00252869" w:rsidRPr="001B4EC1" w:rsidRDefault="00252869">
      <w:r w:rsidRPr="001B4EC1">
        <w:t>Konstitutionsutskottet beslutade att bereda Jan Scherman tillfälle att i skriftlig form närmare utveckla det han anför i sin skrivelse av den 8 mars om att han skulle anteckna vad som hänt för att när han ansåg det lämpligt offentliggöra det inträffade.</w:t>
      </w:r>
    </w:p>
    <w:p w:rsidR="00252869" w:rsidRPr="001B4EC1" w:rsidRDefault="00252869">
      <w:pPr>
        <w:pStyle w:val="Normaltindrag"/>
      </w:pPr>
      <w:r w:rsidRPr="001B4EC1">
        <w:t>I en skrivelse till utskottet den 24 mars 2004 anför Jan Scherman bl.a. att relationen mellan medier och politiska beslutsfattare är av stor betydelse för hur mediernas självständighet och integritet fungerar i praktiken. Perssons uttalanden pekade enligt Jan Scherman tydligt på att statsministern ansåg sig ha rätt att påverka och styra mediernas sätt att bevaka valrörelsen, vilket är något helt annat än att offentligt framföra åsikter om hur medierna sköter sitt beva</w:t>
      </w:r>
      <w:r w:rsidRPr="001B4EC1">
        <w:t>k</w:t>
      </w:r>
      <w:r w:rsidRPr="001B4EC1">
        <w:t>nings- och granskningsuppdrag.</w:t>
      </w:r>
    </w:p>
    <w:p w:rsidR="00252869" w:rsidRPr="001B4EC1" w:rsidRDefault="00252869">
      <w:pPr>
        <w:pStyle w:val="Normaltindrag"/>
      </w:pPr>
      <w:r w:rsidRPr="001B4EC1">
        <w:t>Jan Scherman anför att han ville följa denna principfråga för att se om det inträffade ingick i ett mönster, där regeringsmakten och andra politiska för</w:t>
      </w:r>
      <w:r w:rsidRPr="001B4EC1">
        <w:t>e</w:t>
      </w:r>
      <w:r w:rsidRPr="001B4EC1">
        <w:t>trädare ansåg sig ha rätt till nämnda påverkan och styrning, för att i ett sa</w:t>
      </w:r>
      <w:r w:rsidRPr="001B4EC1">
        <w:t>m</w:t>
      </w:r>
      <w:r w:rsidRPr="001B4EC1">
        <w:t>manhang där det fanns möjlighet att utveckla frågan offentliggöra det inträ</w:t>
      </w:r>
      <w:r w:rsidRPr="001B4EC1">
        <w:t>f</w:t>
      </w:r>
      <w:r w:rsidRPr="001B4EC1">
        <w:t>fade. Så skedde i den lördagsintervju i Ekot som sändes i början av 2004 och som blev utlösningen till en relevant diskussion om statsministerns sätt att agera gen</w:t>
      </w:r>
      <w:r w:rsidRPr="001B4EC1">
        <w:t>t</w:t>
      </w:r>
      <w:r w:rsidRPr="001B4EC1">
        <w:t>emot medierna.</w:t>
      </w:r>
    </w:p>
    <w:p w:rsidR="00252869" w:rsidRPr="001B4EC1" w:rsidRDefault="00252869">
      <w:pPr>
        <w:pStyle w:val="R4"/>
      </w:pPr>
      <w:r w:rsidRPr="001B4EC1">
        <w:t xml:space="preserve">Skrivelsen den 16 april 2004 </w:t>
      </w:r>
    </w:p>
    <w:p w:rsidR="00252869" w:rsidRPr="001B4EC1" w:rsidRDefault="00252869">
      <w:r w:rsidRPr="001B4EC1">
        <w:t>I en skrivelse, som kom in till utskottet den 16 april 2004, anför Jan Scherman att det i hans skrivelse av den 8 mars 2004 finns upprepningar av flera saker i händelseförloppet den 10 september 2002, vilket beror på att en slutmarkering av citatet från hans minnesanteckning saknas. Han klargör att han ringde endast ett samtal till Jan Larsson, vilket skedde när både Göran Ellung och Eva Swartz var närvarande i hans rum.</w:t>
      </w:r>
    </w:p>
    <w:p w:rsidR="00252869" w:rsidRPr="001B4EC1" w:rsidRDefault="00252869">
      <w:pPr>
        <w:pStyle w:val="Rubrik3"/>
        <w:rPr>
          <w:noProof w:val="0"/>
        </w:rPr>
      </w:pPr>
      <w:bookmarkStart w:id="127" w:name="_Toc72648557"/>
      <w:r w:rsidRPr="001B4EC1">
        <w:rPr>
          <w:noProof w:val="0"/>
        </w:rPr>
        <w:t>Utfrågningar</w:t>
      </w:r>
      <w:bookmarkEnd w:id="127"/>
    </w:p>
    <w:p w:rsidR="00252869" w:rsidRPr="001B4EC1" w:rsidRDefault="00252869">
      <w:pPr>
        <w:pStyle w:val="Rubrik4"/>
        <w:rPr>
          <w:noProof w:val="0"/>
        </w:rPr>
      </w:pPr>
      <w:bookmarkStart w:id="128" w:name="_Toc72648558"/>
      <w:r w:rsidRPr="001B4EC1">
        <w:rPr>
          <w:noProof w:val="0"/>
        </w:rPr>
        <w:t>Utfrågning med Jan Scherman den 15 april 2004 m.m.</w:t>
      </w:r>
      <w:bookmarkEnd w:id="128"/>
    </w:p>
    <w:p w:rsidR="00252869" w:rsidRPr="001B4EC1" w:rsidRDefault="00252869">
      <w:r w:rsidRPr="001B4EC1">
        <w:t>Utskottet har den 15 april 2004 hållit en utfrågning med Jan Scherman, vd för TV 4 AB. Han uppgav bl.a. att efter TV 4:s partiledardebatt  den 10 septe</w:t>
      </w:r>
      <w:r w:rsidRPr="001B4EC1">
        <w:t>m</w:t>
      </w:r>
      <w:r w:rsidRPr="001B4EC1">
        <w:t>ber 2002 framförde statsministern inte bara hård kritik mot TV 4:s valbeva</w:t>
      </w:r>
      <w:r w:rsidRPr="001B4EC1">
        <w:t>k</w:t>
      </w:r>
      <w:r w:rsidRPr="001B4EC1">
        <w:t>ning, utan sa också vid upprepade tillfällen under samtalet att han (Jan Scherman) och TV 4 hade investerat tungt i en borgerlig valseger. Statsm</w:t>
      </w:r>
      <w:r w:rsidRPr="001B4EC1">
        <w:t>i</w:t>
      </w:r>
      <w:r w:rsidRPr="001B4EC1">
        <w:t>nistern undrade om han hade tänkt på vad som skulle kunna hända om det inte blev så, hur många ovänner TV 4 skulle få i Rosenbad och att han skulle få hela kanslihuset emot sig.</w:t>
      </w:r>
    </w:p>
    <w:p w:rsidR="00252869" w:rsidRPr="001B4EC1" w:rsidRDefault="00252869">
      <w:pPr>
        <w:pStyle w:val="Normaltindrag"/>
      </w:pPr>
      <w:r w:rsidRPr="001B4EC1">
        <w:t>Jan Scherman uppgav att han relativt regelbundet gör anteckningar om vad som händer i anslutning till hans arbet</w:t>
      </w:r>
      <w:r w:rsidRPr="001B4EC1">
        <w:t>e på TV 4. Det här var definitivt av den karaktären, så pass anmärkningsvärt, att han samma kväll gjorde en ganska utförlig minnesanteckning, som han har återgett i sin inlaga till utskottet.</w:t>
      </w:r>
    </w:p>
    <w:p w:rsidR="00252869" w:rsidRPr="001B4EC1" w:rsidRDefault="00252869">
      <w:pPr>
        <w:pStyle w:val="Normaltindrag"/>
      </w:pPr>
      <w:r w:rsidRPr="001B4EC1">
        <w:t>Enligt Jan Scherman var det uppenbart att det här inte handlade om det som är naturligt – att vem som helst har rätt att och tycka och tänka om med</w:t>
      </w:r>
      <w:r w:rsidRPr="001B4EC1">
        <w:t>i</w:t>
      </w:r>
      <w:r w:rsidRPr="001B4EC1">
        <w:t>er. Det var ett otvetydigt hot, dvs. en varning att om TV 4 inte ”bättrade sig”, skulle man riskera att råka illa ut.</w:t>
      </w:r>
    </w:p>
    <w:p w:rsidR="00252869" w:rsidRPr="001B4EC1" w:rsidRDefault="00252869">
      <w:pPr>
        <w:pStyle w:val="Normaltindrag"/>
      </w:pPr>
      <w:r w:rsidRPr="001B4EC1">
        <w:t>Samma kväll informerade han de personer som han ansåg att det var vi</w:t>
      </w:r>
      <w:r w:rsidRPr="001B4EC1">
        <w:t>k</w:t>
      </w:r>
      <w:r w:rsidRPr="001B4EC1">
        <w:t>tigt att de skulle ha kännedom om det inträffade; TV 4:s programdirektör och TV 4:s ansvarige för den aktuella valbevakningen. Han ansåg inte att han i sin egenskap av vd hade skyldighet at därutöver offentliggöra det inträffade. Några dagar senare informerade han också TV 4:s styrelseordförande.</w:t>
      </w:r>
    </w:p>
    <w:p w:rsidR="00252869" w:rsidRPr="001B4EC1" w:rsidRDefault="00252869">
      <w:pPr>
        <w:pStyle w:val="Normaltindrag"/>
      </w:pPr>
      <w:r w:rsidRPr="001B4EC1">
        <w:t>Jan Scherman uppgav att han är medveten om att den tidpunkt vid vilken han berättade om detta mycket väl kan diskuteras och kritiseras. Han ville dock försäkra utskottet om att det inte finns någon annan förklarin</w:t>
      </w:r>
      <w:r w:rsidRPr="001B4EC1">
        <w:t>g till detta än den som han har lämnat till utskottet. Han ville vänta in en tidpunkt då han kunde sätta in det inträffade i ett större sammanhang. Under sina 30 år som journalist har han ofta deltagit i den publicistiska debatten, inte minst den som gäller hur politiker uppträder mot journalister. Med tiden fick han ytterligare exempel som han också berättade om i Ekointervjun.</w:t>
      </w:r>
    </w:p>
    <w:p w:rsidR="00252869" w:rsidRPr="001B4EC1" w:rsidRDefault="00252869">
      <w:pPr>
        <w:pStyle w:val="Normaltindrag"/>
      </w:pPr>
      <w:r w:rsidRPr="001B4EC1">
        <w:t xml:space="preserve">Hans avsikt var att få i gång en diskussion, och så blev det. </w:t>
      </w:r>
    </w:p>
    <w:p w:rsidR="00252869" w:rsidRPr="001B4EC1" w:rsidRDefault="00252869">
      <w:pPr>
        <w:pStyle w:val="Normaltindrag"/>
      </w:pPr>
      <w:r w:rsidRPr="001B4EC1">
        <w:t>På fråga uppgav Jan Scherman att skälet till att han omedelbart talade med programdirektören och den ansvarige för valbevakningen var att han ville försäkra sig om att det inte på något sätt skulle ändra på den valbevakning som var fastlagd. Det var också den information som han lämnade till styre</w:t>
      </w:r>
      <w:r w:rsidRPr="001B4EC1">
        <w:t>l</w:t>
      </w:r>
      <w:r w:rsidRPr="001B4EC1">
        <w:t>seor</w:t>
      </w:r>
      <w:r w:rsidRPr="001B4EC1">
        <w:t>d</w:t>
      </w:r>
      <w:r w:rsidRPr="001B4EC1">
        <w:t xml:space="preserve">föranden. </w:t>
      </w:r>
    </w:p>
    <w:p w:rsidR="00252869" w:rsidRPr="001B4EC1" w:rsidRDefault="00252869">
      <w:pPr>
        <w:pStyle w:val="Normaltindrag"/>
      </w:pPr>
      <w:r w:rsidRPr="001B4EC1">
        <w:t>Beträffande vad hotet bestod i gör han den tolkningen att, med tanke på det dramatiska slutskede som valrörelsen befann sig i, avsikten med hotet inte i första hand var att utlösa det som orden innebär, nämligen att vid en eventuell socialdemokratisk valseger försämra villkoren genom olika politiska beslut. Däremot att se till att TV 4 i det dramatiska slutskedet av valrörelsen intog en mycket mer positiv position till socialdemokratin.</w:t>
      </w:r>
    </w:p>
    <w:p w:rsidR="00252869" w:rsidRPr="001B4EC1" w:rsidRDefault="00252869">
      <w:pPr>
        <w:pStyle w:val="Normaltindrag"/>
      </w:pPr>
      <w:r w:rsidRPr="001B4EC1">
        <w:t>På fråga om det inte kunde ha varit av intresse för tittarna och väljarna att ta del av det inträffade, uppgav Jan Scherman att det är väsentligt att man har en strikt arbetsfördelning och att verkställande direktören inte agerar i utg</w:t>
      </w:r>
      <w:r w:rsidRPr="001B4EC1">
        <w:t>i</w:t>
      </w:r>
      <w:r w:rsidRPr="001B4EC1">
        <w:t xml:space="preserve">varfrågor. Hans enda ansvar var att förvissa sig om att man inte skulle ändra något i den fastlagda planen för valbevakningen. </w:t>
      </w:r>
    </w:p>
    <w:p w:rsidR="00252869" w:rsidRPr="001B4EC1" w:rsidRDefault="00252869">
      <w:pPr>
        <w:pStyle w:val="Normaltindrag"/>
      </w:pPr>
      <w:r w:rsidRPr="001B4EC1">
        <w:t>På fråga om hur säker Jan Scherman är på den ordalydelse från samtalet med statsministern som återgetts i skrivelsen till utskottet uppgav Jan Sche</w:t>
      </w:r>
      <w:r w:rsidRPr="001B4EC1">
        <w:t>r</w:t>
      </w:r>
      <w:r w:rsidRPr="001B4EC1">
        <w:t xml:space="preserve">man att  han är väldigt säker på ordalydelsen. Han valde att samma kväll anteckna vad som hade sagts. Visserligen kan man slinta på ett kommatecken, ett ”och” eller ”men”. Men alla nyckelorden, ”tung investering”, ”få ovänner i regeringen”, ”få kanslihuset emot sig”, som upprepades ett antal gånger, är han mycket säker på. </w:t>
      </w:r>
    </w:p>
    <w:p w:rsidR="00252869" w:rsidRPr="001B4EC1" w:rsidRDefault="00252869">
      <w:pPr>
        <w:pStyle w:val="Normaltindrag"/>
      </w:pPr>
      <w:r w:rsidRPr="001B4EC1">
        <w:t>På fråga om TV 4 på något sätt råkat illa ut på grund av detta eller tidigare agerande, samt om det finns något bevis eller något som innebär att myndi</w:t>
      </w:r>
      <w:r w:rsidRPr="001B4EC1">
        <w:t>g</w:t>
      </w:r>
      <w:r w:rsidRPr="001B4EC1">
        <w:t>heten missbrukat sin makt, uppgav Jan Scherman angående den första frågan att alla former av självcensur är svåra att vederlägga. Han kan bara säga att han inte på något sätt fått intrycket av eller har fått uppgifter om att man skulle ha ändrat sig på denna punkt. Däremot vill han påstå att TV 4 lång tid efter valrörelsen haft extremt stora svårigheter att få statsministern att ställa upp för TV 4.</w:t>
      </w:r>
    </w:p>
    <w:p w:rsidR="00252869" w:rsidRPr="001B4EC1" w:rsidRDefault="00252869">
      <w:pPr>
        <w:pStyle w:val="Normaltindrag"/>
      </w:pPr>
      <w:r w:rsidRPr="001B4EC1">
        <w:t xml:space="preserve">När det gäller den andra frågan kan han inte spåra att det i den formella hanteringen av alla de frågor som </w:t>
      </w:r>
      <w:r w:rsidRPr="001B4EC1">
        <w:t>berör TV 4 finns en koppling mellan stat</w:t>
      </w:r>
      <w:r w:rsidRPr="001B4EC1">
        <w:t>s</w:t>
      </w:r>
      <w:r w:rsidRPr="001B4EC1">
        <w:t>ministerns kritik av deras valbevakning eller hotet mot honom själv som har lett till det eller det. En annan sak är att han tycker att hanteringen av TV 4:s många ärenden på t.ex. Kulturdepartementet tar extremt lång tid. Det är mö</w:t>
      </w:r>
      <w:r w:rsidRPr="001B4EC1">
        <w:t>j</w:t>
      </w:r>
      <w:r w:rsidRPr="001B4EC1">
        <w:t>ligt att Sveriges Television och andra TV-företag upplever det på samma sätt, men att det skulle finnas ett samband mellan detta och hans samtal med G</w:t>
      </w:r>
      <w:r w:rsidRPr="001B4EC1">
        <w:t>ö</w:t>
      </w:r>
      <w:r w:rsidRPr="001B4EC1">
        <w:t>ran Persson känner han inte till.</w:t>
      </w:r>
    </w:p>
    <w:p w:rsidR="00252869" w:rsidRPr="001B4EC1" w:rsidRDefault="00252869">
      <w:pPr>
        <w:pStyle w:val="Rubrik4"/>
        <w:rPr>
          <w:noProof w:val="0"/>
        </w:rPr>
      </w:pPr>
      <w:bookmarkStart w:id="129" w:name="_Toc72648559"/>
      <w:r w:rsidRPr="001B4EC1">
        <w:rPr>
          <w:noProof w:val="0"/>
        </w:rPr>
        <w:t>Utfrågning med statsminister Göran Persson</w:t>
      </w:r>
      <w:bookmarkEnd w:id="129"/>
    </w:p>
    <w:p w:rsidR="00252869" w:rsidRPr="001B4EC1" w:rsidRDefault="00252869">
      <w:r w:rsidRPr="001B4EC1">
        <w:t>Utskottet har den 20 april 2004 hållit en utfrågning med statsminister Göran Persson. Han uppgav bl.a. att han upplevde att den avslutande partiledard</w:t>
      </w:r>
      <w:r w:rsidRPr="001B4EC1">
        <w:t>e</w:t>
      </w:r>
      <w:r w:rsidRPr="001B4EC1">
        <w:t>batten i TV 4 var som de övriga inslagen, inte minst utfrågningarna, mycket dålig. Det var svårt att över huvud taget få ordet i debatten och utfrågningen med honom själv var mycket aggressiv. Han var djupt missnöjd med den bevakningen. Efter debatten var det en buffé med säkert 100–150 personer närvarande i rummet. Hälften var journalister och den andra hälften hörde till det politiska sällskapet. Efter debatten ställde sig Scherman och han för sig själva. De började tala om det hela. Han sade säkert då v</w:t>
      </w:r>
      <w:r w:rsidRPr="001B4EC1">
        <w:t>ad han tyckte om själva debatten och om valbevakningen. Exakt hur orden föll kommer han inte ihåg. Men Jan Scherman satt kvar och hade inga särskilda synpunkter då när de satt vid bordet. De avslutade så småningom sin middagskonversation. Han tror att han åkte hem och lade sig.</w:t>
      </w:r>
    </w:p>
    <w:p w:rsidR="00252869" w:rsidRPr="001B4EC1" w:rsidRDefault="00252869">
      <w:pPr>
        <w:pStyle w:val="Normaltindrag"/>
      </w:pPr>
      <w:r w:rsidRPr="001B4EC1">
        <w:t>Göran Persson frågade om han då hade hotat Jan Scherman? Det vore en rätt märklig situation i så fall. Att han säger att han inte gjort det bygger han på sannolikheten. Varför skulle han sätta sig i ett rum i valspurten med TV 4:s ch</w:t>
      </w:r>
      <w:r w:rsidRPr="001B4EC1">
        <w:t>ef och börja hota honom i närvaro av ca 75 journalister på fem meters avstånd? Han är inte orutinerad och har en stor respekt för medierna och mediernas sätt att arbeta. Men han har också starka uppfattningar om det, så han ger sin synpunkt till känna. Allt säger honom att så skulle han aldrig ha uttryckt sig. Något hot förekom inte.</w:t>
      </w:r>
    </w:p>
    <w:p w:rsidR="00252869" w:rsidRPr="001B4EC1" w:rsidRDefault="00252869">
      <w:pPr>
        <w:pStyle w:val="Normaltindrag"/>
      </w:pPr>
      <w:r w:rsidRPr="001B4EC1">
        <w:t>Om det var så att han hade hotat Jan Scherman, hade Jan Scherman natu</w:t>
      </w:r>
      <w:r w:rsidRPr="001B4EC1">
        <w:t>r</w:t>
      </w:r>
      <w:r w:rsidRPr="001B4EC1">
        <w:t>ligtvis gjort en nyhet av det och totalt förändrat förutsättningen för hela slu</w:t>
      </w:r>
      <w:r w:rsidRPr="001B4EC1">
        <w:t>t</w:t>
      </w:r>
      <w:r w:rsidRPr="001B4EC1">
        <w:t>fasen av valrörelsen. Det gjorde han inte. Det är naturligtvis lätt att i det sammanhanget förutse vad en sådan journalistisk person som Jan Scherman skulle ha gjort. Det bär inte sannolikhetens prägel.</w:t>
      </w:r>
    </w:p>
    <w:p w:rsidR="00252869" w:rsidRPr="001B4EC1" w:rsidRDefault="00252869">
      <w:pPr>
        <w:pStyle w:val="Normaltindrag"/>
      </w:pPr>
      <w:r w:rsidRPr="001B4EC1">
        <w:t>Göran Person fick vidare frågor om varför han exponerar sig för risken att bli misstänkliggjord på detta vis, om den omständigheten att inget hänt med koncessionsavgifterna under lång tid samt om statsministern inte upplever det</w:t>
      </w:r>
      <w:r w:rsidRPr="001B4EC1">
        <w:t xml:space="preserve"> som besvärande att hamna i en situation där den typen av relationer åtminst</w:t>
      </w:r>
      <w:r w:rsidRPr="001B4EC1">
        <w:t>o</w:t>
      </w:r>
      <w:r w:rsidRPr="001B4EC1">
        <w:t xml:space="preserve">ne av andra kan sägas ha påverkats av den diskussion som han och Jan Scherman hade. Göran Persson uppgav härvid bl.a. att han inte exponerar sig för någon risk när han talar med chefen för TV 4. Det är klart att han har rätt och möjlighet att tala med honom. </w:t>
      </w:r>
    </w:p>
    <w:p w:rsidR="00252869" w:rsidRPr="001B4EC1" w:rsidRDefault="00252869">
      <w:pPr>
        <w:pStyle w:val="Normaltindrag"/>
      </w:pPr>
      <w:r w:rsidRPr="001B4EC1">
        <w:t>Vidare uppgav han att om Jan Schermans medarbetare tecknar ned det som Jan Scherman påstår att han upplevt – varför sänder man inte och gör en nyhet av det? Det är mycket märk</w:t>
      </w:r>
      <w:r w:rsidRPr="001B4EC1">
        <w:t>ligt. Vad gäller koncessionsavgifterna b</w:t>
      </w:r>
      <w:r w:rsidRPr="001B4EC1">
        <w:t>e</w:t>
      </w:r>
      <w:r w:rsidRPr="001B4EC1">
        <w:t>reds denna fråga med iakttagande av de krav man har i Regeringskansliet. Det som har ”gått i stå” är att man har fått kritiska remissynpunkter. Dessa måste man beakta och därför har processen blivit mer komplicerad än man först trodde. När påhoppet från Scherman släpps är man inne i en fas då man ber</w:t>
      </w:r>
      <w:r w:rsidRPr="001B4EC1">
        <w:t>e</w:t>
      </w:r>
      <w:r w:rsidRPr="001B4EC1">
        <w:t>der koncessionsavgifterna. Man tänker inte låta sig påverkas av en sådan händelse. De utreder och bereder sitt ärende utifrån saklighet, och tänker så småningom lägga fr</w:t>
      </w:r>
      <w:r w:rsidRPr="001B4EC1">
        <w:t>am ett förslag. Det är på intet sätt kopplat till detta, vare sig Schermans sätt att få in det i debatten eller de samtal som de förde om programmen efter valrörelsen 2002.</w:t>
      </w:r>
    </w:p>
    <w:p w:rsidR="00252869" w:rsidRPr="001B4EC1" w:rsidRDefault="00252869">
      <w:pPr>
        <w:pStyle w:val="Normaltindrag"/>
      </w:pPr>
      <w:r w:rsidRPr="001B4EC1">
        <w:t>På fråga uppgav Göran Persson att han inte har någon bild av att han efter valet skulle ha medverkat i mindre utsträckning i TV 4 än i Sveriges Telev</w:t>
      </w:r>
      <w:r w:rsidRPr="001B4EC1">
        <w:t>i</w:t>
      </w:r>
      <w:r w:rsidRPr="001B4EC1">
        <w:t>sion. Man väger in kanalernas genomslagskraft. Det är ofta så att han har erbjudande om att medverka i både TV 4 och SVT, och skall välja ett av företagen. Det är klart att han hellre väljer ett nyhetsinslag i SVT som når fler människor. Den typen av bedömningar gör man, och det tycker han är leg</w:t>
      </w:r>
      <w:r w:rsidRPr="001B4EC1">
        <w:t>i</w:t>
      </w:r>
      <w:r w:rsidRPr="001B4EC1">
        <w:t>timt. Han ha trots det ställt upp i något sammanhang i TV 4 under den här perioden för att markera att han inte på något sätt misskänner dem. Exempe</w:t>
      </w:r>
      <w:r w:rsidRPr="001B4EC1">
        <w:t>l</w:t>
      </w:r>
      <w:r w:rsidRPr="001B4EC1">
        <w:t>vis hade han vid premiären av TV 4:s nya program Hetluft ett lik</w:t>
      </w:r>
      <w:r w:rsidRPr="001B4EC1">
        <w:t>nande erbj</w:t>
      </w:r>
      <w:r w:rsidRPr="001B4EC1">
        <w:t>u</w:t>
      </w:r>
      <w:r w:rsidRPr="001B4EC1">
        <w:t>dande från SVT, men valde ändå Hetluft.</w:t>
      </w:r>
    </w:p>
    <w:p w:rsidR="00252869" w:rsidRPr="001B4EC1" w:rsidRDefault="00252869">
      <w:pPr>
        <w:pStyle w:val="Normaltindrag"/>
      </w:pPr>
      <w:r w:rsidRPr="001B4EC1">
        <w:t>På fråga om statsministern är säker på att han vägt sina ord tillräckligt noga i det här fallet, om det kan ha varit så att orden föll ungefär som Jan Scherman uppger utan att det var en avsikt att hota, uppger Göran Persson att han är säker på att han inte har uttalat det som Scherman påstår.</w:t>
      </w:r>
    </w:p>
    <w:p w:rsidR="00252869" w:rsidRPr="001B4EC1" w:rsidRDefault="00252869">
      <w:pPr>
        <w:pStyle w:val="Normaltindrag"/>
      </w:pPr>
      <w:r w:rsidRPr="001B4EC1">
        <w:t>På fråga uppger statsministern vidare att han tror att Jan Scherman ringde till hans presschef Jan Larsson, men han är inte säker. Jan Scherman har vid utfrågningen uppgett att han, Göran Persson, skulle ha bett Jan Scherman att lugna ned sig. Om han har ringt till Jan Scherman, har han säkert sagt så. När det gäller vad Jan Scherman skulle lugna ned sig med var det definitivt inte en fråga om att han kände sig hotad.</w:t>
      </w:r>
    </w:p>
    <w:p w:rsidR="00252869" w:rsidRPr="001B4EC1" w:rsidRDefault="00252869">
      <w:pPr>
        <w:pStyle w:val="Normaltindrag"/>
      </w:pPr>
      <w:r w:rsidRPr="001B4EC1">
        <w:t>På fråga om statsministern är rädd för att förtroendet för honom i allmä</w:t>
      </w:r>
      <w:r w:rsidRPr="001B4EC1">
        <w:t>n</w:t>
      </w:r>
      <w:r w:rsidRPr="001B4EC1">
        <w:t>het och hans relationer till medierna i synnerhet har rubbats på grund av att konstitutionsutskottet tidigare granskat hans nära förhållande till en reporter på SVT och nu granskar ett påstått hot mot TV 4:s vd, uppger Göran Persson bl.a. följande. Han lever ett så intensivt liv i en nära relation till medierna, och medierna spelar en växande roll i den politiska processen. Det vore konstigt om inte konstitutionsutskottet av och till hamnade i resonemang om medierna och mediernas roll i förhållande till po</w:t>
      </w:r>
      <w:r w:rsidRPr="001B4EC1">
        <w:t>litiker. Man skall också komma ihåg att förtroendet bland allmänheten för medierna inte alltid är det största.</w:t>
      </w:r>
    </w:p>
    <w:p w:rsidR="00252869" w:rsidRPr="001B4EC1" w:rsidRDefault="00252869">
      <w:pPr>
        <w:pStyle w:val="Rubrik3"/>
        <w:rPr>
          <w:noProof w:val="0"/>
        </w:rPr>
      </w:pPr>
      <w:bookmarkStart w:id="130" w:name="_Toc72648560"/>
      <w:r w:rsidRPr="001B4EC1">
        <w:rPr>
          <w:noProof w:val="0"/>
        </w:rPr>
        <w:t>Utskottets ställningstagande</w:t>
      </w:r>
      <w:bookmarkEnd w:id="130"/>
    </w:p>
    <w:p w:rsidR="00252869" w:rsidRPr="001B4EC1" w:rsidRDefault="00252869">
      <w:r w:rsidRPr="001B4EC1">
        <w:t>Den för granskningsärendet aktuella händelsen ägde rum efter TV 4:s partil</w:t>
      </w:r>
      <w:r w:rsidRPr="001B4EC1">
        <w:t>e</w:t>
      </w:r>
      <w:r w:rsidRPr="001B4EC1">
        <w:t xml:space="preserve">dardebatt den 10 september 2002. Jan Scherman har uppgett att statsminister Göran Persson i ett samtal med honom var irriterad och besviken över TV-debatten och riktade kritik mot programledaren. Därefter tog han enligt Jan Scherman till en ton och ett ordval, som ”var ett otvetydigt hot”. </w:t>
      </w:r>
    </w:p>
    <w:p w:rsidR="00252869" w:rsidRPr="001B4EC1" w:rsidRDefault="00252869">
      <w:pPr>
        <w:pStyle w:val="Normaltindrag"/>
      </w:pPr>
      <w:r w:rsidRPr="001B4EC1">
        <w:t>Statsminister Göran Persson har anfört att han i samtalet med Jan Sche</w:t>
      </w:r>
      <w:r w:rsidRPr="001B4EC1">
        <w:t>r</w:t>
      </w:r>
      <w:r w:rsidRPr="001B4EC1">
        <w:t xml:space="preserve">man säkerligen sa vad han tyckte om själva debatten och valbevakningen. Han minns inte exakt hur orden föll. Statsministern har uppgett att han är säker på att han inte har uttalat det som Jan Scherman påstår. </w:t>
      </w:r>
    </w:p>
    <w:p w:rsidR="00252869" w:rsidRPr="001B4EC1" w:rsidRDefault="00252869">
      <w:pPr>
        <w:pStyle w:val="Normaltindrag"/>
      </w:pPr>
      <w:r w:rsidRPr="001B4EC1">
        <w:t>Utskottet kan, inom ramen för den granskning som utskottet har att utföra, nu endast konstatera att det föreligger motstridiga uppgifter om vad som förevarit vid den för granskningen aktuella händelsen. Den företagna grans</w:t>
      </w:r>
      <w:r w:rsidRPr="001B4EC1">
        <w:t>k</w:t>
      </w:r>
      <w:r w:rsidRPr="001B4EC1">
        <w:t>ningen kan därmed inte föranleda något uttalande från utsko</w:t>
      </w:r>
      <w:r w:rsidRPr="001B4EC1">
        <w:t>t</w:t>
      </w:r>
      <w:r w:rsidRPr="001B4EC1">
        <w:t xml:space="preserve">tets sida. </w:t>
      </w:r>
    </w:p>
    <w:p w:rsidR="00252869" w:rsidRPr="001B4EC1" w:rsidRDefault="00252869">
      <w:pPr>
        <w:pStyle w:val="Normaltindrag"/>
      </w:pPr>
      <w:r w:rsidRPr="001B4EC1">
        <w:t>I detta sammanhang vill utskottet dock anföra följande. Som redovisats ovan föreskrivs i 1 kap. 9 § RF att domstolar samt förvaltningsmyndigheter och andra som fullgör uppgifter inom den offentliga förvaltningen i sin ver</w:t>
      </w:r>
      <w:r w:rsidRPr="001B4EC1">
        <w:t>k</w:t>
      </w:r>
      <w:r w:rsidRPr="001B4EC1">
        <w:t>samhet skall beakta allas likhet inför lagen samt iaktta saklighet och opartis</w:t>
      </w:r>
      <w:r w:rsidRPr="001B4EC1">
        <w:t>k</w:t>
      </w:r>
      <w:r w:rsidRPr="001B4EC1">
        <w:t xml:space="preserve">het. Om det allmänna kan anses ha överskridit sin beslutanderätt kan man tala om illojal maktanvändning. Som otillbörligt anses t.ex. att ett offentligt organ utan författningsstöd begär en förmån i utbyte mot myndighetsutövning. </w:t>
      </w:r>
    </w:p>
    <w:p w:rsidR="00252869" w:rsidRPr="001B4EC1" w:rsidRDefault="00252869">
      <w:pPr>
        <w:pStyle w:val="Normaltindrag"/>
      </w:pPr>
      <w:r w:rsidRPr="001B4EC1">
        <w:t>När det gäller statsråds relationer med public service-företagen uttalade u</w:t>
      </w:r>
      <w:r w:rsidRPr="001B4EC1">
        <w:t>t</w:t>
      </w:r>
      <w:r w:rsidRPr="001B4EC1">
        <w:t>skottet vid föregående års granskning att statsråden, vid sidan av det som förekommer inom ramen för formulerandet av företagens uppdrag, bör iaktta en hög grad av försiktighet så att risk inte uppstår för att företagens självstä</w:t>
      </w:r>
      <w:r w:rsidRPr="001B4EC1">
        <w:t>n</w:t>
      </w:r>
      <w:r w:rsidRPr="001B4EC1">
        <w:t>dighet och oberoende rubbas eller deras granskande uppgift påverkas (bet. 2002/03:KU30 s. 117 f.). Utskottet kan konstatera att TV 4 AB, i likhet med public service-företagen, sänder program med stöd av tillstånd från regerin</w:t>
      </w:r>
      <w:r w:rsidRPr="001B4EC1">
        <w:t>g</w:t>
      </w:r>
      <w:r w:rsidRPr="001B4EC1">
        <w:t>en. Som villkor också för TV 4 AB gäller att sändningsr</w:t>
      </w:r>
      <w:r w:rsidRPr="001B4EC1">
        <w:t>ätten skall utövas opartiskt och sakligt samt att myndigheter, organisationer och företag som har inflytande på beslut som rör medborgarna skall granskas.</w:t>
      </w:r>
    </w:p>
    <w:p w:rsidR="00252869" w:rsidRPr="001B4EC1" w:rsidRDefault="00252869">
      <w:pPr>
        <w:pStyle w:val="Normaltindrag"/>
      </w:pPr>
      <w:r w:rsidRPr="001B4EC1">
        <w:t>Utskottet vill framhålla att alla som fullgör uppgifter inom den offentliga förvaltningen har att iaktta en hög grad av försiktighet när det gäller agerandet i förhållande till den som är föremål för myndighets beslut. Det får inte uppstå risk för att dess handlande kan uppfattas ligga utanför det som innefattas i myndighetens beslutanderätt. Med hänsyn t</w:t>
      </w:r>
      <w:r w:rsidRPr="001B4EC1">
        <w:t xml:space="preserve">ill statsråds speciella ställning torde särskilda krav kunna ställas på regeringens ledamöter i iakttagandet av denna försiktighetsprincip. Genom att en sådan försiktighetsprincip iakttas värnas integriteten för såväl  det offentliga organet i dess maktutövning som för den som är föremål för dess beslut. </w:t>
      </w:r>
    </w:p>
    <w:p w:rsidR="00252869" w:rsidRPr="001B4EC1" w:rsidRDefault="00252869">
      <w:pPr>
        <w:pStyle w:val="Rubrik2"/>
      </w:pPr>
      <w:bookmarkStart w:id="131" w:name="_Toc72648561"/>
      <w:r w:rsidRPr="001B4EC1">
        <w:t>4.2  Statsminister Göran Perssons resa till Vin &amp; Sprits franska vingård</w:t>
      </w:r>
      <w:bookmarkEnd w:id="131"/>
    </w:p>
    <w:p w:rsidR="00252869" w:rsidRPr="001B4EC1" w:rsidRDefault="00252869">
      <w:pPr>
        <w:pStyle w:val="Rubrik3"/>
        <w:spacing w:before="110"/>
        <w:rPr>
          <w:noProof w:val="0"/>
        </w:rPr>
      </w:pPr>
      <w:bookmarkStart w:id="132" w:name="_Toc72648562"/>
      <w:r w:rsidRPr="001B4EC1">
        <w:rPr>
          <w:noProof w:val="0"/>
        </w:rPr>
        <w:t>Ärendet</w:t>
      </w:r>
      <w:bookmarkEnd w:id="132"/>
    </w:p>
    <w:p w:rsidR="00252869" w:rsidRPr="001B4EC1" w:rsidRDefault="00252869">
      <w:r w:rsidRPr="001B4EC1">
        <w:t xml:space="preserve">I en granskningsanmälan, </w:t>
      </w:r>
      <w:r w:rsidRPr="001B4EC1">
        <w:rPr>
          <w:i/>
        </w:rPr>
        <w:t>bilaga A4.2.1</w:t>
      </w:r>
      <w:r w:rsidRPr="001B4EC1">
        <w:t>, begärs att konstitutionsutskottet granskar lämpligheten i att statsminister Göran Persson utnyttjat den franska vingården Domaine Christiane Rabiega, som ägs av Vin &amp; Sprit, för konf</w:t>
      </w:r>
      <w:r w:rsidRPr="001B4EC1">
        <w:t>e</w:t>
      </w:r>
      <w:r w:rsidRPr="001B4EC1">
        <w:t>ren</w:t>
      </w:r>
      <w:r w:rsidRPr="001B4EC1">
        <w:t>s</w:t>
      </w:r>
      <w:r w:rsidRPr="001B4EC1">
        <w:t xml:space="preserve">ändamål. </w:t>
      </w:r>
    </w:p>
    <w:p w:rsidR="00252869" w:rsidRPr="001B4EC1" w:rsidRDefault="00252869">
      <w:pPr>
        <w:pStyle w:val="Normaltindrag"/>
      </w:pPr>
      <w:r w:rsidRPr="001B4EC1">
        <w:t>Anmälaren anför att statsministern nyttjade Vin &amp; Sprits kursgård til</w:t>
      </w:r>
      <w:r w:rsidRPr="001B4EC1">
        <w:t>l</w:t>
      </w:r>
      <w:r w:rsidRPr="001B4EC1">
        <w:t>sammans med ledande socialdemokratiska tjänstemän för konferensändamål under perioden den 28 till den 30 september 2003. Det omdömesgilla i att välja just det statliga bolagets vingård kan enligt anmälaren ifrågasättas. A</w:t>
      </w:r>
      <w:r w:rsidRPr="001B4EC1">
        <w:t>n</w:t>
      </w:r>
      <w:r w:rsidRPr="001B4EC1">
        <w:t>mälaren påpekar att det två månader efter konferensens slut ännu inte hade kommit in någon faktura till det socialdemokratiska partiet. Enligt anmälaren kom fakturan in först den 24 november 2003 då Sveriges Radios ekoredaktion efte</w:t>
      </w:r>
      <w:r w:rsidRPr="001B4EC1">
        <w:t>r</w:t>
      </w:r>
      <w:r w:rsidRPr="001B4EC1">
        <w:t>sökte den.</w:t>
      </w:r>
    </w:p>
    <w:p w:rsidR="00252869" w:rsidRPr="001B4EC1" w:rsidRDefault="00252869">
      <w:pPr>
        <w:pStyle w:val="Normaltindrag"/>
      </w:pPr>
      <w:r w:rsidRPr="001B4EC1">
        <w:t>Anmälaren anför att om fakturan från Vin &amp; Sp</w:t>
      </w:r>
      <w:r w:rsidRPr="001B4EC1">
        <w:t>rit skrevs ut först vid lunchtid måndagen den 24 november kan en misstanke uppstå om att bolaget inledningsvis avsåg att bjuda statsministern på logi och uppehälle vid vingå</w:t>
      </w:r>
      <w:r w:rsidRPr="001B4EC1">
        <w:t>r</w:t>
      </w:r>
      <w:r w:rsidRPr="001B4EC1">
        <w:t>den under tre dagar. Man kan enligt anmälaren också befara att fakturan u</w:t>
      </w:r>
      <w:r w:rsidRPr="001B4EC1">
        <w:t>r</w:t>
      </w:r>
      <w:r w:rsidRPr="001B4EC1">
        <w:t>sprungligen inte var ställd på beloppet 110 000 kr utan till en lägre kostnad. Statsministerns uppehälle vid kursgården skulle i så fall vara subventionerat av bolaget. Enligt anmälaren bör konstitutionsutskottet granska och utreda nämnda omständigheter för att få</w:t>
      </w:r>
      <w:r w:rsidRPr="001B4EC1">
        <w:t xml:space="preserve"> dem klarlagda. Han anser också mot ba</w:t>
      </w:r>
      <w:r w:rsidRPr="001B4EC1">
        <w:t>k</w:t>
      </w:r>
      <w:r w:rsidRPr="001B4EC1">
        <w:t>grund av de frågetecken som finns kring konferensen och hanteringen av den nämnda fakturan att utskottet bör granska om statsministerns deltagande i Socialdemokraternas konferens på det statliga företaget Vin &amp; Sprits kursgård är sådan verksamhet som statsråd enligt 6 kap. 9 § andra stycket regering</w:t>
      </w:r>
      <w:r w:rsidRPr="001B4EC1">
        <w:t>s</w:t>
      </w:r>
      <w:r w:rsidRPr="001B4EC1">
        <w:t>formen inte bör ägna sig åt, eftersom det kan rubba förtroendet för dem.</w:t>
      </w:r>
    </w:p>
    <w:p w:rsidR="00252869" w:rsidRPr="001B4EC1" w:rsidRDefault="00252869">
      <w:r w:rsidRPr="001B4EC1">
        <w:t xml:space="preserve">Till grund för granskningen har bl.a. legat två promemorior upprättade inom Statsrådsberedningen, </w:t>
      </w:r>
      <w:r w:rsidRPr="001B4EC1">
        <w:rPr>
          <w:i/>
        </w:rPr>
        <w:t>bilagorna A4.2.2 och A4.2.3</w:t>
      </w:r>
      <w:r w:rsidRPr="001B4EC1">
        <w:t>.</w:t>
      </w:r>
    </w:p>
    <w:p w:rsidR="00252869" w:rsidRPr="001B4EC1" w:rsidRDefault="00252869">
      <w:pPr>
        <w:pStyle w:val="R3"/>
      </w:pPr>
      <w:r w:rsidRPr="001B4EC1">
        <w:t>Gällande regler</w:t>
      </w:r>
    </w:p>
    <w:p w:rsidR="00252869" w:rsidRPr="001B4EC1" w:rsidRDefault="00252869">
      <w:pPr>
        <w:pStyle w:val="R4"/>
      </w:pPr>
      <w:r w:rsidRPr="001B4EC1">
        <w:t>Konstitutionsutskottets granskningsområde</w:t>
      </w:r>
    </w:p>
    <w:p w:rsidR="00252869" w:rsidRPr="001B4EC1" w:rsidRDefault="00252869">
      <w:r w:rsidRPr="001B4EC1">
        <w:t>Enligt 12 kap. 1 § regeringsformen (RF) skall konstitutionsutskottet granska statsrådens tjänsteutövning och regeringsärendenas handläggning.</w:t>
      </w:r>
    </w:p>
    <w:p w:rsidR="00252869" w:rsidRPr="001B4EC1" w:rsidRDefault="00252869">
      <w:r w:rsidRPr="001B4EC1">
        <w:t>I Holmberg/Stjernquists grundlagskommentar (s. 402) påpekas att föremål för granskningen är för det första ”statsrådens tjänsteutövning”. Här gäller inte någon begränsning till deras position såsom medlemmar av regeringen. I kommentaren framhålls att utskottet också kan granska deras åtgärder som departementschefer och om tendenser till ”ministerstyrelse” har förekommit.</w:t>
      </w:r>
    </w:p>
    <w:p w:rsidR="00252869" w:rsidRPr="001B4EC1" w:rsidRDefault="00252869">
      <w:pPr>
        <w:pStyle w:val="R4"/>
      </w:pPr>
      <w:r w:rsidRPr="001B4EC1">
        <w:t>Otillåten verksamhet för statsråd enligt regeringsformen</w:t>
      </w:r>
    </w:p>
    <w:p w:rsidR="00252869" w:rsidRPr="001B4EC1" w:rsidRDefault="00252869">
      <w:r w:rsidRPr="001B4EC1">
        <w:t>Enligt 6 kap. 9 § andra stycket RF får statsråd inte utöva allmän eller enskild tjänst. Han får inte heller inneha uppdrag eller utöva verksamhet som kan rubba förtroendet för honom.</w:t>
      </w:r>
    </w:p>
    <w:p w:rsidR="00252869" w:rsidRPr="001B4EC1" w:rsidRDefault="00252869">
      <w:pPr>
        <w:pStyle w:val="Normaltindrag"/>
      </w:pPr>
      <w:r w:rsidRPr="001B4EC1">
        <w:t>I förarbetena till bestämmelserna anförs att syftet i första hand är att värna om statsrådstjänstens integritet, men de kan också motiveras av önskemålet att ett statsråd inte skall splittra sina krafter (prop. 1973:90 s. 284). Enligt departementschefen får det från fall till fall bedömas om det rubbar förtroe</w:t>
      </w:r>
      <w:r w:rsidRPr="001B4EC1">
        <w:t>n</w:t>
      </w:r>
      <w:r w:rsidRPr="001B4EC1">
        <w:t>det för ett statsråd att han innehar ett visst uppdrag eller utövar en viss ver</w:t>
      </w:r>
      <w:r w:rsidRPr="001B4EC1">
        <w:t>k</w:t>
      </w:r>
      <w:r w:rsidRPr="001B4EC1">
        <w:t>samhet. Han anförde att det i allmänhet torde gälla att det är olämpligt att ett statsråd har uppdrag inom bolag, förening eller inrättning, vars verksamhet huvudsakligen har ekonomiskt syfte. Att undantagslöst upprätthålla en sådan regel låter sig enligt departementschefen emellertid inte göra. Han påpekade att å andra sidan kan också innehav av uppdrag av annat slag ha menlig i</w:t>
      </w:r>
      <w:r w:rsidRPr="001B4EC1">
        <w:t>n</w:t>
      </w:r>
      <w:r w:rsidRPr="001B4EC1">
        <w:t>verkan på förtroendet för den som utövar statsrå</w:t>
      </w:r>
      <w:r w:rsidRPr="001B4EC1">
        <w:t xml:space="preserve">dstjänst. </w:t>
      </w:r>
    </w:p>
    <w:p w:rsidR="00252869" w:rsidRPr="001B4EC1" w:rsidRDefault="00252869">
      <w:pPr>
        <w:pStyle w:val="Normaltindrag"/>
      </w:pPr>
      <w:r w:rsidRPr="001B4EC1">
        <w:t xml:space="preserve">I regeringens skrivelse 1996/97:56 </w:t>
      </w:r>
      <w:r w:rsidRPr="001B4EC1">
        <w:rPr>
          <w:i/>
        </w:rPr>
        <w:t xml:space="preserve">Intressekonflikter för statsråd </w:t>
      </w:r>
      <w:r w:rsidRPr="001B4EC1">
        <w:t>redovis</w:t>
      </w:r>
      <w:r w:rsidRPr="001B4EC1">
        <w:t>a</w:t>
      </w:r>
      <w:r w:rsidRPr="001B4EC1">
        <w:t>de regeringen resultatet av sina strävanden att utveckla rutiner som säkerstä</w:t>
      </w:r>
      <w:r w:rsidRPr="001B4EC1">
        <w:t>l</w:t>
      </w:r>
      <w:r w:rsidRPr="001B4EC1">
        <w:t>ler att statsråds förmögenhetsinnehav eller engagemang i andra verksamheter inte leder till intressekonflikter, insiderproblem eller jäv i uppdraget som statsråd. Redovisningen  knöt an till den diskussion som hade förts i riksd</w:t>
      </w:r>
      <w:r w:rsidRPr="001B4EC1">
        <w:t>a</w:t>
      </w:r>
      <w:r w:rsidRPr="001B4EC1">
        <w:t>gen vid flera tillfällen dessförinnan. I skrivelsen behandlas förbudet mot bisysslor (6 kap. 9 § RF), förbud mot insiderhandel och skyldighet att anmäla värdepappers</w:t>
      </w:r>
      <w:r w:rsidRPr="001B4EC1">
        <w:t>innehav samt regler om jäv. Vidare redovisades att de rutiner för insyn och kontroll som utbildats hos regeringen bl.a. innebar att eget fon</w:t>
      </w:r>
      <w:r w:rsidRPr="001B4EC1">
        <w:t>d</w:t>
      </w:r>
      <w:r w:rsidRPr="001B4EC1">
        <w:t>pappersinnehav skall redovisas offentligt liksom förteckning för närståendes fondpappersinnehav, att engagemang i andra verksamheter vid sidan av up</w:t>
      </w:r>
      <w:r w:rsidRPr="001B4EC1">
        <w:t>p</w:t>
      </w:r>
      <w:r w:rsidRPr="001B4EC1">
        <w:t>draget som statsråd samt tidigare anställningar och uppdrag redovisas offen</w:t>
      </w:r>
      <w:r w:rsidRPr="001B4EC1">
        <w:t>t</w:t>
      </w:r>
      <w:r w:rsidRPr="001B4EC1">
        <w:t>ligt och att jävssituationer bevakas genom granskning av ärendeförteckningar inför regeringssammanträden.</w:t>
      </w:r>
    </w:p>
    <w:p w:rsidR="00252869" w:rsidRPr="001B4EC1" w:rsidRDefault="00252869">
      <w:pPr>
        <w:pStyle w:val="R4"/>
      </w:pPr>
      <w:r w:rsidRPr="001B4EC1">
        <w:t>Statsflygsförordningen</w:t>
      </w:r>
    </w:p>
    <w:p w:rsidR="00252869" w:rsidRPr="001B4EC1" w:rsidRDefault="00252869">
      <w:r w:rsidRPr="001B4EC1">
        <w:t>Statsflygsförordningen (1999:1354) innehåller bestämmelser för användnin</w:t>
      </w:r>
      <w:r w:rsidRPr="001B4EC1">
        <w:t>g</w:t>
      </w:r>
      <w:r w:rsidRPr="001B4EC1">
        <w:t>en av de flygplan som staten anskaffat för statschefens och den högsta civila och militära ledningens resor. Förordningen skall också tillämpas på flygplan som används tillfälligt för detta ändamål som staten innehar eller hyr (1 §).</w:t>
      </w:r>
    </w:p>
    <w:p w:rsidR="00252869" w:rsidRPr="001B4EC1" w:rsidRDefault="00252869">
      <w:pPr>
        <w:pStyle w:val="Normaltindrag"/>
      </w:pPr>
      <w:r w:rsidRPr="001B4EC1">
        <w:t>I 2 § föreskrivs att ett flygplan får användas för andra statliga myndigh</w:t>
      </w:r>
      <w:r w:rsidRPr="001B4EC1">
        <w:t>e</w:t>
      </w:r>
      <w:r w:rsidRPr="001B4EC1">
        <w:t>ters behov när statschefen eller den högsta civila eller militära ledningen inte använder sig av planet.</w:t>
      </w:r>
    </w:p>
    <w:p w:rsidR="00252869" w:rsidRPr="001B4EC1" w:rsidRDefault="00252869">
      <w:pPr>
        <w:pStyle w:val="Normaltindrag"/>
      </w:pPr>
      <w:r w:rsidRPr="001B4EC1">
        <w:t>Enligt 3 § kan den som reser med ett flygplan bestämma att någon eller några andra personer får följa med på flygningen.</w:t>
      </w:r>
    </w:p>
    <w:p w:rsidR="00252869" w:rsidRPr="001B4EC1" w:rsidRDefault="00252869">
      <w:pPr>
        <w:pStyle w:val="Normaltindrag"/>
      </w:pPr>
      <w:r w:rsidRPr="001B4EC1">
        <w:t>Vidare sägs i 4 § att Försvarsmakten skall svara för driften av de flygplan som avses i 1 § första stycket och samordna beställningar av flygningar.</w:t>
      </w:r>
    </w:p>
    <w:p w:rsidR="00252869" w:rsidRPr="001B4EC1" w:rsidRDefault="00252869">
      <w:pPr>
        <w:pStyle w:val="Normaltindrag"/>
      </w:pPr>
      <w:r w:rsidRPr="001B4EC1">
        <w:t>I förordningen finns också bestämmelser om dokumentation. Enligt 9 § skall för varje flygning finnas en handling hos Försvarsmakten som visar 1) dagen för flygningen, 2) vilket flygplan som använts, 3) destinationen, 4) vem beställaren är, 5) vilka passagerarna är, 6) ändamålet med resan samt 7) vi</w:t>
      </w:r>
      <w:r w:rsidRPr="001B4EC1">
        <w:t>l</w:t>
      </w:r>
      <w:r w:rsidRPr="001B4EC1">
        <w:t>ken ersättning för flygtransportkostnader och för upphandling som beställaren skall betala till Försvarsmakten enligt 11 §.</w:t>
      </w:r>
    </w:p>
    <w:p w:rsidR="00252869" w:rsidRPr="001B4EC1" w:rsidRDefault="00252869">
      <w:pPr>
        <w:pStyle w:val="Normaltindrag"/>
      </w:pPr>
      <w:r w:rsidRPr="001B4EC1">
        <w:t>Därutöver föreskrivs i 10 § att beställaren skall se till att uppgifter om vi</w:t>
      </w:r>
      <w:r w:rsidRPr="001B4EC1">
        <w:t>l</w:t>
      </w:r>
      <w:r w:rsidRPr="001B4EC1">
        <w:t xml:space="preserve">ka passagerarna är och om ändamålet med resan lämnas till Försvarsmakten senast när passagerarna går ombord. </w:t>
      </w:r>
    </w:p>
    <w:p w:rsidR="00252869" w:rsidRPr="001B4EC1" w:rsidRDefault="00252869">
      <w:pPr>
        <w:pStyle w:val="Normaltindrag"/>
      </w:pPr>
      <w:r w:rsidRPr="001B4EC1">
        <w:t>Enligt 11 § skall beställaren ersätta Försvarsmakten för 1) flygtranspor</w:t>
      </w:r>
      <w:r w:rsidRPr="001B4EC1">
        <w:t>t</w:t>
      </w:r>
      <w:r w:rsidRPr="001B4EC1">
        <w:t>kostnader, 2) upphandling, 3) kostnader när beställningar återtas samt 4) avgifter för riksfinansiering och skadereglering enligt 16 §.</w:t>
      </w:r>
    </w:p>
    <w:p w:rsidR="00252869" w:rsidRPr="001B4EC1" w:rsidRDefault="00252869">
      <w:pPr>
        <w:pStyle w:val="Normaltindrag"/>
      </w:pPr>
      <w:r w:rsidRPr="001B4EC1">
        <w:t>Vidare finns i förordningen bestämmelser om beställarens skyldighet att ta betalt av passagerare vars resa inte är en statlig tjänsteresa.</w:t>
      </w:r>
    </w:p>
    <w:p w:rsidR="00252869" w:rsidRPr="001B4EC1" w:rsidRDefault="00252869">
      <w:pPr>
        <w:pStyle w:val="Normaltindrag"/>
      </w:pPr>
      <w:r w:rsidRPr="001B4EC1">
        <w:t>Som huvudregel gäller enligt 12 § att om Regeringskansliet eller någon annan myndighet under regeringen är beställare, skall myndigheten ta betalt av passagerare vars resa inte är en statlig tjänsteresa.</w:t>
      </w:r>
    </w:p>
    <w:p w:rsidR="00252869" w:rsidRPr="001B4EC1" w:rsidRDefault="00252869">
      <w:pPr>
        <w:pStyle w:val="Normaltindrag"/>
      </w:pPr>
      <w:r w:rsidRPr="001B4EC1">
        <w:t>I 13 § föreskrivs om undantag från vad som sägs i 12 §. Skyldigheten e</w:t>
      </w:r>
      <w:r w:rsidRPr="001B4EC1">
        <w:t>n</w:t>
      </w:r>
      <w:r w:rsidRPr="001B4EC1">
        <w:t>ligt 12 § gäller inte 1) när beställaren skall bekosta ett statsråds resa mellan Stockholm och hemorten enligt 6 § lagen (1991:359) om arvoden till statsråd m.m. eller 2) när det finns andra särskilda skäl att inte ta betalt.</w:t>
      </w:r>
    </w:p>
    <w:p w:rsidR="00252869" w:rsidRPr="001B4EC1" w:rsidRDefault="00252869">
      <w:pPr>
        <w:pStyle w:val="Normaltindrag"/>
      </w:pPr>
      <w:r w:rsidRPr="001B4EC1">
        <w:t>Enligt 14 § första stycket skall betalningen motsvara fullpriset för en li</w:t>
      </w:r>
      <w:r w:rsidRPr="001B4EC1">
        <w:t>k</w:t>
      </w:r>
      <w:r w:rsidRPr="001B4EC1">
        <w:t>nande resa med reguljärt flyg. Om det är uppenbart att passageraren kunde ha skaffat en billigare flygbiljett, skall i stället priset för en sådan biljett läggas till grund för beräkningen.</w:t>
      </w:r>
    </w:p>
    <w:p w:rsidR="00252869" w:rsidRPr="001B4EC1" w:rsidRDefault="00252869">
      <w:pPr>
        <w:pStyle w:val="R4"/>
      </w:pPr>
      <w:r w:rsidRPr="001B4EC1">
        <w:t>Statsrådsberedningens promemoria från den 15 december 1999</w:t>
      </w:r>
    </w:p>
    <w:p w:rsidR="00252869" w:rsidRPr="001B4EC1" w:rsidRDefault="00252869">
      <w:r w:rsidRPr="001B4EC1">
        <w:t>Inför att statsflygsförordningen skulle beslutas upprättades en promemoria i Statsrådsberedningen med kommentarer till statsflygsförordningen. Prom</w:t>
      </w:r>
      <w:r w:rsidRPr="001B4EC1">
        <w:t>e</w:t>
      </w:r>
      <w:r w:rsidRPr="001B4EC1">
        <w:t>morian finns arkiverad i akten som hör till ärendet.</w:t>
      </w:r>
    </w:p>
    <w:p w:rsidR="00252869" w:rsidRPr="001B4EC1" w:rsidRDefault="00252869">
      <w:pPr>
        <w:pStyle w:val="Normaltindrag"/>
      </w:pPr>
      <w:r w:rsidRPr="001B4EC1">
        <w:t>Enligt promemorian bygger det förslag till statsflygsförordning som har upprättats i Regeringskansliet på Statsflygutredningens betänkande (SOU 1998:81), remissyttrandena över betänkandet och uttalandena i budgetprop</w:t>
      </w:r>
      <w:r w:rsidRPr="001B4EC1">
        <w:t>o</w:t>
      </w:r>
      <w:r w:rsidRPr="001B4EC1">
        <w:t xml:space="preserve">sitionen (prop.  1999/2000:1 utg.omr. 6 s. 43). </w:t>
      </w:r>
    </w:p>
    <w:p w:rsidR="00252869" w:rsidRPr="001B4EC1" w:rsidRDefault="00252869">
      <w:pPr>
        <w:pStyle w:val="Normaltindrag"/>
      </w:pPr>
      <w:r w:rsidRPr="001B4EC1">
        <w:t>Vidare sägs att en utgångspunkt för förslaget är de speciella förhållandena som statsråden arbetar under och som kräver att de kan planera och genomf</w:t>
      </w:r>
      <w:r w:rsidRPr="001B4EC1">
        <w:t>ö</w:t>
      </w:r>
      <w:r w:rsidRPr="001B4EC1">
        <w:t>ra resor utan att vara bundna av de begränsningar i form av fasta avgångstider m.m. som användningen av reguljärt flyg innebär. Statsrådens behov av stat</w:t>
      </w:r>
      <w:r w:rsidRPr="001B4EC1">
        <w:t>s</w:t>
      </w:r>
      <w:r w:rsidRPr="001B4EC1">
        <w:t>flygplan och ibland flygplan som staten hyr tenderar att öka inte minst med anledning av det svenska ordförandeskapet i EU år 2001. I promemorian påpekas att förhållandena självfallet kan vara olika för olika statsråd och också skifta från tid till annan.</w:t>
      </w:r>
    </w:p>
    <w:p w:rsidR="00252869" w:rsidRPr="001B4EC1" w:rsidRDefault="00252869">
      <w:pPr>
        <w:pStyle w:val="Normaltindrag"/>
      </w:pPr>
      <w:r w:rsidRPr="001B4EC1">
        <w:t xml:space="preserve">Det är enligt promemorian mot denna bakgrund väsentligt att statsråden från statens sida ges all den </w:t>
      </w:r>
      <w:r w:rsidRPr="001B4EC1">
        <w:t>service som behövs för att de skall kunna sköta sina uppdrag effektivt. Man bör, när det gäller resandet, inte bara skapa tid</w:t>
      </w:r>
      <w:r w:rsidRPr="001B4EC1">
        <w:t>s</w:t>
      </w:r>
      <w:r w:rsidRPr="001B4EC1">
        <w:t>vinster i arbetet och i övrigt underlätta detta utan också göra det möjligt för statsråden att leva ett så normalt familjeliv som möjligt. I promemorian fra</w:t>
      </w:r>
      <w:r w:rsidRPr="001B4EC1">
        <w:t>m</w:t>
      </w:r>
      <w:r w:rsidRPr="001B4EC1">
        <w:t>hålls att denna inställning ligger i linje med de bedömningar som gjorts i jämförbara länder. Som exempel nämns den grundprincip som följs i Da</w:t>
      </w:r>
      <w:r w:rsidRPr="001B4EC1">
        <w:t>n</w:t>
      </w:r>
      <w:r w:rsidRPr="001B4EC1">
        <w:t>mark, nämligen att statsrådens resor skall företas på ”best tænkelig mode”. Stora res</w:t>
      </w:r>
      <w:r w:rsidRPr="001B4EC1">
        <w:t>urser har enligt promemorian på sina håll avsatts för detta ändamål.</w:t>
      </w:r>
    </w:p>
    <w:p w:rsidR="00252869" w:rsidRPr="001B4EC1" w:rsidRDefault="00252869">
      <w:pPr>
        <w:pStyle w:val="Normaltindrag"/>
      </w:pPr>
      <w:r w:rsidRPr="001B4EC1">
        <w:t>I promemorian anförs att när det gäller att avgöra vilket färdsätt som bör väljas i det enskilda fallet behöver en rad faktorer vägas in. Till en början måste alltid säkerhetsaspekterna beaktas, vid behov efter samråd med eller på initiativ av Säkerhetspolisen. Det gäller enligt promemorian att minimera riskerna för statsrådens liv och hälsa.</w:t>
      </w:r>
    </w:p>
    <w:p w:rsidR="00252869" w:rsidRPr="001B4EC1" w:rsidRDefault="00252869">
      <w:pPr>
        <w:pStyle w:val="Normaltindrag"/>
      </w:pPr>
      <w:r w:rsidRPr="001B4EC1">
        <w:t>Vidare framhålls att med hänsyn till den hårda belastningen på statsråden utgör också tidsfaktorn ett viktigt moment. Möten kan exempelvis vara utsatta på sådana tider att användningen av reguljärt flyg skulle medföra avsevärd tidsförlust. Det kan också förhålla sig så att olika möten ligger varandra så nära i tiden att ett annat färdsätt än reguljärt flyg måste väljas. Därutöver påpekas att planerade restider och resmål ofta måste ändras i ett sent skede. Möten kommer också till stånd med kort varsel, vil</w:t>
      </w:r>
      <w:r w:rsidRPr="001B4EC1">
        <w:t>ket kan medföra att regu</w:t>
      </w:r>
      <w:r w:rsidRPr="001B4EC1">
        <w:t>l</w:t>
      </w:r>
      <w:r w:rsidRPr="001B4EC1">
        <w:t>järt flyg inte är ett användbart transportmedel. Ett möte skulle helt enkelt inte kunna äga rum om det bara fanns sådant flyg att tillgå.</w:t>
      </w:r>
    </w:p>
    <w:p w:rsidR="00252869" w:rsidRPr="001B4EC1" w:rsidRDefault="00252869">
      <w:pPr>
        <w:pStyle w:val="Normaltindrag"/>
      </w:pPr>
      <w:r w:rsidRPr="001B4EC1">
        <w:t>I promemorian anförs vidare att en betydelsefull faktor är att statsrådet fä</w:t>
      </w:r>
      <w:r w:rsidRPr="001B4EC1">
        <w:t>r</w:t>
      </w:r>
      <w:r w:rsidRPr="001B4EC1">
        <w:t>das på ett sådant sätt att han eller hon har möjlighet att utan alltför nedsatta krafter ta itu med de arbetsuppgifter som föranleder resan.</w:t>
      </w:r>
    </w:p>
    <w:p w:rsidR="00252869" w:rsidRPr="001B4EC1" w:rsidRDefault="00252869">
      <w:pPr>
        <w:pStyle w:val="Normaltindrag"/>
      </w:pPr>
      <w:r w:rsidRPr="001B4EC1">
        <w:t>Väsentligt är enligt promemorian även behovet av att under resan kunna – ofta tillsammans med medarbetare – så ostört som möjligt förbereda sig inför kommande möten och annat, liksom att i övrigt bereda ärenden och sköta annat arbete.</w:t>
      </w:r>
    </w:p>
    <w:p w:rsidR="00252869" w:rsidRPr="001B4EC1" w:rsidRDefault="00252869">
      <w:pPr>
        <w:pStyle w:val="Normaltindrag"/>
      </w:pPr>
      <w:r w:rsidRPr="001B4EC1">
        <w:t>Därutöver framhålls att kostnadsaspekter naturligtvis också skall vägas in.</w:t>
      </w:r>
    </w:p>
    <w:p w:rsidR="00252869" w:rsidRPr="001B4EC1" w:rsidRDefault="00252869">
      <w:pPr>
        <w:pStyle w:val="R3"/>
      </w:pPr>
      <w:r w:rsidRPr="001B4EC1">
        <w:t>Tidigare granskning</w:t>
      </w:r>
    </w:p>
    <w:p w:rsidR="00252869" w:rsidRPr="001B4EC1" w:rsidRDefault="00252869">
      <w:r w:rsidRPr="001B4EC1">
        <w:t>Under riksmötet 1997/98 påbörjade konstitutionsutskottet en granskning avseende vissa frågor kring statsminister Göran Perssons tjänsteresor. Granskningen avslutades under riksmötet 1998/99 (bet. 1998/99:KU25 s. 127–130). I granskningen behandlades huruvida statsministern tagit ut rekr</w:t>
      </w:r>
      <w:r w:rsidRPr="001B4EC1">
        <w:t>e</w:t>
      </w:r>
      <w:r w:rsidRPr="001B4EC1">
        <w:t>ationsdagar i samband med vissa tjänsteresor och i så fall om dessa rekre</w:t>
      </w:r>
      <w:r w:rsidRPr="001B4EC1">
        <w:t>a</w:t>
      </w:r>
      <w:r w:rsidRPr="001B4EC1">
        <w:t>tionsdagar medfört ökade kostnader för det allmänna. Vidare behandlades frågan om en fördyring för det allmänna hade uppstått på grund av upphan</w:t>
      </w:r>
      <w:r w:rsidRPr="001B4EC1">
        <w:t>d</w:t>
      </w:r>
      <w:r w:rsidRPr="001B4EC1">
        <w:t xml:space="preserve">lingen av en av resorna. Resorna hade delvis företagits med regeringsplanet Tp 102. Den upphandlade resan hade företagits med ett särskilt chartrat plan, eftersom regeringsplanet då var på årlig service.   </w:t>
      </w:r>
    </w:p>
    <w:p w:rsidR="00252869" w:rsidRPr="001B4EC1" w:rsidRDefault="00252869">
      <w:pPr>
        <w:pStyle w:val="Normaltindrag"/>
      </w:pPr>
      <w:r w:rsidRPr="001B4EC1">
        <w:t>Utskottets majoritet ansåg att granskningen inte utvisat att det allmänna hade fått b</w:t>
      </w:r>
      <w:r w:rsidRPr="001B4EC1">
        <w:t>ära ökade kostnader till följd av att statsministern tagit ut rekre</w:t>
      </w:r>
      <w:r w:rsidRPr="001B4EC1">
        <w:t>a</w:t>
      </w:r>
      <w:r w:rsidRPr="001B4EC1">
        <w:t>tionsdagar i samband med vissa utrikes tjänsteresor under år 1997 och första kvartalet 1998. Granskningen hade enligt utskottet inte heller gett grund för antagande att en flygresa till och från New York kunnat upphandlas på fö</w:t>
      </w:r>
      <w:r w:rsidRPr="001B4EC1">
        <w:t>r</w:t>
      </w:r>
      <w:r w:rsidRPr="001B4EC1">
        <w:t>delaktigare villkor än vad som skett. Utskottet ansåg det angeläget att en påbörjad översyn av praxis ledde fram till så kostnadseffektiva regler som möjligt. Reglerna måste enligt utskottet givetvis utformas med tan</w:t>
      </w:r>
      <w:r w:rsidRPr="001B4EC1">
        <w:t>ke på de viktiga uppgifter som en statsminister och övriga statsråd har. Vad som för</w:t>
      </w:r>
      <w:r w:rsidRPr="001B4EC1">
        <w:t>e</w:t>
      </w:r>
      <w:r w:rsidRPr="001B4EC1">
        <w:t>kommit i övrigt föranledde inget ytterligare uttalande av utskottet.</w:t>
      </w:r>
    </w:p>
    <w:p w:rsidR="00252869" w:rsidRPr="001B4EC1" w:rsidRDefault="00252869">
      <w:pPr>
        <w:pStyle w:val="Normaltindrag"/>
      </w:pPr>
      <w:r w:rsidRPr="001B4EC1">
        <w:t>I en reservation anfördes att utskottets granskning inte frambringat några starka skäl för Regeringskansliet att för statsministerns resa till New York välja inhyrning av ett flygplan för en kostnad på mer än 1 miljon kronor i stället för reguljärt flyg till en avsevärt lägre kostnad. Vad beträffar återresan från Italien efter besöket och rekreationsdagarn</w:t>
      </w:r>
      <w:r w:rsidRPr="001B4EC1">
        <w:t>a där hade det enligt rese</w:t>
      </w:r>
      <w:r w:rsidRPr="001B4EC1">
        <w:t>r</w:t>
      </w:r>
      <w:r w:rsidRPr="001B4EC1">
        <w:t>vanten inte framkommit några säkerhetsskäl varför den inte, i likhet med ditresan, hade kunnat företas med reguljärflyg. Reservanten kunde inte finna annat än att resorna utan påtagliga men hade kunnat genomföras till klart lägre kostnader. I övrigt delade reservanten utskottsmajoritetens bedömning när det gällde den påbörjade översynen av praxis.</w:t>
      </w:r>
    </w:p>
    <w:p w:rsidR="00252869" w:rsidRPr="001B4EC1" w:rsidRDefault="00252869">
      <w:pPr>
        <w:pStyle w:val="Rubrik3"/>
        <w:rPr>
          <w:noProof w:val="0"/>
        </w:rPr>
      </w:pPr>
      <w:bookmarkStart w:id="133" w:name="_Toc72648563"/>
      <w:r w:rsidRPr="001B4EC1">
        <w:rPr>
          <w:noProof w:val="0"/>
        </w:rPr>
        <w:t>Promemorior från Statsrådsberedningen</w:t>
      </w:r>
      <w:bookmarkEnd w:id="133"/>
    </w:p>
    <w:p w:rsidR="00252869" w:rsidRPr="001B4EC1" w:rsidRDefault="00252869">
      <w:r w:rsidRPr="001B4EC1">
        <w:t>I två skrivelser till Regeringskansliet har utskottet begärt svar på vissa frågor. Som svar har till utskottet översänts två promemorior upprättade inom Stat</w:t>
      </w:r>
      <w:r w:rsidRPr="001B4EC1">
        <w:t>s</w:t>
      </w:r>
      <w:r w:rsidRPr="001B4EC1">
        <w:t>rådsberedningen den 10 februari samt den 10 mars 2004. I promemoriorna anförs bl.a. följande.</w:t>
      </w:r>
    </w:p>
    <w:p w:rsidR="00252869" w:rsidRPr="001B4EC1" w:rsidRDefault="00252869">
      <w:pPr>
        <w:pStyle w:val="Normaltindrag"/>
      </w:pPr>
      <w:r w:rsidRPr="001B4EC1">
        <w:t>Statsministern deltog i en konferens som arrangerades och bekostades av det socialdemokratiska partiet. Vid konferensen diskuterades partiangeläge</w:t>
      </w:r>
      <w:r w:rsidRPr="001B4EC1">
        <w:t>n</w:t>
      </w:r>
      <w:r w:rsidRPr="001B4EC1">
        <w:t>heter och samhällsutvecklingen i stort i Sverige och Europa. När statsmini</w:t>
      </w:r>
      <w:r w:rsidRPr="001B4EC1">
        <w:t>s</w:t>
      </w:r>
      <w:r w:rsidRPr="001B4EC1">
        <w:t>tern skall företa resor görs enligt Statsrådsberedningen alltid en samlad prö</w:t>
      </w:r>
      <w:r w:rsidRPr="001B4EC1">
        <w:t>v</w:t>
      </w:r>
      <w:r w:rsidRPr="001B4EC1">
        <w:t>ning av vilket färdsätt som skall användas med hänsyn till säkerhet, möjlighet att snabbt återvända till Stockholm, tidsåtgång m.m. I detta fall var det fra</w:t>
      </w:r>
      <w:r w:rsidRPr="001B4EC1">
        <w:t>m</w:t>
      </w:r>
      <w:r w:rsidRPr="001B4EC1">
        <w:t>för allt säkerhetsskäl som låg bakom valet av statsflyg som färdsätt. Stat</w:t>
      </w:r>
      <w:r w:rsidRPr="001B4EC1">
        <w:t>s</w:t>
      </w:r>
      <w:r w:rsidRPr="001B4EC1">
        <w:t xml:space="preserve">rådsberedningen anför vidare att såväl konferensen som resorna bekostades av partiet. Den betalning som Försvarsmakten tar ut </w:t>
      </w:r>
      <w:r w:rsidRPr="001B4EC1">
        <w:t>för flygningar med stat</w:t>
      </w:r>
      <w:r w:rsidRPr="001B4EC1">
        <w:t>s</w:t>
      </w:r>
      <w:r w:rsidRPr="001B4EC1">
        <w:t>flyget bygger på en kostnadsnorm (ett visst belopp per flygtimme) som o</w:t>
      </w:r>
      <w:r w:rsidRPr="001B4EC1">
        <w:t>m</w:t>
      </w:r>
      <w:r w:rsidRPr="001B4EC1">
        <w:t>fattar också logi och uppehälle för besättningen i väntan på en återresa. I beloppet om 113 333 kr, som framgår av Försvarsmaktens faktura av den 10 oktober 2003, är kostnaderna för logi och uppehälle för besättningen inräkn</w:t>
      </w:r>
      <w:r w:rsidRPr="001B4EC1">
        <w:t>a</w:t>
      </w:r>
      <w:r w:rsidRPr="001B4EC1">
        <w:t xml:space="preserve">de. Enligt Statsrådsberedningen har det socialdemokratiska partiet betalat detta belopp i sin helhet, dvs. även den del av användningen av statsflygplanet som hänför sig till statsministerns </w:t>
      </w:r>
      <w:r w:rsidRPr="001B4EC1">
        <w:t>resa med planet.</w:t>
      </w:r>
    </w:p>
    <w:p w:rsidR="00252869" w:rsidRPr="001B4EC1" w:rsidRDefault="00252869">
      <w:pPr>
        <w:pStyle w:val="Normaltindrag"/>
      </w:pPr>
      <w:r w:rsidRPr="001B4EC1">
        <w:t>Statsrådsberedningen framhåller vidare att kostnaden, dagen för flygnin</w:t>
      </w:r>
      <w:r w:rsidRPr="001B4EC1">
        <w:t>g</w:t>
      </w:r>
      <w:r w:rsidRPr="001B4EC1">
        <w:t xml:space="preserve">en, destinationen och vem beställaren var framgår av den faktura som finns i bilaga till promemorian av den 10 februari 2001. Inför resan lämnades också uppgifter om att ändamålet med den var en konferens och vilka sju personer som skulle följa med statsministern på flygningen med statsflygplanet </w:t>
      </w:r>
      <w:r w:rsidRPr="001B4EC1">
        <w:br/>
        <w:t>Tp 102. Regeringskansliet lämnade uppgifterna till Säkerhetspolisen för vid</w:t>
      </w:r>
      <w:r w:rsidRPr="001B4EC1">
        <w:t>a</w:t>
      </w:r>
      <w:r w:rsidRPr="001B4EC1">
        <w:t>re befordran till Försvarsmakten.</w:t>
      </w:r>
    </w:p>
    <w:p w:rsidR="00252869" w:rsidRPr="001B4EC1" w:rsidRDefault="00252869">
      <w:pPr>
        <w:pStyle w:val="Rubrik3"/>
        <w:rPr>
          <w:noProof w:val="0"/>
        </w:rPr>
      </w:pPr>
      <w:bookmarkStart w:id="134" w:name="_Toc72648564"/>
      <w:r w:rsidRPr="001B4EC1">
        <w:rPr>
          <w:noProof w:val="0"/>
        </w:rPr>
        <w:t>Utskottets ställningstagande</w:t>
      </w:r>
      <w:bookmarkEnd w:id="134"/>
    </w:p>
    <w:p w:rsidR="00252869" w:rsidRPr="001B4EC1" w:rsidRDefault="00252869">
      <w:r w:rsidRPr="001B4EC1">
        <w:t>Granskningen föranleder inget uttalande från utskottets sida.</w:t>
      </w:r>
    </w:p>
    <w:p w:rsidR="00252869" w:rsidRPr="001B4EC1" w:rsidRDefault="00252869">
      <w:pPr>
        <w:pStyle w:val="Normaltindrag"/>
        <w:sectPr w:rsidR="00000000" w:rsidRPr="001B4EC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52869" w:rsidRPr="001B4EC1" w:rsidRDefault="00252869">
      <w:pPr>
        <w:pStyle w:val="Rubrik1"/>
        <w:rPr>
          <w:noProof w:val="0"/>
        </w:rPr>
      </w:pPr>
      <w:bookmarkStart w:id="135" w:name="_Toc72648565"/>
      <w:r w:rsidRPr="001B4EC1">
        <w:rPr>
          <w:noProof w:val="0"/>
        </w:rPr>
        <w:t>5 Vissa uttalanden av statsråd</w:t>
      </w:r>
      <w:bookmarkEnd w:id="135"/>
      <w:r w:rsidRPr="001B4EC1">
        <w:rPr>
          <w:noProof w:val="0"/>
        </w:rPr>
        <w:t xml:space="preserve"> </w:t>
      </w:r>
    </w:p>
    <w:p w:rsidR="00252869" w:rsidRPr="001B4EC1" w:rsidRDefault="00252869">
      <w:pPr>
        <w:pStyle w:val="Rubrik2"/>
        <w:spacing w:before="0"/>
      </w:pPr>
      <w:bookmarkStart w:id="136" w:name="_Toc72648566"/>
      <w:r w:rsidRPr="001B4EC1">
        <w:t>Gällande regler om myndigheters självständighet, m.m.</w:t>
      </w:r>
      <w:bookmarkEnd w:id="136"/>
    </w:p>
    <w:p w:rsidR="00252869" w:rsidRPr="001B4EC1" w:rsidRDefault="00252869">
      <w:r w:rsidRPr="001B4EC1">
        <w:t>Enligt 11 kap. 2 § regeringsformen får ingen myndighet, ej heller riksdagen, bestämma, hur domstol skall döma i det enskilda fallet eller hur domstol i övrigt skall tillämpa rättsregel i särskilt fall.</w:t>
      </w:r>
    </w:p>
    <w:p w:rsidR="00252869" w:rsidRPr="001B4EC1" w:rsidRDefault="00252869">
      <w:pPr>
        <w:pStyle w:val="Normaltindrag"/>
      </w:pPr>
      <w:r w:rsidRPr="001B4EC1">
        <w:t>Enligt 11 kap. 7 § regeringsformen får ingen myndighet, ej heller riksd</w:t>
      </w:r>
      <w:r w:rsidRPr="001B4EC1">
        <w:t>a</w:t>
      </w:r>
      <w:r w:rsidRPr="001B4EC1">
        <w:t>gen eller kommuns beslutande organ, bestämma hur förvaltningsmyndighet i särskilt fall skall besluta i ärende som rör myndighetsutövning mot enskild eller mot kommun eller som rör tillämpning av lag.</w:t>
      </w:r>
    </w:p>
    <w:p w:rsidR="00252869" w:rsidRPr="001B4EC1" w:rsidRDefault="00252869">
      <w:pPr>
        <w:pStyle w:val="Normaltindrag"/>
      </w:pPr>
      <w:r w:rsidRPr="001B4EC1">
        <w:t>Statliga myndigheter lyder enligt 11 kap. 6 § första stycket regeringsfo</w:t>
      </w:r>
      <w:r w:rsidRPr="001B4EC1">
        <w:t>r</w:t>
      </w:r>
      <w:r w:rsidRPr="001B4EC1">
        <w:t>men under regeringen i den mån de inte enligt regeringsformen eller annan lag lyder under riksdagen. Detta innebär att myndigheterna i princip är  sky</w:t>
      </w:r>
      <w:r w:rsidRPr="001B4EC1">
        <w:t>l</w:t>
      </w:r>
      <w:r w:rsidRPr="001B4EC1">
        <w:t>diga att följa de föreskrifter av allmän natur och de direktiv för särskilda fall som regeringen meddelar. Vidare innebär det att ett enskilt statsråd inte har någon befälsrätt över myndigheterna (prop. 1973:90 s. 397).</w:t>
      </w:r>
    </w:p>
    <w:p w:rsidR="00252869" w:rsidRPr="001B4EC1" w:rsidRDefault="00252869">
      <w:r w:rsidRPr="001B4EC1">
        <w:t>Enligt 9 kap. 13 § får ingen myndighet bestämma hur Riksbanken skall b</w:t>
      </w:r>
      <w:r w:rsidRPr="001B4EC1">
        <w:t>e</w:t>
      </w:r>
      <w:r w:rsidRPr="001B4EC1">
        <w:t>sluta i frågor som rör penningpolitik. Enligt 3 kap. 2 § lagen (1988:1385) om Sveriges riksbank får ledamöter av direktionen inte söka eller ta emot i</w:t>
      </w:r>
      <w:r w:rsidRPr="001B4EC1">
        <w:t>n</w:t>
      </w:r>
      <w:r w:rsidRPr="001B4EC1">
        <w:t>struktioner när de fullgör penningpoliti</w:t>
      </w:r>
      <w:r w:rsidRPr="001B4EC1">
        <w:t>s</w:t>
      </w:r>
      <w:r w:rsidRPr="001B4EC1">
        <w:t>ka uppgifter.</w:t>
      </w:r>
    </w:p>
    <w:p w:rsidR="00252869" w:rsidRPr="001B4EC1" w:rsidRDefault="00252869">
      <w:pPr>
        <w:pStyle w:val="R2"/>
      </w:pPr>
      <w:r w:rsidRPr="001B4EC1">
        <w:t>Tidigare granskning av statsrådsuttalanden</w:t>
      </w:r>
    </w:p>
    <w:p w:rsidR="00252869" w:rsidRPr="001B4EC1" w:rsidRDefault="00252869">
      <w:r w:rsidRPr="001B4EC1">
        <w:t>Konstitutionsutskottet granskade vid 1991/92 års riksmöte vissa uttalanden av statsråd. Utskottet behandlade de då aktuella uttalandena från principiella utgångspunkter och anförde bl.a. följande (bet.1991/92:KU30 s. 45).</w:t>
      </w:r>
    </w:p>
    <w:p w:rsidR="00252869" w:rsidRPr="001B4EC1" w:rsidRDefault="00252869">
      <w:pPr>
        <w:pStyle w:val="Citat"/>
        <w:spacing w:before="125"/>
      </w:pPr>
      <w:r w:rsidRPr="001B4EC1">
        <w:t>Självfallet har ett statsråd i likhet med alla andra medborgare rätt att göra uttalanden i olika sammanhang. Med hänsyn till ett statsråds speciella ställning i förening med det förhållandet att regeringsformen uppställt vissa regler för myndigheternas självständighet i förhållande till rege</w:t>
      </w:r>
      <w:r w:rsidRPr="001B4EC1">
        <w:t>r</w:t>
      </w:r>
      <w:r w:rsidRPr="001B4EC1">
        <w:t>ingen måste viss återhållsamhet iakttas när det gäller uttalanden som rör myndighetsutövning mot enskild eller tillämpning av lag. Man bör sål</w:t>
      </w:r>
      <w:r w:rsidRPr="001B4EC1">
        <w:t>e</w:t>
      </w:r>
      <w:r w:rsidRPr="001B4EC1">
        <w:t>des först och främst kunna utgå från att ett uttalande gjorts i vederböra</w:t>
      </w:r>
      <w:r w:rsidRPr="001B4EC1">
        <w:t>n</w:t>
      </w:r>
      <w:r w:rsidRPr="001B4EC1">
        <w:t>des egenskap av statsråd. Vid denna bedömning bör enligt utskottet i viss mån vägas in om statsrådet är ansvarigt för den sakfråga uttalandet avser eller inte. Mot bakgrund av regeringens kollektiva ansvar kan dock denna omständighet inte tillmätas avgöra</w:t>
      </w:r>
      <w:r w:rsidRPr="001B4EC1">
        <w:t>n</w:t>
      </w:r>
      <w:r w:rsidRPr="001B4EC1">
        <w:t>de betydelse.</w:t>
      </w:r>
    </w:p>
    <w:p w:rsidR="00252869" w:rsidRPr="001B4EC1" w:rsidRDefault="00252869">
      <w:pPr>
        <w:pStyle w:val="CitatIndrag"/>
      </w:pPr>
      <w:r w:rsidRPr="001B4EC1">
        <w:t>Om ett uttalande uppfatt</w:t>
      </w:r>
      <w:r w:rsidRPr="001B4EC1">
        <w:t>as ha gjorts av ett statsråd i denna egenskap måste självfallet stor betydelse fästas vid statsrådets avsikt med uttala</w:t>
      </w:r>
      <w:r w:rsidRPr="001B4EC1">
        <w:t>n</w:t>
      </w:r>
      <w:r w:rsidRPr="001B4EC1">
        <w:t>det. Om denna avsikt är att påverka myndighetsutövning mot enskild e</w:t>
      </w:r>
      <w:r w:rsidRPr="001B4EC1">
        <w:t>l</w:t>
      </w:r>
      <w:r w:rsidRPr="001B4EC1">
        <w:t>ler myndighetens tillämpning av lag kan uttalandet vara att se som ett a</w:t>
      </w:r>
      <w:r w:rsidRPr="001B4EC1">
        <w:t>v</w:t>
      </w:r>
      <w:r w:rsidRPr="001B4EC1">
        <w:t>steg från reglerna i 11 kap. 7 § regeringsformen, vilket inte är godtagbart från konstitutionella utgångspunkter. Även om avsikten inte varit denna kan uttalandet ändå i vissa situationer framstå som stridande mot syftet med bestämmelserna i fråga, s</w:t>
      </w:r>
      <w:r w:rsidRPr="001B4EC1">
        <w:t>ärskilt om den aktuella myndigheten kan ha uppfattat sig som bunden av uttalandet.</w:t>
      </w:r>
    </w:p>
    <w:p w:rsidR="00252869" w:rsidRPr="001B4EC1" w:rsidRDefault="00252869">
      <w:pPr>
        <w:pStyle w:val="CitatIndrag"/>
      </w:pPr>
      <w:r w:rsidRPr="001B4EC1">
        <w:t>Ett statsråd torde således i allmänhet få räkna med att ett auktoritativt framfört ställningstagande i en fråga som rör myndighetsutövning mot enskild eller tillämpning av lag från vederbörande myndighets sida skulle kunna uppfattas som direktiv. I princip ändras – som tidigare sagts – inte denna bedömning om uttalandet gäller en myndighet inom ett annat stat</w:t>
      </w:r>
      <w:r w:rsidRPr="001B4EC1">
        <w:t>s</w:t>
      </w:r>
      <w:r w:rsidRPr="001B4EC1">
        <w:t>råds ansvar</w:t>
      </w:r>
      <w:r w:rsidRPr="001B4EC1">
        <w:t>s</w:t>
      </w:r>
      <w:r w:rsidRPr="001B4EC1">
        <w:t>område.</w:t>
      </w:r>
    </w:p>
    <w:p w:rsidR="00252869" w:rsidRPr="001B4EC1" w:rsidRDefault="00252869">
      <w:pPr>
        <w:spacing w:before="187"/>
      </w:pPr>
      <w:r w:rsidRPr="001B4EC1">
        <w:t>Vid 1998/99 års riksmöte granskade utskottet åter frågan om uttalanden om statsråd och redovisade samma uppfattning (bet. 1998/99:KU25 s. 114).</w:t>
      </w:r>
    </w:p>
    <w:p w:rsidR="00252869" w:rsidRPr="001B4EC1" w:rsidRDefault="00252869">
      <w:pPr>
        <w:pStyle w:val="Normaltindrag"/>
      </w:pPr>
      <w:r w:rsidRPr="001B4EC1">
        <w:t>Våren 2001 granskade utskottet bl.a. ett uttalande av statsministern om barnbidragshöjningens genomslag på socialbidragsnormen (bet. 2000/01:</w:t>
      </w:r>
      <w:r w:rsidRPr="001B4EC1">
        <w:br/>
        <w:t>KU20). Utskottet framhöll vikten av att uttalanden och uppmaningar av stat</w:t>
      </w:r>
      <w:r w:rsidRPr="001B4EC1">
        <w:t>s</w:t>
      </w:r>
      <w:r w:rsidRPr="001B4EC1">
        <w:t>råd inte bör ske på ett sådant sätt att dessa, om de efterlevs, riskerar att leda till la</w:t>
      </w:r>
      <w:r w:rsidRPr="001B4EC1">
        <w:t>g</w:t>
      </w:r>
      <w:r w:rsidRPr="001B4EC1">
        <w:t xml:space="preserve">brott. </w:t>
      </w:r>
    </w:p>
    <w:p w:rsidR="00252869" w:rsidRPr="001B4EC1" w:rsidRDefault="00252869">
      <w:pPr>
        <w:pStyle w:val="Normaltindrag"/>
      </w:pPr>
      <w:r w:rsidRPr="001B4EC1">
        <w:t xml:space="preserve">Våren 2002 (bet 2001/02:KU20) granskade utskottet bl.a. statsrådet Britta Lejons offentliggörande av aktieförsäljning. Utskottet hänvisade till tidigare bedömningar och framhöll: </w:t>
      </w:r>
    </w:p>
    <w:p w:rsidR="00252869" w:rsidRPr="001B4EC1" w:rsidRDefault="00252869">
      <w:pPr>
        <w:pStyle w:val="Citat"/>
        <w:spacing w:before="125"/>
      </w:pPr>
      <w:r w:rsidRPr="001B4EC1">
        <w:t>Enligt utskottets mening är det av stor vikt att statsråd deltar i den al</w:t>
      </w:r>
      <w:r w:rsidRPr="001B4EC1">
        <w:t>l</w:t>
      </w:r>
      <w:r w:rsidRPr="001B4EC1">
        <w:t>männa debatt som pågår i samhället. Det är också rimligt att statsråd a</w:t>
      </w:r>
      <w:r w:rsidRPr="001B4EC1">
        <w:t>n</w:t>
      </w:r>
      <w:r w:rsidRPr="001B4EC1">
        <w:t>vänder de möjligheter som står till buds för att nå ut till allmänheten. I sin statsrådsroll uttryckte statsrådet Lejon sin åsikt om ett företags agerande och redovisade i det sammanhanget även sina aktiedispositioner, varav det sistnämnda är en offentlig uppgift. Utskottet anser dock att statsråd bör inta en restriktiv hållning när det gäller offentliggörande av egna a</w:t>
      </w:r>
      <w:r w:rsidRPr="001B4EC1">
        <w:t>k</w:t>
      </w:r>
      <w:r w:rsidRPr="001B4EC1">
        <w:t xml:space="preserve">tiedispositioner i syfte att uttrycka gillande eller ogillande. </w:t>
      </w:r>
    </w:p>
    <w:p w:rsidR="00252869" w:rsidRPr="001B4EC1" w:rsidRDefault="00252869">
      <w:pPr>
        <w:pStyle w:val="CitatIndrag"/>
      </w:pPr>
      <w:r w:rsidRPr="001B4EC1">
        <w:t>I</w:t>
      </w:r>
      <w:r w:rsidRPr="001B4EC1">
        <w:t xml:space="preserve"> en reservation (m) anfördes att statsrådet utnyttjat sin officiella stäl</w:t>
      </w:r>
      <w:r w:rsidRPr="001B4EC1">
        <w:t>l</w:t>
      </w:r>
      <w:r w:rsidRPr="001B4EC1">
        <w:t>ning på ett sätt som stred mot de hänsyn ett statsråd har att ta. Såväl k</w:t>
      </w:r>
      <w:r w:rsidRPr="001B4EC1">
        <w:t>a</w:t>
      </w:r>
      <w:r w:rsidRPr="001B4EC1">
        <w:t>raktären av uttalandena som det faktum att statsrådet i tjänsten utnyttjat sina privata a</w:t>
      </w:r>
      <w:r w:rsidRPr="001B4EC1">
        <w:t>k</w:t>
      </w:r>
      <w:r w:rsidRPr="001B4EC1">
        <w:t>tiedispositioner ansåg reservanterna förtjäna kritik.</w:t>
      </w:r>
    </w:p>
    <w:p w:rsidR="00252869" w:rsidRPr="001B4EC1" w:rsidRDefault="00252869">
      <w:pPr>
        <w:spacing w:before="187"/>
      </w:pPr>
      <w:r w:rsidRPr="001B4EC1">
        <w:t>Vissa uttalanden av statsråd granskades också våren 2003 (bet. 2002/03:KU30). Utskottet stod fast vid sina tidigare bedömningar. Utskottet hänvisade således när det gäller f.d. statsrådet Björn Rosengrens uttalande om st</w:t>
      </w:r>
      <w:r w:rsidRPr="001B4EC1">
        <w:t>atligt ägande till att ett statsråd i likhet med andra medborgare har rätt att göra uttalanden i olika sammanhang samtidigt som viss försiktighet måste iakttas så att uttalandena inte kommer i konflikt med domstolars och myndi</w:t>
      </w:r>
      <w:r w:rsidRPr="001B4EC1">
        <w:t>g</w:t>
      </w:r>
      <w:r w:rsidRPr="001B4EC1">
        <w:t>heters självständighet eller kan tolkas som uppmaning till lagbrott. I en rese</w:t>
      </w:r>
      <w:r w:rsidRPr="001B4EC1">
        <w:t>r</w:t>
      </w:r>
      <w:r w:rsidRPr="001B4EC1">
        <w:t>vation (m, fp, kd och c) påpekades att uttalandet stod i strid med den lagstif</w:t>
      </w:r>
      <w:r w:rsidRPr="001B4EC1">
        <w:t>t</w:t>
      </w:r>
      <w:r w:rsidRPr="001B4EC1">
        <w:t>ning som Björn Rosengren som statsråd hade ansvaret för. När det gällde granskningen av ett uttalande av statsrådet Jan O. Karl</w:t>
      </w:r>
      <w:r w:rsidRPr="001B4EC1">
        <w:t>sson om bostadsplat</w:t>
      </w:r>
      <w:r w:rsidRPr="001B4EC1">
        <w:t>t</w:t>
      </w:r>
      <w:r w:rsidRPr="001B4EC1">
        <w:t>formar hänvisade utskottet till behovet av försiktighet och framhöll att det är angeläget att ett uttalande av ett enskild statsråd inte riskerar att uppfattas som direktiv till en myndighet, vilket skall meddelas av regeringen kollektivt i form av t.ex. förordningar och regleringsbrev.</w:t>
      </w:r>
    </w:p>
    <w:p w:rsidR="00252869" w:rsidRPr="001B4EC1" w:rsidRDefault="00252869">
      <w:pPr>
        <w:pStyle w:val="Normaltindrag"/>
      </w:pPr>
      <w:r w:rsidRPr="001B4EC1">
        <w:t xml:space="preserve">Ett uttalande om </w:t>
      </w:r>
      <w:r w:rsidRPr="001B4EC1">
        <w:rPr>
          <w:i/>
        </w:rPr>
        <w:t>räntepolitiken</w:t>
      </w:r>
      <w:r w:rsidRPr="001B4EC1">
        <w:t xml:space="preserve"> av finansminister Bosse Ringholm gran</w:t>
      </w:r>
      <w:r w:rsidRPr="001B4EC1">
        <w:t>s</w:t>
      </w:r>
      <w:r w:rsidRPr="001B4EC1">
        <w:t>kades våren 2000. Finansministern hade sagt att han utgick ifrån att Riksba</w:t>
      </w:r>
      <w:r w:rsidRPr="001B4EC1">
        <w:t>n</w:t>
      </w:r>
      <w:r w:rsidRPr="001B4EC1">
        <w:t>ken inte höjde räntan så att det försvårade en minskning av arbetslösheten. Vid utfrågning inför konstitutionsutskottet framhöll finansministern att utt</w:t>
      </w:r>
      <w:r w:rsidRPr="001B4EC1">
        <w:t>a</w:t>
      </w:r>
      <w:r w:rsidRPr="001B4EC1">
        <w:t>landet var ett inlägg i den allmänna debatten och att han som ytterst ansvarig för den ekonomiska politiken tyckte att det var viktigt att väga in sysselsät</w:t>
      </w:r>
      <w:r w:rsidRPr="001B4EC1">
        <w:t>t</w:t>
      </w:r>
      <w:r w:rsidRPr="001B4EC1">
        <w:t>ningsaspekten. Utskottet gjorde då bl.a. följande bedömning (bet. 1999/20</w:t>
      </w:r>
      <w:r w:rsidRPr="001B4EC1">
        <w:t>00: KU20 s. 123).</w:t>
      </w:r>
    </w:p>
    <w:p w:rsidR="00252869" w:rsidRPr="001B4EC1" w:rsidRDefault="00252869">
      <w:pPr>
        <w:pStyle w:val="Citat"/>
        <w:spacing w:before="125"/>
      </w:pPr>
      <w:r w:rsidRPr="001B4EC1">
        <w:t>Liksom vid tidigare granskningar som rört uttalanden av statsråd konst</w:t>
      </w:r>
      <w:r w:rsidRPr="001B4EC1">
        <w:t>a</w:t>
      </w:r>
      <w:r w:rsidRPr="001B4EC1">
        <w:t>terar utskottet som en utgångspunkt att statsråd i likhet med andra me</w:t>
      </w:r>
      <w:r w:rsidRPr="001B4EC1">
        <w:t>d</w:t>
      </w:r>
      <w:r w:rsidRPr="001B4EC1">
        <w:t>borgare har rätt att göra uttalanden i olika sammanhang. Utskottet har dock ansett att vissa särskilda hänsyn kan behöva tas, bl.a. kan auktorit</w:t>
      </w:r>
      <w:r w:rsidRPr="001B4EC1">
        <w:t>a</w:t>
      </w:r>
      <w:r w:rsidRPr="001B4EC1">
        <w:t>tiva uttalanden av statsråd i enskilda fall skapa risk för att den självstä</w:t>
      </w:r>
      <w:r w:rsidRPr="001B4EC1">
        <w:t>n</w:t>
      </w:r>
      <w:r w:rsidRPr="001B4EC1">
        <w:t>dighet som enligt regeringsformen skall tillkomma domstolar och fö</w:t>
      </w:r>
      <w:r w:rsidRPr="001B4EC1">
        <w:t>r</w:t>
      </w:r>
      <w:r w:rsidRPr="001B4EC1">
        <w:t>valtningsmyndigheter äventyras. Regeringsformen innehåller numera en särskild bestämmelse som skall tillförsäkra Riksbanken ett liknande ob</w:t>
      </w:r>
      <w:r w:rsidRPr="001B4EC1">
        <w:t>e</w:t>
      </w:r>
      <w:r w:rsidRPr="001B4EC1">
        <w:t>roende i frå</w:t>
      </w:r>
      <w:r w:rsidRPr="001B4EC1">
        <w:t>ga om bankens utövande av penningpolitiken. Detta ger a</w:t>
      </w:r>
      <w:r w:rsidRPr="001B4EC1">
        <w:t>n</w:t>
      </w:r>
      <w:r w:rsidRPr="001B4EC1">
        <w:t>ledning för statsråd att ta särskilda hänsyn även i fråga om uttalanden som berör detta ämne.</w:t>
      </w:r>
    </w:p>
    <w:p w:rsidR="00252869" w:rsidRPr="001B4EC1" w:rsidRDefault="00252869">
      <w:pPr>
        <w:pStyle w:val="Citat"/>
      </w:pPr>
      <w:r w:rsidRPr="001B4EC1">
        <w:t>Ärendet föranleder inte något ytterligare yttrande.</w:t>
      </w:r>
    </w:p>
    <w:p w:rsidR="00252869" w:rsidRPr="001B4EC1" w:rsidRDefault="00252869">
      <w:pPr>
        <w:pStyle w:val="Rubrik2"/>
      </w:pPr>
      <w:bookmarkStart w:id="137" w:name="_Toc72648567"/>
      <w:r w:rsidRPr="001B4EC1">
        <w:t>5.1 Statsråds uttalanden angående den svenska räntenivån</w:t>
      </w:r>
      <w:bookmarkEnd w:id="137"/>
    </w:p>
    <w:p w:rsidR="00252869" w:rsidRPr="001B4EC1" w:rsidRDefault="00252869">
      <w:pPr>
        <w:pStyle w:val="Rubrik3"/>
        <w:rPr>
          <w:noProof w:val="0"/>
        </w:rPr>
      </w:pPr>
      <w:bookmarkStart w:id="138" w:name="_Toc72648568"/>
      <w:r w:rsidRPr="001B4EC1">
        <w:rPr>
          <w:noProof w:val="0"/>
        </w:rPr>
        <w:t>Anmälan</w:t>
      </w:r>
      <w:bookmarkEnd w:id="138"/>
    </w:p>
    <w:p w:rsidR="00252869" w:rsidRPr="001B4EC1" w:rsidRDefault="00252869">
      <w:r w:rsidRPr="001B4EC1">
        <w:t xml:space="preserve">I en anmälan, </w:t>
      </w:r>
      <w:r w:rsidRPr="001B4EC1">
        <w:rPr>
          <w:i/>
        </w:rPr>
        <w:t xml:space="preserve">bilaga A5.1.1, </w:t>
      </w:r>
      <w:r w:rsidRPr="001B4EC1">
        <w:t>har begärts granskning av statsminister Göran Perssons uttalande i tidningen Dagens Industri angående den svenska ränten</w:t>
      </w:r>
      <w:r w:rsidRPr="001B4EC1">
        <w:t>i</w:t>
      </w:r>
      <w:r w:rsidRPr="001B4EC1">
        <w:t>vån  och Riksbankens agerande i frågan. Enligt anmälan gör tidpunkten för uttalandet att det kan ifrågasättas om det inte var ett inlägg i EMU-debatten i avsikt att vinna kampanjen genom att förtala den egna valutan och dess adm</w:t>
      </w:r>
      <w:r w:rsidRPr="001B4EC1">
        <w:t>i</w:t>
      </w:r>
      <w:r w:rsidRPr="001B4EC1">
        <w:t>nistration.</w:t>
      </w:r>
    </w:p>
    <w:p w:rsidR="00252869" w:rsidRPr="001B4EC1" w:rsidRDefault="00252869">
      <w:pPr>
        <w:pStyle w:val="R3"/>
      </w:pPr>
      <w:r w:rsidRPr="001B4EC1">
        <w:t>Statsråds uttalanden om räntenivån efter maj 2003</w:t>
      </w:r>
    </w:p>
    <w:p w:rsidR="00252869" w:rsidRPr="001B4EC1" w:rsidRDefault="00252869">
      <w:r w:rsidRPr="001B4EC1">
        <w:t>Riksbanken diskuterade den 13 juni 2003 i en rapport bl.a. en sänkning av den 3-procentiga räntan med 1 % vid ett EMU-inträde. Enligt uppgifter i Dagens Industri var spekulationerna intensiva om när Riksbanken skulle sänka räntan igen. Den 13 juni 2003 framförde statsminister Göran Persson enligt tidningsuppgifterna att Riksbankens reporänta borde sänkas till Eur</w:t>
      </w:r>
      <w:r w:rsidRPr="001B4EC1">
        <w:t>o</w:t>
      </w:r>
      <w:r w:rsidRPr="001B4EC1">
        <w:t>peiska centralbankens nivå (2 %) och statsministern anförde: ”1 till 1,5 pr</w:t>
      </w:r>
      <w:r w:rsidRPr="001B4EC1">
        <w:t>o</w:t>
      </w:r>
      <w:r w:rsidRPr="001B4EC1">
        <w:t>cents tillväxt, kanske 2 om det går bra – den typen av tillväxt behöver verkl</w:t>
      </w:r>
      <w:r w:rsidRPr="001B4EC1">
        <w:t>i</w:t>
      </w:r>
      <w:r w:rsidRPr="001B4EC1">
        <w:t xml:space="preserve">gen ingen broms i räntesättning från Riksbanken. – Jag har väldigt svårt att se att vi har en tillväxt i Sverige som skulle vara av ett sådant slag att det skulle motivera en högre ränta än i övriga Europa.” </w:t>
      </w:r>
    </w:p>
    <w:p w:rsidR="00252869" w:rsidRPr="001B4EC1" w:rsidRDefault="00252869">
      <w:pPr>
        <w:pStyle w:val="Normaltindrag"/>
      </w:pPr>
      <w:r w:rsidRPr="001B4EC1">
        <w:t>Förre riksbankschefen Urban Bäckström kritiserade enligt uppgifter i D</w:t>
      </w:r>
      <w:r w:rsidRPr="001B4EC1">
        <w:t>a</w:t>
      </w:r>
      <w:r w:rsidRPr="001B4EC1">
        <w:t>gens Industri uttalandet och angav att Riksbankens självständighet skadades av upprepade nålstick från statsmakten. Riksbankschefen Lars Heikensten anförde: ”Vi lyssnar på alla som kommer med synpunkter och värderar de argument de har. Sen gör vi vårt jobb. Men jag håller med Urban Bäckström om att det är viktigt att regering och riksdag skapar goda förutsättningar för Rik</w:t>
      </w:r>
      <w:r w:rsidRPr="001B4EC1">
        <w:t>s</w:t>
      </w:r>
      <w:r w:rsidRPr="001B4EC1">
        <w:t>banken att verka.”</w:t>
      </w:r>
    </w:p>
    <w:p w:rsidR="00252869" w:rsidRPr="001B4EC1" w:rsidRDefault="00252869">
      <w:pPr>
        <w:pStyle w:val="Normaltindrag"/>
      </w:pPr>
      <w:r w:rsidRPr="001B4EC1">
        <w:t>Under hösten 2003 återkom diskussionerna om räntenivån. Den 15 oktober beslutade Riksbankens direktion att lämna rep</w:t>
      </w:r>
      <w:r w:rsidRPr="001B4EC1">
        <w:t>oräntan oförändrad på 2,75 %. Kristina Persson var den enda ledamot som ville sänka räntan (till 2,5 %). I en artikel i Svenska Dagbladet den 22 november hänvisades till att vice rik</w:t>
      </w:r>
      <w:r w:rsidRPr="001B4EC1">
        <w:t>s</w:t>
      </w:r>
      <w:r w:rsidRPr="001B4EC1">
        <w:t>bankschefen Irma Rosenberg hållit ett tal föregående dag, som tolkades som stöd för oförändrad ränta och till att vice riksbankschefen Villy Berglund gått ut och deklarerat att det fanns skäl att sänka den svenska styrräntan mot ba</w:t>
      </w:r>
      <w:r w:rsidRPr="001B4EC1">
        <w:t>k</w:t>
      </w:r>
      <w:r w:rsidRPr="001B4EC1">
        <w:t>grund av svagare arbetsmarknad och en starkare krona. I artikeln hänvisades också till att riksba</w:t>
      </w:r>
      <w:r w:rsidRPr="001B4EC1">
        <w:t>nkschefen Lars Heikensten föregående vecka anfört att han hade svårt att se att en sänkning var motiverad. Även utanför Riksbanken fanns det enligt artikeln tunga aktörer som hade invändningar mot Riksba</w:t>
      </w:r>
      <w:r w:rsidRPr="001B4EC1">
        <w:t>n</w:t>
      </w:r>
      <w:r w:rsidRPr="001B4EC1">
        <w:t>kens räntebeslut och beskrivning av ekonomin. Konjunkturinstitutet menade att det fanns utrymme för räntesänkningar ned till 2,25 %. AMS hade gjort klart att den ville ha en räntesänkning. Chefsekonomen Sandro Scocco hä</w:t>
      </w:r>
      <w:r w:rsidRPr="001B4EC1">
        <w:t>v</w:t>
      </w:r>
      <w:r w:rsidRPr="001B4EC1">
        <w:t>dade att den svaga utvecklingen på arbetsmarknaden gav utrymme för en sänkning. Dessutom</w:t>
      </w:r>
      <w:r w:rsidRPr="001B4EC1">
        <w:t xml:space="preserve"> hade statsministern markerat att han inte delade rik</w:t>
      </w:r>
      <w:r w:rsidRPr="001B4EC1">
        <w:t>s</w:t>
      </w:r>
      <w:r w:rsidRPr="001B4EC1">
        <w:t>bankschefens syn och argumenterat för en räntesänkning. I en artikel i Sy</w:t>
      </w:r>
      <w:r w:rsidRPr="001B4EC1">
        <w:t>d</w:t>
      </w:r>
      <w:r w:rsidRPr="001B4EC1">
        <w:t>svenska Dagbladet den 22 november</w:t>
      </w:r>
      <w:r w:rsidRPr="001B4EC1">
        <w:rPr>
          <w:i/>
        </w:rPr>
        <w:t xml:space="preserve"> </w:t>
      </w:r>
      <w:r w:rsidRPr="001B4EC1">
        <w:t>angavs att riksbankschefen Lars He</w:t>
      </w:r>
      <w:r w:rsidRPr="001B4EC1">
        <w:t>i</w:t>
      </w:r>
      <w:r w:rsidRPr="001B4EC1">
        <w:t>kensten ansåg att reporäntan låg bra på 2,75 % men att statsministern nyligen uttryckt att han till skillnad från Lars Heikensten tyckte att det kunde vara motiverat med en räntesänkning. Statsministern var inte säker på att en ko</w:t>
      </w:r>
      <w:r w:rsidRPr="001B4EC1">
        <w:t>n</w:t>
      </w:r>
      <w:r w:rsidRPr="001B4EC1">
        <w:t>junkturuppgång väntade runt hörnet.</w:t>
      </w:r>
    </w:p>
    <w:p w:rsidR="00252869" w:rsidRPr="001B4EC1" w:rsidRDefault="00252869">
      <w:pPr>
        <w:pStyle w:val="Normaltindrag"/>
      </w:pPr>
      <w:r w:rsidRPr="001B4EC1">
        <w:t>I en intervju för en artikel i Affärsvärlden den</w:t>
      </w:r>
      <w:r w:rsidRPr="001B4EC1">
        <w:t xml:space="preserve"> 25 november uttalade stat</w:t>
      </w:r>
      <w:r w:rsidRPr="001B4EC1">
        <w:t>s</w:t>
      </w:r>
      <w:r w:rsidRPr="001B4EC1">
        <w:t>ministern bl.a. att ” det vore trevligt om riksbankschefen någon gång diskut</w:t>
      </w:r>
      <w:r w:rsidRPr="001B4EC1">
        <w:t>e</w:t>
      </w:r>
      <w:r w:rsidRPr="001B4EC1">
        <w:t>rade möjligheten till sänkta räntor och inte bara höjda”.</w:t>
      </w:r>
    </w:p>
    <w:p w:rsidR="00252869" w:rsidRPr="001B4EC1" w:rsidRDefault="00252869">
      <w:pPr>
        <w:pStyle w:val="Normaltindrag"/>
      </w:pPr>
      <w:r w:rsidRPr="001B4EC1">
        <w:t>I Göteborgsposten den 6 december anfördes att påtryckningar på – eller vädjanden till – Riksbanken från statsministern, näringslivet och facket varit förgäves. Riksbankens direktion hade den 4 december lämnat räntan oförän</w:t>
      </w:r>
      <w:r w:rsidRPr="001B4EC1">
        <w:t>d</w:t>
      </w:r>
      <w:r w:rsidRPr="001B4EC1">
        <w:t>rad. Majoriteten i Riksbanksdirektionen gjorde i likhet med samarbetsorgan</w:t>
      </w:r>
      <w:r w:rsidRPr="001B4EC1">
        <w:t>i</w:t>
      </w:r>
      <w:r w:rsidRPr="001B4EC1">
        <w:t>sationen OECD bedömningen att läget i världsekonomin förbättrats de s</w:t>
      </w:r>
      <w:r w:rsidRPr="001B4EC1">
        <w:t>e</w:t>
      </w:r>
      <w:r w:rsidRPr="001B4EC1">
        <w:t>naste månaderna, vilket långsamt även borde märkas i den svenska ekonomin. Samma dag kritiserade Göteborgsposten statsministerns uttalanden om ränt</w:t>
      </w:r>
      <w:r w:rsidRPr="001B4EC1">
        <w:t>e</w:t>
      </w:r>
      <w:r w:rsidRPr="001B4EC1">
        <w:t>sänkning med hänvisning till att de gjort det omöjligt för den självständiga Riksbanken att sänka räntan. Trots att det kanske skulle ha varit det bästa för svensk ekonomi med lägre ränta blev Riksbankens ledamöter enl</w:t>
      </w:r>
      <w:r w:rsidRPr="001B4EC1">
        <w:t>igt tidningen tvungna att låta den ligga kvar på tidigare nivå för att visa sig självständiga gentemot Göran Persson.</w:t>
      </w:r>
    </w:p>
    <w:p w:rsidR="00252869" w:rsidRPr="001B4EC1" w:rsidRDefault="00252869">
      <w:pPr>
        <w:pStyle w:val="Normaltindrag"/>
      </w:pPr>
      <w:r w:rsidRPr="001B4EC1">
        <w:t>I en artikel den 19 december i Göteborgsposten framhölls att två av de sex ledamöterna i riksbanksdirektionen, Villy Bergström och Kristina Persson, reserverat sig mot beslutet den 4 december att hålla repräntan oförändrad. De båda ville sänkan reporäntan med 0,25 procentenheter. Enligt tidningen kunde julhandeln bli avgörande.</w:t>
      </w:r>
    </w:p>
    <w:p w:rsidR="00252869" w:rsidRPr="001B4EC1" w:rsidRDefault="00252869">
      <w:pPr>
        <w:pStyle w:val="Normaltindrag"/>
      </w:pPr>
      <w:r w:rsidRPr="001B4EC1">
        <w:t>I en intervju lördagen den 20 december med Sveriges Radios ekoredaktion uttalade statsministern: ”Jag tycker inte att jag ser en utveckling i ekonomin som gör att vi inte skulle tåla en lägre ränta.” Han tillade att han ”aldrig fö</w:t>
      </w:r>
      <w:r w:rsidRPr="001B4EC1">
        <w:t>r</w:t>
      </w:r>
      <w:r w:rsidRPr="001B4EC1">
        <w:t>stått vitsen med att ha för hög ränta”. Statsministern hävdade att arbetslösh</w:t>
      </w:r>
      <w:r w:rsidRPr="001B4EC1">
        <w:t>e</w:t>
      </w:r>
      <w:r w:rsidRPr="001B4EC1">
        <w:t>ten var hög, inflationen låg och att det saknades tydliga tecken på att ko</w:t>
      </w:r>
      <w:r w:rsidRPr="001B4EC1">
        <w:t>n</w:t>
      </w:r>
      <w:r w:rsidRPr="001B4EC1">
        <w:t>junkturen var på väg att bli bättre. Göran Persson ifrågasatte om Riksbanken hade ”en väl avvägd räntepolitik”. ”Varför inte närma sig den europeiska nivån?” undrade statsministern.</w:t>
      </w:r>
    </w:p>
    <w:p w:rsidR="00252869" w:rsidRPr="001B4EC1" w:rsidRDefault="00252869">
      <w:pPr>
        <w:pStyle w:val="Normaltindrag"/>
      </w:pPr>
      <w:r w:rsidRPr="001B4EC1">
        <w:t>Enligt en artikel i Svenska Dagbladet den 13 januari 2004 skärpte LO t</w:t>
      </w:r>
      <w:r w:rsidRPr="001B4EC1">
        <w:t>o</w:t>
      </w:r>
      <w:r w:rsidRPr="001B4EC1">
        <w:t>nen. I ett öppet brev till ordförandena i finansutskottet respektive riksbank</w:t>
      </w:r>
      <w:r w:rsidRPr="001B4EC1">
        <w:t>s</w:t>
      </w:r>
      <w:r w:rsidRPr="001B4EC1">
        <w:t>fullmäktige frågade LO om Riksbanken fullföljde sitt uppdrag. Riksbankens räntepolitik är en viktig faktor när LO:s medlemmar formulerar sina avtal</w:t>
      </w:r>
      <w:r w:rsidRPr="001B4EC1">
        <w:t>s</w:t>
      </w:r>
      <w:r w:rsidRPr="001B4EC1">
        <w:t>krav och mot bakgrund av detta var det enligt LO:s chefsekonom Dan A</w:t>
      </w:r>
      <w:r w:rsidRPr="001B4EC1">
        <w:t>n</w:t>
      </w:r>
      <w:r w:rsidRPr="001B4EC1">
        <w:t>dersson angeläget att snarast möjligt få klarhet i Riksbankens ovilja att sänka räntan. En tolkning kunde enligt Dan Andersson vara att Riksbankens nya ledning inför marknaden ville visa sig kapabel att föra en stram</w:t>
      </w:r>
      <w:r w:rsidRPr="001B4EC1">
        <w:t xml:space="preserve"> penningpol</w:t>
      </w:r>
      <w:r w:rsidRPr="001B4EC1">
        <w:t>i</w:t>
      </w:r>
      <w:r w:rsidRPr="001B4EC1">
        <w:t>tik.</w:t>
      </w:r>
    </w:p>
    <w:p w:rsidR="00252869" w:rsidRPr="001B4EC1" w:rsidRDefault="00252869">
      <w:pPr>
        <w:pStyle w:val="Normaltindrag"/>
      </w:pPr>
      <w:r w:rsidRPr="001B4EC1">
        <w:t>Enligt uppgifter från TT den 20 januari 2004 hade näringsminister Leif Pagrotsky uttalat till TT att det i det ekonomiska läget vore rimligt att Rik</w:t>
      </w:r>
      <w:r w:rsidRPr="001B4EC1">
        <w:t>s</w:t>
      </w:r>
      <w:r w:rsidRPr="001B4EC1">
        <w:t>banken sänkte räntan. ”Vi har ett gynnsamt läge, så varför vänta?” undrade ministern. Enligt TT spädde ministern därmed på de alltmer högljudda kraven på en räntesänkning vid Riksbankens nästa möte i början av februari. Den senaste tidens kritik mot Riksbanken hade enligt TT varit hård. Konjunkturi</w:t>
      </w:r>
      <w:r w:rsidRPr="001B4EC1">
        <w:t>n</w:t>
      </w:r>
      <w:r w:rsidRPr="001B4EC1">
        <w:t xml:space="preserve">stitutet, TCO, LO, Göran Persson och flera ministrar krävde att styrräntan skulle sänkas. Leif Pagrotskys specificerade krav på 0,5 procentenheters sänkning ökade trycket än mer enligt TT.  </w:t>
      </w:r>
    </w:p>
    <w:p w:rsidR="00252869" w:rsidRPr="001B4EC1" w:rsidRDefault="00252869">
      <w:pPr>
        <w:pStyle w:val="Normaltindrag"/>
      </w:pPr>
      <w:r w:rsidRPr="001B4EC1">
        <w:t>I en artikel i Göteb</w:t>
      </w:r>
      <w:r w:rsidRPr="001B4EC1">
        <w:t xml:space="preserve">orgsposten den 24 januari 2004 anfördes att de starka protesterna mot Riksbankens räntepolitik av allt att döma hängde ihop med det allt kärvare läget på arbetsmarknaden. Konjunkturen hade utvecklats svagare än väntat och den öppna arbetslösheten riskerade att fastna på över </w:t>
      </w:r>
      <w:r w:rsidRPr="001B4EC1">
        <w:br/>
        <w:t>5 %. Läget var åter bekymmersamt. I artikeln diskuterades för- och nackdelar med en räntesänkning men angavs också att betydelsen av en mindre ränt</w:t>
      </w:r>
      <w:r w:rsidRPr="001B4EC1">
        <w:t>e</w:t>
      </w:r>
      <w:r w:rsidRPr="001B4EC1">
        <w:t xml:space="preserve">sänkning inte skulle överdrivas. Dess inverkan på konjunkturen var tämligen marginell. </w:t>
      </w:r>
    </w:p>
    <w:p w:rsidR="00252869" w:rsidRPr="001B4EC1" w:rsidRDefault="00252869">
      <w:pPr>
        <w:pStyle w:val="R3"/>
      </w:pPr>
      <w:r w:rsidRPr="001B4EC1">
        <w:t>Riksbankens ställning</w:t>
      </w:r>
    </w:p>
    <w:p w:rsidR="00252869" w:rsidRPr="001B4EC1" w:rsidRDefault="00252869">
      <w:r w:rsidRPr="001B4EC1">
        <w:t>Enligt 9 kap. 13 § regeringsformen är Riksbanken rikets centralbank och en myndighet under riksdagen. Riksbanken har ansvaret för penningpolitiken. Ingen myndighet får bestämma hur Riksbanken skall besluta i frågor som rör penningpolitik.</w:t>
      </w:r>
    </w:p>
    <w:p w:rsidR="00252869" w:rsidRPr="001B4EC1" w:rsidRDefault="00252869">
      <w:pPr>
        <w:pStyle w:val="Normaltindrag"/>
      </w:pPr>
      <w:r w:rsidRPr="001B4EC1">
        <w:t>Riksbanken har elva fullmäktige som väljs av riksdagen. Riksbanken leds av en direktion som utses av fullmäktige.</w:t>
      </w:r>
    </w:p>
    <w:p w:rsidR="00252869" w:rsidRPr="001B4EC1" w:rsidRDefault="00252869">
      <w:pPr>
        <w:pStyle w:val="Normaltindrag"/>
      </w:pPr>
      <w:r w:rsidRPr="001B4EC1">
        <w:t>Riksdagen prövar om ledamöterna i fullmäktige och direktionen skall b</w:t>
      </w:r>
      <w:r w:rsidRPr="001B4EC1">
        <w:t>e</w:t>
      </w:r>
      <w:r w:rsidRPr="001B4EC1">
        <w:t>viljas ansvarsfrihet. Om riksdagen vägrar en fullmäktig ansvarsfrihet är han därmed skild från sitt uppdrag. Fullmäktige får skilja en ledamot av direkti</w:t>
      </w:r>
      <w:r w:rsidRPr="001B4EC1">
        <w:t>o</w:t>
      </w:r>
      <w:r w:rsidRPr="001B4EC1">
        <w:t>nen från hans anställning endast om han inte längre uppfyller de krav som ställs för att han skall kunna utföra sina uppgifter eller om han gjort sig skyl- dig till allvarlig försummelse.</w:t>
      </w:r>
    </w:p>
    <w:p w:rsidR="00252869" w:rsidRPr="001B4EC1" w:rsidRDefault="00252869">
      <w:pPr>
        <w:pStyle w:val="Normaltindrag"/>
      </w:pPr>
      <w:r w:rsidRPr="001B4EC1">
        <w:t xml:space="preserve">Bestämmelser om val av fullmäktige och om Riksbankens ledning och verksamhet meddelas i lag. </w:t>
      </w:r>
    </w:p>
    <w:p w:rsidR="00252869" w:rsidRPr="001B4EC1" w:rsidRDefault="00252869">
      <w:pPr>
        <w:pStyle w:val="Normaltindrag"/>
      </w:pPr>
      <w:r w:rsidRPr="001B4EC1">
        <w:t>Enligt 3 kap. 2 § lagen (1988:1385) om Sveriges riksbank får ledamöter av direktionen inte söka eller ta emot instruktioner när de fullgör penningpoliti</w:t>
      </w:r>
      <w:r w:rsidRPr="001B4EC1">
        <w:t>s</w:t>
      </w:r>
      <w:r w:rsidRPr="001B4EC1">
        <w:t>ka uppgifter. Denna paragraf i regeringsformen fick sin lydelse genom än</w:t>
      </w:r>
      <w:r w:rsidRPr="001B4EC1">
        <w:t>d</w:t>
      </w:r>
      <w:r w:rsidRPr="001B4EC1">
        <w:t>ringar som ingick i den förändring av Riksbankens ställning som genomfö</w:t>
      </w:r>
      <w:r w:rsidRPr="001B4EC1">
        <w:t>r</w:t>
      </w:r>
      <w:r w:rsidRPr="001B4EC1">
        <w:t>des med verkan från den 1 januari 1999 (prop. 1997/98:40, bet. 1997/98:</w:t>
      </w:r>
      <w:r w:rsidRPr="001B4EC1">
        <w:br/>
        <w:t>KU15 och 1998/99:KU2, rskr. 1997/98:147 och 1998/99:6).</w:t>
      </w:r>
    </w:p>
    <w:p w:rsidR="00252869" w:rsidRPr="001B4EC1" w:rsidRDefault="00252869">
      <w:pPr>
        <w:pStyle w:val="Normaltindrag"/>
      </w:pPr>
      <w:r w:rsidRPr="001B4EC1">
        <w:t>EG-fördraget och ECBS-stadgan innehåller – förutom krav på kriterier för avsättande av centralbankschefen – krav på centralbankslagstiftningen i fråga om förbud för centralbanken och medlemmar i dess beslutande organ att begära eller ta e</w:t>
      </w:r>
      <w:r w:rsidRPr="001B4EC1">
        <w:t>mot instruktioner från gemenskapsinstitutioner eller geme</w:t>
      </w:r>
      <w:r w:rsidRPr="001B4EC1">
        <w:t>n</w:t>
      </w:r>
      <w:r w:rsidRPr="001B4EC1">
        <w:t>skapsorgan, från medlemsstaternas regeringar eller från något annat organ samt åtaganden från gemenskapsinstitutionerna, gemenskapsorganen och medlemsstaternas regeringar att respektera denna princip och att inte söka påverka medlemmarna av ECB:s eller de nationella centralbankernas b</w:t>
      </w:r>
      <w:r w:rsidRPr="001B4EC1">
        <w:t>e</w:t>
      </w:r>
      <w:r w:rsidRPr="001B4EC1">
        <w:t>slutande organ när de fullgör sina uppgifter.</w:t>
      </w:r>
    </w:p>
    <w:p w:rsidR="00252869" w:rsidRPr="001B4EC1" w:rsidRDefault="00252869">
      <w:pPr>
        <w:pStyle w:val="Normaltindrag"/>
      </w:pPr>
      <w:r w:rsidRPr="001B4EC1">
        <w:t>I propositionen till de nämnda ändringarna i regeringsformen och riks-bankslagen erinrades om att Sveriges medlemskap i EU</w:t>
      </w:r>
      <w:r w:rsidRPr="001B4EC1">
        <w:t xml:space="preserve"> medfört att Sverige åtagit sig att stärka Riksbankens självständighet. Vidare erinrades om att penningpolitiken är en del av den ekonomiska politiken. Penningpolitikens styrmedel baseras på att Riksbanken kan kontrollera likviditeten i banksyst</w:t>
      </w:r>
      <w:r w:rsidRPr="001B4EC1">
        <w:t>e</w:t>
      </w:r>
      <w:r w:rsidRPr="001B4EC1">
        <w:t>met och därigenom ha möjlighet att fastställa de räntevillkor till vilka banke</w:t>
      </w:r>
      <w:r w:rsidRPr="001B4EC1">
        <w:t>r</w:t>
      </w:r>
      <w:r w:rsidRPr="001B4EC1">
        <w:t>na kan placera eller låna likvider över natt i Riksbanken, dvs. den s.k. ränt</w:t>
      </w:r>
      <w:r w:rsidRPr="001B4EC1">
        <w:t>e</w:t>
      </w:r>
      <w:r w:rsidRPr="001B4EC1">
        <w:t>korridoren. Det medel som Riksbanken löpande använder för att bedriva penningpolitiken är en styrränta, repor</w:t>
      </w:r>
      <w:r w:rsidRPr="001B4EC1">
        <w:t>äntan, som är räntan på likviditet med en vec</w:t>
      </w:r>
      <w:r w:rsidRPr="001B4EC1">
        <w:t>k</w:t>
      </w:r>
      <w:r w:rsidRPr="001B4EC1">
        <w:t>as löptid och som fastställs en gång per vecka.</w:t>
      </w:r>
    </w:p>
    <w:p w:rsidR="00252869" w:rsidRPr="001B4EC1" w:rsidRDefault="00252869">
      <w:pPr>
        <w:pStyle w:val="Normaltindrag"/>
      </w:pPr>
      <w:r w:rsidRPr="001B4EC1">
        <w:t>Målet för penningpolitiken angavs i propositionen vara att upprätthålla ett fast penningvärde. Som myndighet under riksdagen borde Riksbanken enligt propositionen därutöver, utan att åsidosätta prisstabilitetsmålet, stödja målen för den allmänna ekonomiska politiken i syfte att uppnå hållbar tillväxt och hög sysselsättning.</w:t>
      </w:r>
    </w:p>
    <w:p w:rsidR="00252869" w:rsidRPr="001B4EC1" w:rsidRDefault="00252869">
      <w:pPr>
        <w:pStyle w:val="Normaltindrag"/>
      </w:pPr>
      <w:r w:rsidRPr="001B4EC1">
        <w:t>Såväl för ledamöter av fullmäktige som ledamöter av direktionen för</w:t>
      </w:r>
      <w:r w:rsidRPr="001B4EC1">
        <w:t>e</w:t>
      </w:r>
      <w:r w:rsidRPr="001B4EC1">
        <w:t>skrivs att vissa anställningar och uppdrag är oförenliga med ledamotskapet. Den som är ledamot i direktionen får inte vara ledamot av riksdagen, statsråd, anställd i Regeringskansliet eller anställd centralt av ett politiskt parti, vara ledamot eller suppleant i styrelsen för en bank eller annat företag som står under Finansinspektionens tillsyn eller inneha annan anställning eller annat uppdrag som gör honom eller henne olämplig att vara direktionsledamot. Den tidigare bestämmelsen i riksbankslagen, som f</w:t>
      </w:r>
      <w:r w:rsidRPr="001B4EC1">
        <w:t>öreskrev att innan Riksbanken fattade beslut av större penningpolitisk vikt skulle samråd ske med det stat</w:t>
      </w:r>
      <w:r w:rsidRPr="001B4EC1">
        <w:t>s</w:t>
      </w:r>
      <w:r w:rsidRPr="001B4EC1">
        <w:t>råd som regeringen bestämde, ändrades samtidigt med de tidigare nämnda ändringarna. Nu föreskrivs att Riksbanken inför alla viktiga penningpolitiska beslut skall informera det statsråd som regeringen bestämmer.</w:t>
      </w:r>
    </w:p>
    <w:p w:rsidR="00252869" w:rsidRPr="001B4EC1" w:rsidRDefault="00252869">
      <w:pPr>
        <w:pStyle w:val="Normaltindrag"/>
      </w:pPr>
      <w:r w:rsidRPr="001B4EC1">
        <w:t>Om det s.k. instruktionsförbudet i 3 kap. 2 § riksbankslagen framhölls i</w:t>
      </w:r>
      <w:r w:rsidRPr="001B4EC1">
        <w:br/>
        <w:t>förarbetena (prop. 1997/98:40 s. 75 f.) att i den då gällande lagstiftningen om Riksbanken saknades ett sådant uttryckligt instruktionsförbud. Det ansågs i och för sig kunna diskuteras om ett uttryckligt förbud i lag var nödvändigt. Samtidigt kunde konstateras att det enligt uttalanden i förarbeten till den gällande lagstiftningen syntes vara möjligt att påverka Riksbankens kredit- och penningpolitik (prop. 1973:90 s. 354). För tydlighets skull bedömdes att ett uttryckligt instruktionsförbud borde införas.</w:t>
      </w:r>
      <w:r w:rsidRPr="001B4EC1">
        <w:t xml:space="preserve"> Det påpekades också att de formella möjligheterna för regeringen att påverka Riksbanken var begränsade, eftersom Riksbanken var en myndighet under riksdagen.</w:t>
      </w:r>
    </w:p>
    <w:p w:rsidR="00252869" w:rsidRPr="001B4EC1" w:rsidRDefault="00252869">
      <w:pPr>
        <w:pStyle w:val="Normaltindrag"/>
      </w:pPr>
      <w:r w:rsidRPr="001B4EC1">
        <w:t>Vidare anfördes i propositionen att det på goda grunder kunde antas att EG-fördragets bestämmelse om instruktionsförbud inte skulle tolkas så att det exkluderade en dialog om den ekonomiska politiken mellan regeringen, rik</w:t>
      </w:r>
      <w:r w:rsidRPr="001B4EC1">
        <w:t>s</w:t>
      </w:r>
      <w:r w:rsidRPr="001B4EC1">
        <w:t>dagen och Riksbanken eller mellan Riksbanken och andra externa organ eller personer. I stället syftade bestämmelsen till att ge de penningpolitiska beslut</w:t>
      </w:r>
      <w:r w:rsidRPr="001B4EC1">
        <w:t>s</w:t>
      </w:r>
      <w:r w:rsidRPr="001B4EC1">
        <w:t>fattarna en sådan integritet att de självständigt och utan påtryckningar utifrån kan fatta penningpolitiska beslut.</w:t>
      </w:r>
    </w:p>
    <w:p w:rsidR="00252869" w:rsidRPr="001B4EC1" w:rsidRDefault="00252869">
      <w:pPr>
        <w:pStyle w:val="Normaltindrag"/>
      </w:pPr>
      <w:r w:rsidRPr="001B4EC1">
        <w:t>Instruktionsförbudet omfattar enligt propositionen alla penningpolitiska beslut. Det omfattar naturligtvis beslut om styrränteförändringar men också preciseringar av det i lag angivna målet för penningpolitiken och det val av penningpolitis</w:t>
      </w:r>
      <w:r w:rsidRPr="001B4EC1">
        <w:t>k strategi som skall ske inom ramen för regeringens beslut om växelkursregim. Det senare avser exempelvis valet mellan direkt inflation</w:t>
      </w:r>
      <w:r w:rsidRPr="001B4EC1">
        <w:t>s</w:t>
      </w:r>
      <w:r w:rsidRPr="001B4EC1">
        <w:t>mål eller intermediärt mål (exempelvis penningmängdsstyrning) för pennin</w:t>
      </w:r>
      <w:r w:rsidRPr="001B4EC1">
        <w:t>g</w:t>
      </w:r>
      <w:r w:rsidRPr="001B4EC1">
        <w:t>politiken. Även Riksbankens beslutanderätt om centralkurser och bandbredd har stor betydelse för Riksbankens möjlighet att uppfylla prisstabilitetsmålet och därmed för penningpolitiken. Dessa beslut omfattas således också av instruktionsförbudet.</w:t>
      </w:r>
    </w:p>
    <w:p w:rsidR="00252869" w:rsidRPr="001B4EC1" w:rsidRDefault="00252869">
      <w:pPr>
        <w:pStyle w:val="Normaltindrag"/>
      </w:pPr>
      <w:r w:rsidRPr="001B4EC1">
        <w:t>Vidare framhölls i propositionen att instruktionsförbude</w:t>
      </w:r>
      <w:r w:rsidRPr="001B4EC1">
        <w:t>t som nämnts o</w:t>
      </w:r>
      <w:r w:rsidRPr="001B4EC1">
        <w:t>m</w:t>
      </w:r>
      <w:r w:rsidRPr="001B4EC1">
        <w:t>fattar ett stort antal uppgifter som fullgörs av Riksbanken, eller närmare b</w:t>
      </w:r>
      <w:r w:rsidRPr="001B4EC1">
        <w:t>e</w:t>
      </w:r>
      <w:r w:rsidRPr="001B4EC1">
        <w:t>stämt direktionen. Riksbanken är en myndighet under riksdagen och dess uppgifter framgår av lag. Om riksdagen vill förändra Riksbankens uppgifter krävs det således lagform. Genom att det krävs lagform ges ECB möjlighet att framföra sina synpunkter på om ett lagförslag kan innebära otillåtna instru</w:t>
      </w:r>
      <w:r w:rsidRPr="001B4EC1">
        <w:t>k</w:t>
      </w:r>
      <w:r w:rsidRPr="001B4EC1">
        <w:t>tioner. Detta har sin grund i att det åligger varje medlemsstat enligt artikel 105.4 i EG-fördraget att inhämta ECB:s syn</w:t>
      </w:r>
      <w:r w:rsidRPr="001B4EC1">
        <w:t>punkter på förslag till rättsregler inom ECB:s behörighetsområde.</w:t>
      </w:r>
    </w:p>
    <w:p w:rsidR="00252869" w:rsidRPr="001B4EC1" w:rsidRDefault="00252869">
      <w:pPr>
        <w:pStyle w:val="Normaltindrag"/>
      </w:pPr>
      <w:r w:rsidRPr="001B4EC1">
        <w:t>I 11 kap. 2 och 7 §§ regeringsformen har domstolarna och förvaltning</w:t>
      </w:r>
      <w:r w:rsidRPr="001B4EC1">
        <w:t>s</w:t>
      </w:r>
      <w:r w:rsidRPr="001B4EC1">
        <w:t xml:space="preserve">myndigheterna tillförsäkrats ett skydd mot instruktioner från riksdagen och myndigheter, däribland regeringen, när det gäller rättstillämpning respektive myndighetsutövning mot enskild och tillämpning av lag. Bestämmelserna påminner om vad fördraget föreskriver beträffande instruktionsförbudet för de nationella centralbankerna och syftar till att garantera oberoende i </w:t>
      </w:r>
      <w:r w:rsidRPr="001B4EC1">
        <w:br/>
        <w:t>rättstillämpningen. Ett liknande oberoende skall tillförsäkras Riksbanken i fråga om Riksbankens utövande av penningpolitiken. En uttryckli</w:t>
      </w:r>
      <w:r w:rsidRPr="001B4EC1">
        <w:t>g bestä</w:t>
      </w:r>
      <w:r w:rsidRPr="001B4EC1">
        <w:t>m</w:t>
      </w:r>
      <w:r w:rsidRPr="001B4EC1">
        <w:t>melse som syftar till att garantera Riksbanken oberoende borde därför enligt propositi</w:t>
      </w:r>
      <w:r w:rsidRPr="001B4EC1">
        <w:t>o</w:t>
      </w:r>
      <w:r w:rsidRPr="001B4EC1">
        <w:t>nen på samma sätt införas i regeringsformen.</w:t>
      </w:r>
    </w:p>
    <w:p w:rsidR="00252869" w:rsidRPr="001B4EC1" w:rsidRDefault="00252869">
      <w:pPr>
        <w:pStyle w:val="Normaltindrag"/>
      </w:pPr>
      <w:r w:rsidRPr="001B4EC1">
        <w:t>EG-fördragets instruktionsförbud riktar sig enligt propositionen dock inte enbart till den som lämnar instruktioner utan innebär också att medlemmar av Riksbankens beslutande organ i fråga om penningpolitiken, direktionen, inte får begära eller ta emot instruktioner. För det fall en instruktion når en leda- mot i direktionen i Riksbanken syftar denna bestämmelse till at</w:t>
      </w:r>
      <w:r w:rsidRPr="001B4EC1">
        <w:t>t hindra att denne följer instruktionen. Bestämmelsen skall också hindra ledamöterna från att aktivt söka instruktioner. Denna del av instruktionsförbudet, som inte reglerar den inbördes maktfördelningen mellan myndigheter, finns i rik</w:t>
      </w:r>
      <w:r w:rsidRPr="001B4EC1">
        <w:t>s</w:t>
      </w:r>
      <w:r w:rsidRPr="001B4EC1">
        <w:t>bankslagen där övriga bestämmelser om direktionen och dess arbetsuppgifter finns samlade. Om en ledamot av direktionen bryter mot instruktionsförbudet bör det bedömas som en sådan allvarlig försummelse som utgör grund för avsättning.</w:t>
      </w:r>
    </w:p>
    <w:p w:rsidR="00252869" w:rsidRPr="001B4EC1" w:rsidRDefault="00252869">
      <w:pPr>
        <w:pStyle w:val="Rubrik3"/>
        <w:rPr>
          <w:noProof w:val="0"/>
        </w:rPr>
      </w:pPr>
      <w:bookmarkStart w:id="139" w:name="_Toc72648569"/>
      <w:r w:rsidRPr="001B4EC1">
        <w:rPr>
          <w:noProof w:val="0"/>
        </w:rPr>
        <w:t>Promemoria från Statsrådsberedningen</w:t>
      </w:r>
      <w:bookmarkEnd w:id="139"/>
    </w:p>
    <w:p w:rsidR="00252869" w:rsidRPr="001B4EC1" w:rsidRDefault="00252869">
      <w:r w:rsidRPr="001B4EC1">
        <w:t>Som svar på två frågor från konstitutionsutskottet har från Statsrådsbere</w:t>
      </w:r>
      <w:r w:rsidRPr="001B4EC1">
        <w:t>d</w:t>
      </w:r>
      <w:r w:rsidRPr="001B4EC1">
        <w:t>ningens sida framhållits (</w:t>
      </w:r>
      <w:r w:rsidRPr="001B4EC1">
        <w:rPr>
          <w:i/>
        </w:rPr>
        <w:t xml:space="preserve">bilaga A5.1.2) </w:t>
      </w:r>
      <w:r w:rsidRPr="001B4EC1">
        <w:t>att statsrådens uttalanden om ränten</w:t>
      </w:r>
      <w:r w:rsidRPr="001B4EC1">
        <w:t>i</w:t>
      </w:r>
      <w:r w:rsidRPr="001B4EC1">
        <w:t>vån är inlägg i den ekonomisk-politiska debatten baserade på regeringens ekonomiska bedömningar. Uttalandena innebär inte att statsråden bestämt eller avsett att bestämma hur Riksbanken skall besluta i någon fråga. Det s.k. instruktionsförbudet i 9 kap. 13 § regeringsformen är inte något förbud mot en dialog om den ekonomiska politiken mellan regeringen, riksdagen och Riksbanken eller mellan Riksbanken och andra externa organ ell</w:t>
      </w:r>
      <w:r w:rsidRPr="001B4EC1">
        <w:t>er personer. I promemorian framförs vidare att det förhållandet att Riksbanken är en my</w:t>
      </w:r>
      <w:r w:rsidRPr="001B4EC1">
        <w:t>n</w:t>
      </w:r>
      <w:r w:rsidRPr="001B4EC1">
        <w:t>dighet under riksdagen och inte under regeringen ger ett ytterligare utrymme för statsråd att uttala sig om Riksbankens räntenivå.</w:t>
      </w:r>
    </w:p>
    <w:p w:rsidR="00252869" w:rsidRPr="001B4EC1" w:rsidRDefault="00252869">
      <w:pPr>
        <w:pStyle w:val="Normaltindrag"/>
      </w:pPr>
    </w:p>
    <w:p w:rsidR="00252869" w:rsidRPr="001B4EC1" w:rsidRDefault="00252869">
      <w:pPr>
        <w:pStyle w:val="Rubrik4"/>
        <w:rPr>
          <w:noProof w:val="0"/>
        </w:rPr>
      </w:pPr>
      <w:bookmarkStart w:id="140" w:name="_Toc72648570"/>
      <w:r w:rsidRPr="001B4EC1">
        <w:rPr>
          <w:noProof w:val="0"/>
        </w:rPr>
        <w:t>Utfrågning med riksbankschefen Lars Heikensten</w:t>
      </w:r>
      <w:bookmarkEnd w:id="140"/>
    </w:p>
    <w:p w:rsidR="00252869" w:rsidRPr="001B4EC1" w:rsidRDefault="00252869">
      <w:r w:rsidRPr="001B4EC1">
        <w:t>Utskottet har den 23 mars 2004 hållit en utfrågning med riksbankschefen Lars Heikensten (</w:t>
      </w:r>
      <w:r w:rsidRPr="001B4EC1">
        <w:rPr>
          <w:i/>
        </w:rPr>
        <w:t>bilaga B1).</w:t>
      </w:r>
      <w:r w:rsidRPr="001B4EC1">
        <w:t xml:space="preserve"> Riksbankschefen framhöll att penningpolitiken gen</w:t>
      </w:r>
      <w:r w:rsidRPr="001B4EC1">
        <w:t>e</w:t>
      </w:r>
      <w:r w:rsidRPr="001B4EC1">
        <w:t>rellt sett får mycket utrymme både i den politiska och i den mediala disku</w:t>
      </w:r>
      <w:r w:rsidRPr="001B4EC1">
        <w:t>s</w:t>
      </w:r>
      <w:r w:rsidRPr="001B4EC1">
        <w:t>sionen, ett utrymme som denna verksamhet normalt sett egentligen inte fö</w:t>
      </w:r>
      <w:r w:rsidRPr="001B4EC1">
        <w:t>r</w:t>
      </w:r>
      <w:r w:rsidRPr="001B4EC1">
        <w:t>tjänar. Det är utomordentligt viktigt att bedriva stabiliseringspolitiken i ett land – och det inkluderar då penningpolitiken – på ett sådant sätt att inflati</w:t>
      </w:r>
      <w:r w:rsidRPr="001B4EC1">
        <w:t>o</w:t>
      </w:r>
      <w:r w:rsidRPr="001B4EC1">
        <w:t xml:space="preserve">nen hålls i schack. Men när det väl finns en fungerande regim skall man inte göra sig några överdrivna förhoppningar om att kunna finkalibrera </w:t>
      </w:r>
      <w:r w:rsidRPr="001B4EC1">
        <w:t>konjun</w:t>
      </w:r>
      <w:r w:rsidRPr="001B4EC1">
        <w:t>k</w:t>
      </w:r>
      <w:r w:rsidRPr="001B4EC1">
        <w:t>turutvec</w:t>
      </w:r>
      <w:r w:rsidRPr="001B4EC1">
        <w:t>k</w:t>
      </w:r>
      <w:r w:rsidRPr="001B4EC1">
        <w:t>lingen.</w:t>
      </w:r>
    </w:p>
    <w:p w:rsidR="00252869" w:rsidRPr="001B4EC1" w:rsidRDefault="00252869">
      <w:pPr>
        <w:pStyle w:val="Normaltindrag"/>
      </w:pPr>
      <w:r w:rsidRPr="001B4EC1">
        <w:t>När Riksbanken sätter räntan görs det visserligen i allmänhet på ett sådant sätt att det bidrar till att stabilisera den realekonomiska utvecklingen, men  riksbankschefen trodde inte att kunskaperna egentligen räcker till för att dä</w:t>
      </w:r>
      <w:r w:rsidRPr="001B4EC1">
        <w:t>r</w:t>
      </w:r>
      <w:r w:rsidRPr="001B4EC1">
        <w:t>utöver detaljstyra utvecklingen på det sätt som många debattörer ger sken av. För den som vill påverka välståndsutvecklingen och sysselsättningen i landet finns det betydligt viktigare frågor att fokusera diskussionen på än pennin</w:t>
      </w:r>
      <w:r w:rsidRPr="001B4EC1">
        <w:t>g</w:t>
      </w:r>
      <w:r w:rsidRPr="001B4EC1">
        <w:t>politiken. Det handlar i första hand om hur ekonomisk tillväxt i Sverige och en väl fungerande arbetsmarknad uppnås. Frågor som då blir viktiga har att göra med transfereringssystemen, skattesystemet, regelverket för arbetsmar</w:t>
      </w:r>
      <w:r w:rsidRPr="001B4EC1">
        <w:t>k</w:t>
      </w:r>
      <w:r w:rsidRPr="001B4EC1">
        <w:t>naden, utbildningssystemet och så vidare. Riksbanksch</w:t>
      </w:r>
      <w:r w:rsidRPr="001B4EC1">
        <w:t>efen hoppades att debatten om penningpolitiken inte skulle få överskugga de viktiga andra frågorna. Om något hoppades han kunna avdramatis</w:t>
      </w:r>
      <w:r w:rsidRPr="001B4EC1">
        <w:t>e</w:t>
      </w:r>
      <w:r w:rsidRPr="001B4EC1">
        <w:t>ra den debatten.</w:t>
      </w:r>
    </w:p>
    <w:p w:rsidR="00252869" w:rsidRPr="001B4EC1" w:rsidRDefault="00252869">
      <w:pPr>
        <w:pStyle w:val="Normaltindrag"/>
      </w:pPr>
      <w:r w:rsidRPr="001B4EC1">
        <w:t>Lars Heikensten underströk också att det naturligtvis är viktigt med en ö</w:t>
      </w:r>
      <w:r w:rsidRPr="001B4EC1">
        <w:t>p</w:t>
      </w:r>
      <w:r w:rsidRPr="001B4EC1">
        <w:t>pen debatt om penningpolitiken. Inom Riksbanken har man under de senaste tio åren ansträngt sig för att åstadkomma så goda förutsättningar som möjligt för den här öppna diskussionen. Bland annat har detta skett genom att det tydliga siffersatta målet för penningpolitiken lagts fast, vilket gör det möjligt med löpande utvärdering och ansvarsställande. Det var ett initiativ från Rik</w:t>
      </w:r>
      <w:r w:rsidRPr="001B4EC1">
        <w:t>s</w:t>
      </w:r>
      <w:r w:rsidRPr="001B4EC1">
        <w:t>banken själv. Detaljerade prognoser för inflationsutvecklingen publiceras löpande. Sverige var bland de första länderna i värld</w:t>
      </w:r>
      <w:r w:rsidRPr="001B4EC1">
        <w:t>en som gjorde det. D</w:t>
      </w:r>
      <w:r w:rsidRPr="001B4EC1">
        <w:t>e</w:t>
      </w:r>
      <w:r w:rsidRPr="001B4EC1">
        <w:t xml:space="preserve">taljerade diskussionsprotokoll med redogörelser för hur enskilda ledamöter har valt att rösta publiceras också. Det var för övrigt också ett initiativ från Riksbanken själv att man borde ha öppna utskottsförhör i finansutskottet om penningpolitiken. </w:t>
      </w:r>
    </w:p>
    <w:p w:rsidR="00252869" w:rsidRPr="001B4EC1" w:rsidRDefault="00252869">
      <w:pPr>
        <w:pStyle w:val="Normaltindrag"/>
      </w:pPr>
      <w:r w:rsidRPr="001B4EC1">
        <w:t>Kritik och debatt är enligt riksbankschefen någonting som man inom Rik</w:t>
      </w:r>
      <w:r w:rsidRPr="001B4EC1">
        <w:t>s</w:t>
      </w:r>
      <w:r w:rsidRPr="001B4EC1">
        <w:t>banken i grunden gärna vill underlätta. Det hjälper banken att utvecklas. Särskilt viktigt är detta förhållningssätt mot bakgrund av den lagstadgade självständigheten. Det är mycket vanligt när man reser i landet att man får frågor om i vilken utsträckning man är utsatt för politiska påtryckningar. Hans utgångspunkt har alltid varit att man enligt lagen har ett arbete som skall göras. Det skall göras självständigt. Lagstiftningen är på så sätt helt glasklar. Man får inte ta emot några politiska instruktion</w:t>
      </w:r>
      <w:r w:rsidRPr="001B4EC1">
        <w:t>er. Det är en av grunderna. Såvitt han förstår kan direktionsledamöterna explicit riskera att mista sina arbeten om de skulle göra det.</w:t>
      </w:r>
    </w:p>
    <w:p w:rsidR="00252869" w:rsidRPr="001B4EC1" w:rsidRDefault="00252869">
      <w:pPr>
        <w:pStyle w:val="Normaltindrag"/>
      </w:pPr>
      <w:r w:rsidRPr="001B4EC1">
        <w:t>Lars Heikensten har genomgående under de här åren haft ett ganska a</w:t>
      </w:r>
      <w:r w:rsidRPr="001B4EC1">
        <w:t>v</w:t>
      </w:r>
      <w:r w:rsidRPr="001B4EC1">
        <w:t>spänt förhållande till politikers inhopp i diskussionen. Men samtidigt är fr</w:t>
      </w:r>
      <w:r w:rsidRPr="001B4EC1">
        <w:t>å</w:t>
      </w:r>
      <w:r w:rsidRPr="001B4EC1">
        <w:t>gan lite mer komplicerad än så. Den handlar inte främst om huruvida han eller andra ledamöter i direktionen känner att man måste agera på ett visst sätt till följd av politiska påtryckningar. Riksbanken arbetar med ett inflationsmål. Banken gör prognoser och följer prognoserna. Men om det smyger sig in en oro i systemet för att Riksbanken kan komma att ta otillbörliga hänsyn kan den förväntade inflationen krypa upp. Det kan få eff</w:t>
      </w:r>
      <w:r w:rsidRPr="001B4EC1">
        <w:t>ekter på inflationsbedö</w:t>
      </w:r>
      <w:r w:rsidRPr="001B4EC1">
        <w:t>m</w:t>
      </w:r>
      <w:r w:rsidRPr="001B4EC1">
        <w:t>ningen, och därmed blir Riksba</w:t>
      </w:r>
      <w:r w:rsidRPr="001B4EC1">
        <w:t>n</w:t>
      </w:r>
      <w:r w:rsidRPr="001B4EC1">
        <w:t>ken tvungen att beakta det i sitt agerande</w:t>
      </w:r>
    </w:p>
    <w:p w:rsidR="00252869" w:rsidRPr="001B4EC1" w:rsidRDefault="00252869">
      <w:pPr>
        <w:pStyle w:val="Normaltindrag"/>
      </w:pPr>
      <w:r w:rsidRPr="001B4EC1">
        <w:t>För närvarande är den ekonomiska och politiska utvecklingen i Sverige så stabil att utspel av den typen knappast påverkar de finansiella marknaderna. Viss oro har visserligen avspeglats i en del marknadskommentarer, och han har också mött en del frågor utomlands, men det syns inga tecken i de b</w:t>
      </w:r>
      <w:r w:rsidRPr="001B4EC1">
        <w:t>e</w:t>
      </w:r>
      <w:r w:rsidRPr="001B4EC1">
        <w:t>dömningar som Riksbanken kunnat göra på att inflationsförväntningar och annat har påverkats av diskussionen som förekommit.</w:t>
      </w:r>
    </w:p>
    <w:p w:rsidR="00252869" w:rsidRPr="001B4EC1" w:rsidRDefault="00252869">
      <w:pPr>
        <w:pStyle w:val="Normaltindrag"/>
      </w:pPr>
      <w:r w:rsidRPr="001B4EC1">
        <w:t>Därmed har inte heller den diskussion som har förts haft någon påtaglig inverkan på Riksbankens agerande den här gången. Men politiker som ger sig in i diskussionen med starka uppfattningar i lägen som ändå i grunden är så pass stabila och så goda som dem som Sverige har haft på senare tid borde enligt riksbankschefen fundera över vad konsekvenserna av ett sådant ag</w:t>
      </w:r>
      <w:r w:rsidRPr="001B4EC1">
        <w:t>e</w:t>
      </w:r>
      <w:r w:rsidRPr="001B4EC1">
        <w:t>rande kan bli i mer problematiska framtida lägen och hur de avser att hantera dessa.</w:t>
      </w:r>
    </w:p>
    <w:p w:rsidR="00252869" w:rsidRPr="001B4EC1" w:rsidRDefault="00252869">
      <w:pPr>
        <w:pStyle w:val="Normaltindrag"/>
      </w:pPr>
      <w:r w:rsidRPr="001B4EC1">
        <w:t>Slutsatsen är alltså att alla självfallet är välkomna att delta i en diskussion om penningpolitiken, och Riksbanken skall försöka göra vad den kan fra</w:t>
      </w:r>
      <w:r w:rsidRPr="001B4EC1">
        <w:t>m</w:t>
      </w:r>
      <w:r w:rsidRPr="001B4EC1">
        <w:t>över för att underlätta en sådan diskussion på alla sätt. Men han ser en del risker när ledande politiska företrädare uttrycker starka uppfattningar om penningpolitiken. Det kan inte bortses från att det kan uppstå  ett visst tvivel i fråga om Riksbankens agerande, och det kan påverka de finansiella markn</w:t>
      </w:r>
      <w:r w:rsidRPr="001B4EC1">
        <w:t>a</w:t>
      </w:r>
      <w:r w:rsidRPr="001B4EC1">
        <w:t>derna. Det vore olyckligt, för det skulle också kunna påverka handlingsu</w:t>
      </w:r>
      <w:r w:rsidRPr="001B4EC1">
        <w:t>t</w:t>
      </w:r>
      <w:r w:rsidRPr="001B4EC1">
        <w:t>rymmet. Riksbankschefen pekade på att om det vore så att det fördes en di</w:t>
      </w:r>
      <w:r w:rsidRPr="001B4EC1">
        <w:t>s</w:t>
      </w:r>
      <w:r w:rsidRPr="001B4EC1">
        <w:t>kussion med motsatta förtecken – att det var lika vanligt</w:t>
      </w:r>
      <w:r w:rsidRPr="001B4EC1">
        <w:t xml:space="preserve"> att ledande politiker krävde höjningar av räntan i lägen då inflationen var på väg upp som när den var på väg ned – skulle det vara mindre problematiskt.</w:t>
      </w:r>
    </w:p>
    <w:p w:rsidR="00252869" w:rsidRPr="001B4EC1" w:rsidRDefault="00252869">
      <w:pPr>
        <w:pStyle w:val="Normaltindrag"/>
      </w:pPr>
      <w:r w:rsidRPr="001B4EC1">
        <w:t>Lars Heikensten fäste sig vid att statsministern, i de kommentarer som han gjorde i en lördagsintervju före jul, underströk att han tyckte att den här reg</w:t>
      </w:r>
      <w:r w:rsidRPr="001B4EC1">
        <w:t>i</w:t>
      </w:r>
      <w:r w:rsidRPr="001B4EC1">
        <w:t>men hade fungerat bra. Det är viktigt att den typen av synpunkter också fra</w:t>
      </w:r>
      <w:r w:rsidRPr="001B4EC1">
        <w:t>m</w:t>
      </w:r>
      <w:r w:rsidRPr="001B4EC1">
        <w:t>förs, så att det finns en balanserad bild. Det säger sig självt att om politiker som kan ha ett inflytande över dessa frågor envist agerar enbart i lägen när de anser att räntan bör komma ned, finns det en risk för en annan effekt än om man upplever att det är en mer allsidig bedömning som ligger till grund för deras synpun</w:t>
      </w:r>
      <w:r w:rsidRPr="001B4EC1">
        <w:t>k</w:t>
      </w:r>
      <w:r w:rsidRPr="001B4EC1">
        <w:t>ter.</w:t>
      </w:r>
    </w:p>
    <w:p w:rsidR="00252869" w:rsidRPr="001B4EC1" w:rsidRDefault="00252869">
      <w:pPr>
        <w:pStyle w:val="Normaltindrag"/>
      </w:pPr>
      <w:r w:rsidRPr="001B4EC1">
        <w:t>Riksbanken låter sig inte påverkas av uttalanden, vare sig av den ene eller den andre när det gäller rän</w:t>
      </w:r>
      <w:r w:rsidRPr="001B4EC1">
        <w:t>tan utan man försöker värdera de argument som vederbörande framför. Däremot finns det en problematik som har att göra med hur andra uppfattar den här typen av påtryckningar. Börjar man tro att Riksbanken är satt under ett sådant tryck att det skulle kunna påverka betee</w:t>
      </w:r>
      <w:r w:rsidRPr="001B4EC1">
        <w:t>n</w:t>
      </w:r>
      <w:r w:rsidRPr="001B4EC1">
        <w:t>det och att det faktiskt finns en risk att det här målet inte kommer att uppfy</w:t>
      </w:r>
      <w:r w:rsidRPr="001B4EC1">
        <w:t>l</w:t>
      </w:r>
      <w:r w:rsidRPr="001B4EC1">
        <w:t>las som man har väntat sig får det vissa effekter på de långa räntorna. Han tror att det skulle gagna Sverige att försöka ha en form av samarbete och disku</w:t>
      </w:r>
      <w:r w:rsidRPr="001B4EC1">
        <w:t>s</w:t>
      </w:r>
      <w:r w:rsidRPr="001B4EC1">
        <w:t>sion ut</w:t>
      </w:r>
      <w:r w:rsidRPr="001B4EC1">
        <w:t>an onödig polar</w:t>
      </w:r>
      <w:r w:rsidRPr="001B4EC1">
        <w:t>i</w:t>
      </w:r>
      <w:r w:rsidRPr="001B4EC1">
        <w:t>sering.</w:t>
      </w:r>
    </w:p>
    <w:p w:rsidR="00252869" w:rsidRPr="001B4EC1" w:rsidRDefault="00252869">
      <w:pPr>
        <w:pStyle w:val="Normaltindrag"/>
      </w:pPr>
      <w:r w:rsidRPr="001B4EC1">
        <w:t>Under 1993–1995 var situationen komplicerad med väldigt stora statsf</w:t>
      </w:r>
      <w:r w:rsidRPr="001B4EC1">
        <w:t>i</w:t>
      </w:r>
      <w:r w:rsidRPr="001B4EC1">
        <w:t>nansiella problem. Då förekom mycket av öppna och uppenbara konfrontati</w:t>
      </w:r>
      <w:r w:rsidRPr="001B4EC1">
        <w:t>o</w:t>
      </w:r>
      <w:r w:rsidRPr="001B4EC1">
        <w:t>ner mellan å ena sidan Riksbanken och Riksbankens ledning och å andra sidan ledande regeringsföreträdare. Han är alldeles övertygad om att detta beskar Riksbankens handlingsutrymme. För att uttalanden skulle få påtagliga effekter på Riksbankens agerande skulle det krävas en betydligt mer probl</w:t>
      </w:r>
      <w:r w:rsidRPr="001B4EC1">
        <w:t>e</w:t>
      </w:r>
      <w:r w:rsidRPr="001B4EC1">
        <w:t>matisk situation eller en kanonad av en helt annan omfattning än hittills, och framför allt skulle det krävas att man började ifrågasätta regelv</w:t>
      </w:r>
      <w:r w:rsidRPr="001B4EC1">
        <w:t xml:space="preserve">erket. </w:t>
      </w:r>
    </w:p>
    <w:p w:rsidR="00252869" w:rsidRPr="001B4EC1" w:rsidRDefault="00252869">
      <w:pPr>
        <w:pStyle w:val="Normaltindrag"/>
      </w:pPr>
      <w:r w:rsidRPr="001B4EC1">
        <w:t>Lars Heikensten ansåg att det var svårt att ange vilken betydelse det har att den som uttalar sig har en viss position i samhället. Självklart är att statsm</w:t>
      </w:r>
      <w:r w:rsidRPr="001B4EC1">
        <w:t>i</w:t>
      </w:r>
      <w:r w:rsidRPr="001B4EC1">
        <w:t>nistern har ett större inflytande än de allra flesta andra på politiken framöver. Det är också uppenbart att finansministern har inflytande över andra delar i den ekonomiska politiken, och det ger finansministern någon typ av särstäl</w:t>
      </w:r>
      <w:r w:rsidRPr="001B4EC1">
        <w:t>l</w:t>
      </w:r>
      <w:r w:rsidRPr="001B4EC1">
        <w:t>ning. Samtidigt kan man tänka sig situationer när uttalanden av oberoende bedömare kan ha en betydande effekt. Skillnaden är att de ledande politiska företrädarna har ett ansvar för hur den nationella ekonomiska politiken u</w:t>
      </w:r>
      <w:r w:rsidRPr="001B4EC1">
        <w:t>t</w:t>
      </w:r>
      <w:r w:rsidRPr="001B4EC1">
        <w:t>vecklas. Det är där distinktionen ligger. Han har int</w:t>
      </w:r>
      <w:r w:rsidRPr="001B4EC1">
        <w:t>e någon önskan att förbj</w:t>
      </w:r>
      <w:r w:rsidRPr="001B4EC1">
        <w:t>u</w:t>
      </w:r>
      <w:r w:rsidRPr="001B4EC1">
        <w:t>da en viss diskussion. Det är enligt riksbankschefen mera en frågeställning för dessa personer själva att överväga om mycket precisa inlägg om penningpol</w:t>
      </w:r>
      <w:r w:rsidRPr="001B4EC1">
        <w:t>i</w:t>
      </w:r>
      <w:r w:rsidRPr="001B4EC1">
        <w:t>tiken gagnar de ambitioner som de har när det gäller landets ekonomiska utvec</w:t>
      </w:r>
      <w:r w:rsidRPr="001B4EC1">
        <w:t>k</w:t>
      </w:r>
      <w:r w:rsidRPr="001B4EC1">
        <w:t>ling.</w:t>
      </w:r>
    </w:p>
    <w:p w:rsidR="00252869" w:rsidRPr="001B4EC1" w:rsidRDefault="00252869">
      <w:pPr>
        <w:pStyle w:val="Rubrik4"/>
        <w:rPr>
          <w:noProof w:val="0"/>
        </w:rPr>
      </w:pPr>
      <w:bookmarkStart w:id="141" w:name="_Toc72648571"/>
      <w:r w:rsidRPr="001B4EC1">
        <w:rPr>
          <w:noProof w:val="0"/>
        </w:rPr>
        <w:t>Utfrågning med statsminister Göran Persson</w:t>
      </w:r>
      <w:bookmarkEnd w:id="141"/>
    </w:p>
    <w:p w:rsidR="00252869" w:rsidRPr="001B4EC1" w:rsidRDefault="00252869">
      <w:r w:rsidRPr="001B4EC1">
        <w:t xml:space="preserve">Utskottet har den 20 april 2004 hållit en utfrågning med statsminister Göran Persson i ärendet, </w:t>
      </w:r>
      <w:r w:rsidRPr="001B4EC1">
        <w:rPr>
          <w:i/>
        </w:rPr>
        <w:t>bilaga B10</w:t>
      </w:r>
      <w:r w:rsidRPr="001B4EC1">
        <w:t>. Statsministern anförde att Riksbanken själ</w:t>
      </w:r>
      <w:r w:rsidRPr="001B4EC1">
        <w:t>v</w:t>
      </w:r>
      <w:r w:rsidRPr="001B4EC1">
        <w:t>ständigt bestämmer räntan efter egna bedömningar utan instruktion från n</w:t>
      </w:r>
      <w:r w:rsidRPr="001B4EC1">
        <w:t>å</w:t>
      </w:r>
      <w:r w:rsidRPr="001B4EC1">
        <w:t xml:space="preserve">gon annan. Instruktionsförbudet förbjuder inte deltagande i offentlig debatt och offentligt samtal om det ändamålsenliga med räntepolitiken, tvärtom. Detta framgår av förarbetena. </w:t>
      </w:r>
    </w:p>
    <w:p w:rsidR="00252869" w:rsidRPr="001B4EC1" w:rsidRDefault="00252869">
      <w:pPr>
        <w:pStyle w:val="Normaltindrag"/>
      </w:pPr>
      <w:r w:rsidRPr="001B4EC1">
        <w:t>Statsministern varnade för en hållning som innebär att Riksbanken sätts på en piedestal som inte kan diskuteras. Det var inte ett demokratiskt eller ek</w:t>
      </w:r>
      <w:r w:rsidRPr="001B4EC1">
        <w:t>o</w:t>
      </w:r>
      <w:r w:rsidRPr="001B4EC1">
        <w:t>nomiskt intresse att hälften av den ekonomiska politiken, nämligen pennin</w:t>
      </w:r>
      <w:r w:rsidRPr="001B4EC1">
        <w:t>g</w:t>
      </w:r>
      <w:r w:rsidRPr="001B4EC1">
        <w:t>politiken, inte skulle få diskuteras. Om han, Leif Pagrotsky eller andra tillfr</w:t>
      </w:r>
      <w:r w:rsidRPr="001B4EC1">
        <w:t>å</w:t>
      </w:r>
      <w:r w:rsidRPr="001B4EC1">
        <w:t>gas om sin syn på räntepolitiken är det klart att de skall ge ett svar. Därmed inte sagt att de har krävt att det ena eller andra skall göras. Han försvarade inte bara rätten utan också skyldigheten för ledande politiker att delta i en debatt om penningpolitiken. Den är alltför viktig för att skötas utan demokr</w:t>
      </w:r>
      <w:r w:rsidRPr="001B4EC1">
        <w:t>a</w:t>
      </w:r>
      <w:r w:rsidRPr="001B4EC1">
        <w:t>tisk grans</w:t>
      </w:r>
      <w:r w:rsidRPr="001B4EC1">
        <w:t>k</w:t>
      </w:r>
      <w:r w:rsidRPr="001B4EC1">
        <w:t>ning.</w:t>
      </w:r>
    </w:p>
    <w:p w:rsidR="00252869" w:rsidRPr="001B4EC1" w:rsidRDefault="00252869">
      <w:pPr>
        <w:pStyle w:val="Normaltindrag"/>
      </w:pPr>
      <w:r w:rsidRPr="001B4EC1">
        <w:t>Regeringen och Riksbanken ä</w:t>
      </w:r>
      <w:r w:rsidRPr="001B4EC1">
        <w:t>r enligt statsministern i viss mening likstäl</w:t>
      </w:r>
      <w:r w:rsidRPr="001B4EC1">
        <w:t>l</w:t>
      </w:r>
      <w:r w:rsidRPr="001B4EC1">
        <w:t>da. Riksbanken styrs av riksdagen, inte regeringen. Regeringen tolereras av riksdagsmajoriteten. På så sätt är de båda organen jä</w:t>
      </w:r>
      <w:r w:rsidRPr="001B4EC1">
        <w:t>m</w:t>
      </w:r>
      <w:r w:rsidRPr="001B4EC1">
        <w:t xml:space="preserve">ställda. </w:t>
      </w:r>
    </w:p>
    <w:p w:rsidR="00252869" w:rsidRPr="001B4EC1" w:rsidRDefault="00252869">
      <w:pPr>
        <w:pStyle w:val="Normaltindrag"/>
      </w:pPr>
      <w:r w:rsidRPr="001B4EC1">
        <w:t>Det finns enligt statsministern ingen som helst anledning att ålägga sig n</w:t>
      </w:r>
      <w:r w:rsidRPr="001B4EC1">
        <w:t>å</w:t>
      </w:r>
      <w:r w:rsidRPr="001B4EC1">
        <w:t>gon annan disciplin än den som följer av instruktionsförbudet.  Statsråden får inte agera på sådant sätt att någon kan få intrycket att de ger instruktioner till Riksbanken. Den är något helt annat än att föra ett samtal om vad en väl avvägd penningpolitik är.</w:t>
      </w:r>
    </w:p>
    <w:p w:rsidR="00252869" w:rsidRPr="001B4EC1" w:rsidRDefault="00252869">
      <w:pPr>
        <w:pStyle w:val="Normaltindrag"/>
      </w:pPr>
      <w:r w:rsidRPr="001B4EC1">
        <w:t>Det är enligt statsministern svårt att hitta ett uttalande från honom om Sv</w:t>
      </w:r>
      <w:r w:rsidRPr="001B4EC1">
        <w:t>e</w:t>
      </w:r>
      <w:r w:rsidRPr="001B4EC1">
        <w:t>riges riksbank före valet 1998. Det var en period av förtroendebyggande. Han kan i dag ha synpunkter på penningpolitiken, men han var mycket medveten om att när svensk penningpolitik bedöms finns det fortfarande på marknaden en koppling bakåt till den tid då de offentliga finanserna missköttes. Instru</w:t>
      </w:r>
      <w:r w:rsidRPr="001B4EC1">
        <w:t>k</w:t>
      </w:r>
      <w:r w:rsidRPr="001B4EC1">
        <w:t xml:space="preserve">tionsförbudet skall vårdas. Det skall finnas ett öppet samtal och ett analytiskt resonemang. </w:t>
      </w:r>
    </w:p>
    <w:p w:rsidR="00252869" w:rsidRPr="001B4EC1" w:rsidRDefault="00252869">
      <w:pPr>
        <w:pStyle w:val="Normaltindrag"/>
      </w:pPr>
      <w:r w:rsidRPr="001B4EC1">
        <w:t xml:space="preserve">Åren 1994–1998 då landet var ekonomiskt sönderkört och det fanns en djup misstro på internationella marknader var </w:t>
      </w:r>
      <w:r w:rsidRPr="001B4EC1">
        <w:t>det ett annat läge. I det läget fanns inget utrymme att ha en uppfattning om hur penningpolitiken bedrevs. Det hade inte he</w:t>
      </w:r>
      <w:r w:rsidRPr="001B4EC1">
        <w:t>l</w:t>
      </w:r>
      <w:r w:rsidRPr="001B4EC1">
        <w:t>ler regeringsledamöterna.</w:t>
      </w:r>
    </w:p>
    <w:p w:rsidR="00252869" w:rsidRPr="001B4EC1" w:rsidRDefault="00252869">
      <w:pPr>
        <w:pStyle w:val="Normaltindrag"/>
      </w:pPr>
      <w:r w:rsidRPr="001B4EC1">
        <w:t>I dagens starka läge med en av Europas mest välskötta ekonomier, under den senaste tioårsperioden en bättre tillväxt än till och med USA, stabila statsfinanser, låg inflation, långa avtal på arbetsmarknaden och gigantiska överskott i bytesbalansen kan statsråden naturligtvis ha en uppfattning om penningpol</w:t>
      </w:r>
      <w:r w:rsidRPr="001B4EC1">
        <w:t>i</w:t>
      </w:r>
      <w:r w:rsidRPr="001B4EC1">
        <w:t>tiken. Det vore mycket märkligt annars.</w:t>
      </w:r>
    </w:p>
    <w:p w:rsidR="00252869" w:rsidRPr="001B4EC1" w:rsidRDefault="00252869">
      <w:pPr>
        <w:pStyle w:val="Normaltindrag"/>
      </w:pPr>
      <w:r w:rsidRPr="001B4EC1">
        <w:t>Det finns påståenden om att bara för att statsministern, Leif Pagrotsky eller någon moderat ekonomisk talesman har synpunkter på penningpolitiken måste Riksbanken fatta ett ologiskt beslut för att visa att man är självständig. Om så vore fallet har Sverige en för svag riksbank. Riksbanken är inte för svag. Där klarar man mycket väl av att både sortera statsrådens argument och lyssna på internationella signaler och göra en egen analys utan att man för den skull på någ</w:t>
      </w:r>
      <w:r w:rsidRPr="001B4EC1">
        <w:t>ot sätt kommer i konflikt med instruktionsförbudet. Man får inte agera på sådant sätt att det kan sättas i tvivel att instruktionsförbudet iakttas. Detta är viktigt, men möjligheterna att delta i debatten och utbyta synpunkter vill han däremot försvara till det yttersta. Att nu inte – när landet är i ett  sådant styrkeläge att det inte påverkar räntesättningen –  kunna diskutera om Riksbanken lever upp till sitt mandat att sätta den räntan på rätt sätt vore en oerhörd demokratisk fö</w:t>
      </w:r>
      <w:r w:rsidRPr="001B4EC1">
        <w:t>r</w:t>
      </w:r>
      <w:r w:rsidRPr="001B4EC1">
        <w:t xml:space="preserve">lust. </w:t>
      </w:r>
    </w:p>
    <w:p w:rsidR="00252869" w:rsidRPr="001B4EC1" w:rsidRDefault="00252869">
      <w:pPr>
        <w:pStyle w:val="Normaltindrag"/>
      </w:pPr>
      <w:r w:rsidRPr="001B4EC1">
        <w:t>Statsministern an</w:t>
      </w:r>
      <w:r w:rsidRPr="001B4EC1">
        <w:t>såg att man från Riksbankens sida borde ta upp minis</w:t>
      </w:r>
      <w:r w:rsidRPr="001B4EC1">
        <w:t>t</w:t>
      </w:r>
      <w:r w:rsidRPr="001B4EC1">
        <w:t>rarnas synpunkter i sina tal. I talen kan t.ex. uttryckas  synpunkten att mini</w:t>
      </w:r>
      <w:r w:rsidRPr="001B4EC1">
        <w:t>s</w:t>
      </w:r>
      <w:r w:rsidRPr="001B4EC1">
        <w:t>tern inte begriper det här och man kan säga att Riksbanken har ansvaret för detta och tänker driva en linje av ett visst slag. Så får positionerna brytas. I protokollen från Riksbankens möten kan man för övrigt se att alla de sy</w:t>
      </w:r>
      <w:r w:rsidRPr="001B4EC1">
        <w:t>n</w:t>
      </w:r>
      <w:r w:rsidRPr="001B4EC1">
        <w:t>punkter som ministrarna fört fram egentligen finns representerade i den d</w:t>
      </w:r>
      <w:r w:rsidRPr="001B4EC1">
        <w:t>i</w:t>
      </w:r>
      <w:r w:rsidRPr="001B4EC1">
        <w:t>rektionen. Sedan skall direktionen väga ihop ett beslut. Vad detta resulterar</w:t>
      </w:r>
      <w:r w:rsidRPr="001B4EC1">
        <w:t xml:space="preserve"> i framöver hade statsministern ingen uppfattning om, men han förbehöll sig rätten att delta i debatten och han försvarade att alla kan ha synpunkter också på penningpolit</w:t>
      </w:r>
      <w:r w:rsidRPr="001B4EC1">
        <w:t>i</w:t>
      </w:r>
      <w:r w:rsidRPr="001B4EC1">
        <w:t>ken.</w:t>
      </w:r>
    </w:p>
    <w:p w:rsidR="00252869" w:rsidRPr="001B4EC1" w:rsidRDefault="00252869">
      <w:pPr>
        <w:pStyle w:val="Normaltindrag"/>
      </w:pPr>
      <w:r w:rsidRPr="001B4EC1">
        <w:t>Han och Leif Pagrotsky har aldrig bytt synpunkter på det här området utom möjligen någon gång i en kaffeautomatskö.</w:t>
      </w:r>
    </w:p>
    <w:p w:rsidR="00252869" w:rsidRPr="001B4EC1" w:rsidRDefault="00252869">
      <w:pPr>
        <w:pStyle w:val="Normaltindrag"/>
      </w:pPr>
      <w:r w:rsidRPr="001B4EC1">
        <w:t>Han noterade också att de kanske mest tydliga debattörerna kring pennin</w:t>
      </w:r>
      <w:r w:rsidRPr="001B4EC1">
        <w:t>g</w:t>
      </w:r>
      <w:r w:rsidRPr="001B4EC1">
        <w:t>politiken i Sverige inte är representanter för det politiska livet. Det är repr</w:t>
      </w:r>
      <w:r w:rsidRPr="001B4EC1">
        <w:t>e</w:t>
      </w:r>
      <w:r w:rsidRPr="001B4EC1">
        <w:t>sentanter för de avtalsslutande parterna – det gäller såväl fackföreningar som arbetsgivare – som tycker att de har träffat avtal som mycket väl möjliggör lägre räntor. Det uttrycks en kritik på det området, inte minst genom LO:s försorg. Han delade inte den kritiken i alla delar, men försvarade deras rätt att framföra den.  Det principiellt intressanta är om ministrarna har rätt att delta i ett samtal eller en debatt. Den rätt</w:t>
      </w:r>
      <w:r w:rsidRPr="001B4EC1">
        <w:t>en har man, men självklart inte att ge i</w:t>
      </w:r>
      <w:r w:rsidRPr="001B4EC1">
        <w:t>n</w:t>
      </w:r>
      <w:r w:rsidRPr="001B4EC1">
        <w:t>struktioner. Riksbanken är trovärdig och klarar självklart att ta beslut även om regeringsledamöter deltar i debatten. Om den inte skulle orka att fatta beslut bara för att politiker har en uppfattning är den för svag. Direktionen har ko</w:t>
      </w:r>
      <w:r w:rsidRPr="001B4EC1">
        <w:t>n</w:t>
      </w:r>
      <w:r w:rsidRPr="001B4EC1">
        <w:t>stitutionellt en sådan ställning att den inte skall behöva reflektera över detta.</w:t>
      </w:r>
    </w:p>
    <w:p w:rsidR="00252869" w:rsidRPr="001B4EC1" w:rsidRDefault="00252869">
      <w:pPr>
        <w:pStyle w:val="Normaltindrag"/>
      </w:pPr>
      <w:r w:rsidRPr="001B4EC1">
        <w:t>Man får inte göra Riksbankens direktion till något annat än vad den är. Den är ett sällsynt mäktigt kraftcentrum i svensk ekonomisk politik med stor sj</w:t>
      </w:r>
      <w:r w:rsidRPr="001B4EC1">
        <w:t>älvständighet och stor integritet, och därmed ger det dem som står utanför anledning att föra ett samtal om vad som pågår. Om det blir fel i penningpol</w:t>
      </w:r>
      <w:r w:rsidRPr="001B4EC1">
        <w:t>i</w:t>
      </w:r>
      <w:r w:rsidRPr="001B4EC1">
        <w:t>tiken – och det kan bli fel – får det förödande direkta konsekvenser för landet och landets utveckling.</w:t>
      </w:r>
    </w:p>
    <w:p w:rsidR="00252869" w:rsidRPr="001B4EC1" w:rsidRDefault="00252869">
      <w:pPr>
        <w:pStyle w:val="Normaltindrag"/>
      </w:pPr>
      <w:r w:rsidRPr="001B4EC1">
        <w:t>Statsministern vände sig med kraft mot tanken på att en president i USA eller en statsminister i Sverige inte skulle få uttala sig om den reala ekonomin.</w:t>
      </w:r>
    </w:p>
    <w:p w:rsidR="00252869" w:rsidRPr="001B4EC1" w:rsidRDefault="00252869">
      <w:pPr>
        <w:pStyle w:val="Normaltindrag"/>
      </w:pPr>
      <w:r w:rsidRPr="001B4EC1">
        <w:t>Han har aldrig ställt krav på en förändring när det gäller räntorna, men självständigheten, instruktionsförbudet, omöjliggör inte – enligt förarbetena och därmed också riksdagens uppfattning – att statsråd deltar i en debatt om hur penningpolitiken bedrivs. Det vore absurt om de inte fick diskutera det Riksbanken gör, men det är fel när de försöker ge Riksbanken instruktioner. Det är det ingen som har gjort.</w:t>
      </w:r>
    </w:p>
    <w:p w:rsidR="00252869" w:rsidRPr="001B4EC1" w:rsidRDefault="00252869">
      <w:pPr>
        <w:pStyle w:val="Normaltindrag"/>
      </w:pPr>
      <w:r w:rsidRPr="001B4EC1">
        <w:t>Riksbanken är en högst mänsklig institution som har fått ramar av Sveriges riksdag i en demokrati. Riksbanken nu har sådant självförtroende och sådan öppenhet att direktionen redovisar sina diskussioner. Det är alldeles utmärkt. Man kanske i diskussionerna kan säga att nu har de varit ute från regeringen och pratat. Pagrotsky tycker en halv procent. Då kanske någon från direkti</w:t>
      </w:r>
      <w:r w:rsidRPr="001B4EC1">
        <w:t>o</w:t>
      </w:r>
      <w:r w:rsidRPr="001B4EC1">
        <w:t>nen säger att han  eller hon också tycker att det är lämpligt och en annan säger att det inte är det. Så  kan väl diskussionen föras fram och tillb</w:t>
      </w:r>
      <w:r w:rsidRPr="001B4EC1">
        <w:t>a</w:t>
      </w:r>
      <w:r w:rsidRPr="001B4EC1">
        <w:t>ka.</w:t>
      </w:r>
    </w:p>
    <w:p w:rsidR="00252869" w:rsidRPr="001B4EC1" w:rsidRDefault="00252869">
      <w:pPr>
        <w:pStyle w:val="Normaltindrag"/>
      </w:pPr>
      <w:r w:rsidRPr="001B4EC1">
        <w:t>På fråga var statsministern ansåg att gränsen mellan ett uttalande och i</w:t>
      </w:r>
      <w:r w:rsidRPr="001B4EC1">
        <w:t>n</w:t>
      </w:r>
      <w:r w:rsidRPr="001B4EC1">
        <w:t xml:space="preserve">struktion går svarade statsministern att det var omöjligt att svara på. Om Riksbankens ledning uppfattar att den har fått ett direktiv som den dessutom följer har gränsen naturligtvis överskridits. Om ett uttalande uppfattas som en instruktion är det kontraproduktivt. </w:t>
      </w:r>
    </w:p>
    <w:p w:rsidR="00252869" w:rsidRPr="001B4EC1" w:rsidRDefault="00252869">
      <w:pPr>
        <w:pStyle w:val="Normaltindrag"/>
      </w:pPr>
      <w:r w:rsidRPr="001B4EC1">
        <w:t>Statsministern trodde att ju intensivare, friskare och frimodigare debatten blir, desto större blir utrymmet för Riksbanken att själv fatta beslut. Om det bara är en enda politiker som någon enda gång säger något blir det en sens</w:t>
      </w:r>
      <w:r w:rsidRPr="001B4EC1">
        <w:t>a</w:t>
      </w:r>
      <w:r w:rsidRPr="001B4EC1">
        <w:t>tion. Men också för andra partier än regeringspartiet är penningpolitiken nog en ohyggligt viktig del av den ekonomiska politiken. Då kan de självklart ha uppfattningar om den utan att låtsas att det är en instruktion till Riksbanken, för det är det inte. För övrigt kan noteras att man överallt i europeisk debatt för de här samtalen utan någon skammens rodnad.</w:t>
      </w:r>
    </w:p>
    <w:p w:rsidR="00252869" w:rsidRPr="001B4EC1" w:rsidRDefault="00252869">
      <w:pPr>
        <w:pStyle w:val="Rubrik3"/>
        <w:rPr>
          <w:b w:val="0"/>
          <w:noProof w:val="0"/>
        </w:rPr>
      </w:pPr>
      <w:bookmarkStart w:id="142" w:name="_Toc72648572"/>
      <w:r w:rsidRPr="001B4EC1">
        <w:rPr>
          <w:noProof w:val="0"/>
        </w:rPr>
        <w:t>Utskottets ställningstagande</w:t>
      </w:r>
      <w:bookmarkEnd w:id="142"/>
    </w:p>
    <w:p w:rsidR="00252869" w:rsidRPr="001B4EC1" w:rsidRDefault="00252869">
      <w:r w:rsidRPr="001B4EC1">
        <w:t>Både statministern och näringsministern har i skilda sammanhang fällt lika</w:t>
      </w:r>
      <w:r w:rsidRPr="001B4EC1">
        <w:t>r</w:t>
      </w:r>
      <w:r w:rsidRPr="001B4EC1">
        <w:t>tade uttalanden om behovet av att Riksbanken sänker räntan. Som en u</w:t>
      </w:r>
      <w:r w:rsidRPr="001B4EC1">
        <w:t>t</w:t>
      </w:r>
      <w:r w:rsidRPr="001B4EC1">
        <w:t>gångspunkt konstaterar utskottet liksom vid tidigare granskningar som rört uttalanden av statsråd att statsråd i likhet med andra medborgare har rätt att göra uttalanden i olika sammanhang. Utskottet har dock också ansett att vissa särskilda hänsyn kan behöva tas, bl.a. kan auktoritativa uttalanden av statsråd i enskilda fall skapa risk för att den självständighet som enligt regeringsfo</w:t>
      </w:r>
      <w:r w:rsidRPr="001B4EC1">
        <w:t>r</w:t>
      </w:r>
      <w:r w:rsidRPr="001B4EC1">
        <w:t>men skall tillkomma domstolar och förvaltningsmyndig</w:t>
      </w:r>
      <w:r w:rsidRPr="001B4EC1">
        <w:t>heter äventyras. R</w:t>
      </w:r>
      <w:r w:rsidRPr="001B4EC1">
        <w:t>e</w:t>
      </w:r>
      <w:r w:rsidRPr="001B4EC1">
        <w:t>geringsformen innehåller numera en särskild bestämmelse som skall tillfö</w:t>
      </w:r>
      <w:r w:rsidRPr="001B4EC1">
        <w:t>r</w:t>
      </w:r>
      <w:r w:rsidRPr="001B4EC1">
        <w:t>säkra Riksbanken ett liknande oberoende i fråga om bankens utövande av penningpolitiken. Som utskottet tidigare anfört ger detta anledning för stat</w:t>
      </w:r>
      <w:r w:rsidRPr="001B4EC1">
        <w:t>s</w:t>
      </w:r>
      <w:r w:rsidRPr="001B4EC1">
        <w:t xml:space="preserve">råd att ta särskilda hänsyn även i fråga om uttalanden som berör detta ämne. </w:t>
      </w:r>
    </w:p>
    <w:p w:rsidR="00252869" w:rsidRPr="001B4EC1" w:rsidRDefault="00252869">
      <w:pPr>
        <w:pStyle w:val="Normaltindrag"/>
      </w:pPr>
      <w:r w:rsidRPr="001B4EC1">
        <w:t xml:space="preserve">Utskottet vill åter understryka behovet av särskild hänsyn när det gäller statsråds uttalanden om penningpolitiken. Det är enligt utskottets mening angeläget att ledamöter av regeringen med god </w:t>
      </w:r>
      <w:r w:rsidRPr="001B4EC1">
        <w:t>marginal beaktar instruktion</w:t>
      </w:r>
      <w:r w:rsidRPr="001B4EC1">
        <w:t>s</w:t>
      </w:r>
      <w:r w:rsidRPr="001B4EC1">
        <w:t>förbudet om de gör uttalanden om penningpol</w:t>
      </w:r>
      <w:r w:rsidRPr="001B4EC1">
        <w:t>i</w:t>
      </w:r>
      <w:r w:rsidRPr="001B4EC1">
        <w:t>tiken.</w:t>
      </w:r>
    </w:p>
    <w:p w:rsidR="00252869" w:rsidRPr="001B4EC1" w:rsidRDefault="00252869">
      <w:pPr>
        <w:pStyle w:val="Rubrik2"/>
      </w:pPr>
      <w:bookmarkStart w:id="143" w:name="_Toc72648573"/>
      <w:r w:rsidRPr="001B4EC1">
        <w:t>5.2 Fråga om ministerstyre i ett asylärende</w:t>
      </w:r>
      <w:bookmarkEnd w:id="143"/>
    </w:p>
    <w:p w:rsidR="00252869" w:rsidRPr="001B4EC1" w:rsidRDefault="00252869">
      <w:pPr>
        <w:pStyle w:val="Rubrik3"/>
        <w:spacing w:before="235"/>
        <w:rPr>
          <w:noProof w:val="0"/>
        </w:rPr>
      </w:pPr>
      <w:bookmarkStart w:id="144" w:name="_Toc72648574"/>
      <w:r w:rsidRPr="001B4EC1">
        <w:rPr>
          <w:noProof w:val="0"/>
        </w:rPr>
        <w:t>Anmälan</w:t>
      </w:r>
      <w:bookmarkEnd w:id="144"/>
    </w:p>
    <w:p w:rsidR="00252869" w:rsidRPr="001B4EC1" w:rsidRDefault="00252869">
      <w:r w:rsidRPr="001B4EC1">
        <w:t xml:space="preserve">I en anmälan, </w:t>
      </w:r>
      <w:r w:rsidRPr="001B4EC1">
        <w:rPr>
          <w:i/>
        </w:rPr>
        <w:t xml:space="preserve">bilaga A5.2.1, </w:t>
      </w:r>
      <w:r w:rsidRPr="001B4EC1">
        <w:t>har</w:t>
      </w:r>
      <w:r w:rsidRPr="001B4EC1">
        <w:rPr>
          <w:i/>
        </w:rPr>
        <w:t xml:space="preserve"> </w:t>
      </w:r>
      <w:r w:rsidRPr="001B4EC1">
        <w:t>begärts att konstitutionsutskottet granskar frågan om ministerstyre i ett enskilt asylärende. I anmälan hänvisas till en artikel på Expressens debattsida den 15 juli 2003 av ledamoten i Utlänning</w:t>
      </w:r>
      <w:r w:rsidRPr="001B4EC1">
        <w:t>s</w:t>
      </w:r>
      <w:r w:rsidRPr="001B4EC1">
        <w:t>nämnden Ann-Margret Mossberg. I artikeln beskrevs ett möte mellan Utlä</w:t>
      </w:r>
      <w:r w:rsidRPr="001B4EC1">
        <w:t>n</w:t>
      </w:r>
      <w:r w:rsidRPr="001B4EC1">
        <w:t>ningsnämndens beslutsfattare och dåvarande migrationsministern Jan O. Karlsson, då denne, beträffande partiledarnas vädjan för att Nadina Imam</w:t>
      </w:r>
      <w:r w:rsidRPr="001B4EC1">
        <w:t>o</w:t>
      </w:r>
      <w:r w:rsidRPr="001B4EC1">
        <w:t>vics fall skulle överlämnas till regeringen, skulle ha angett att det var de</w:t>
      </w:r>
      <w:r w:rsidRPr="001B4EC1">
        <w:t>s</w:t>
      </w:r>
      <w:r w:rsidRPr="001B4EC1">
        <w:t>avouer</w:t>
      </w:r>
      <w:r w:rsidRPr="001B4EC1">
        <w:t>ande för nämnden när partiledare yttrade sig i enskilda fall. Enligt Ann-Margret Mossberg underkände ministern därmed de argument som sy</w:t>
      </w:r>
      <w:r w:rsidRPr="001B4EC1">
        <w:t>f</w:t>
      </w:r>
      <w:r w:rsidRPr="001B4EC1">
        <w:t>tade till att ge flickan fristad i Sverige och uppmanade indirekt nämnden att fatta ett visst beslut. Anmälaren hänvisade också till en artikel i september 2003 av Bo Strömstedt</w:t>
      </w:r>
      <w:r w:rsidRPr="001B4EC1">
        <w:rPr>
          <w:i/>
        </w:rPr>
        <w:t xml:space="preserve"> </w:t>
      </w:r>
      <w:r w:rsidRPr="001B4EC1">
        <w:t>som vände sig emot att statsministern den 2 augusti  2003, under den tid frågan om överlämnande prövades, uttalat i Aftonbladet: ”Vi tar inte det här till regeringen”, vilket enligt Bo Strömstedt i</w:t>
      </w:r>
      <w:r w:rsidRPr="001B4EC1">
        <w:t>nnebar att Göran Persson försökte ge Regeringsrätten en anvisning om hur den borde handla, ”ett oblygt försök till ministerstyre”.</w:t>
      </w:r>
    </w:p>
    <w:p w:rsidR="00252869" w:rsidRPr="001B4EC1" w:rsidRDefault="00252869">
      <w:pPr>
        <w:pStyle w:val="Rubrik3"/>
        <w:rPr>
          <w:noProof w:val="0"/>
        </w:rPr>
      </w:pPr>
      <w:bookmarkStart w:id="145" w:name="_Toc72648575"/>
      <w:r w:rsidRPr="001B4EC1">
        <w:rPr>
          <w:noProof w:val="0"/>
        </w:rPr>
        <w:t>Bakgrund</w:t>
      </w:r>
      <w:bookmarkEnd w:id="145"/>
    </w:p>
    <w:p w:rsidR="00252869" w:rsidRPr="001B4EC1" w:rsidRDefault="00252869">
      <w:r w:rsidRPr="001B4EC1">
        <w:t>En bakgrundsbeskrivning av de aktuella asylärendet redovisas i Utlänning</w:t>
      </w:r>
      <w:r w:rsidRPr="001B4EC1">
        <w:t>s</w:t>
      </w:r>
      <w:r w:rsidRPr="001B4EC1">
        <w:t xml:space="preserve">nämndens beslut den 4 juli 2003, </w:t>
      </w:r>
      <w:r w:rsidRPr="001B4EC1">
        <w:rPr>
          <w:i/>
        </w:rPr>
        <w:t>bilaga A5.2.2</w:t>
      </w:r>
      <w:r w:rsidRPr="001B4EC1">
        <w:t>.</w:t>
      </w:r>
    </w:p>
    <w:p w:rsidR="00252869" w:rsidRPr="001B4EC1" w:rsidRDefault="00252869">
      <w:pPr>
        <w:pStyle w:val="Normaltindrag"/>
      </w:pPr>
      <w:r w:rsidRPr="001B4EC1">
        <w:t>Nadinas familj har i sin strävan att ge vård för hennes svåra handikapp sökt hjälp från början i hemlandet och därefter USA. Hösten 2000 besökte hon tillsammans med sin mor Sverige för att genomgå en läkarundersökning. Läkarundersökningen genomfördes inte och familjen återvände hem. Efter besked från Nedirafonden i Sverige om att fonden beslutat bekosta en unde</w:t>
      </w:r>
      <w:r w:rsidRPr="001B4EC1">
        <w:t>r</w:t>
      </w:r>
      <w:r w:rsidRPr="001B4EC1">
        <w:t>sökning reste mor och dotter åter till Sverige den 26 februari 2001 och a</w:t>
      </w:r>
      <w:r w:rsidRPr="001B4EC1">
        <w:t>n</w:t>
      </w:r>
      <w:r w:rsidRPr="001B4EC1">
        <w:t xml:space="preserve">sökte om asyl den 25 mars. Den 4 oktober 2001 avslog Migrationsverket ansökan från mor och dotter, och Utlänningsnämnden fastställde beslutet den 17 januari 2002. Nya ansökningar från mor och dotter avslogs åter den 30 maj, den 13 juni, den 26 juni och den 1 augusti 2002. Den 9 augusti 2002 avskrev verket ansökningar då de båda registrerats som avvikna den 28 juni 2002 och det ansågs troligt att de var utresta. </w:t>
      </w:r>
    </w:p>
    <w:p w:rsidR="00252869" w:rsidRPr="001B4EC1" w:rsidRDefault="00252869">
      <w:pPr>
        <w:pStyle w:val="Normaltindrag"/>
      </w:pPr>
      <w:r w:rsidRPr="001B4EC1">
        <w:t xml:space="preserve">Familjen ansökte den </w:t>
      </w:r>
      <w:r w:rsidRPr="001B4EC1">
        <w:t xml:space="preserve">29 augusti 2002 på nytt om asyl. I hemlandet fanns fadern kvar. Den 22 november 2002 framhölls i ett uttalande av Alf Svensson, </w:t>
      </w:r>
      <w:r w:rsidRPr="001B4EC1">
        <w:rPr>
          <w:i/>
        </w:rPr>
        <w:t xml:space="preserve">bilaga A5.2.3, </w:t>
      </w:r>
      <w:r w:rsidRPr="001B4EC1">
        <w:t xml:space="preserve"> att sex av riksdagens sju partiers ledningar – m, fp, kd, v, c och mp – under den gångna veckan vädjat till myndigheten att låta den sy</w:t>
      </w:r>
      <w:r w:rsidRPr="001B4EC1">
        <w:t>n</w:t>
      </w:r>
      <w:r w:rsidRPr="001B4EC1">
        <w:t>skadade flickan få stanna. Uttalandet fortsatte bl.a. med: ”Vi vädjar nu till invandrarmyndigheterna att omedelbart överlämna ärendet till regeringen.” Den 22 november 2002 beslutade Migrationsverket om avvisning. I ett gemensamt ut</w:t>
      </w:r>
      <w:r w:rsidRPr="001B4EC1">
        <w:t>talande den 5 december 2002 framförde ledarna för de fyra borgerliga riksdagspartierna (m, fp, kd och c) att regeringen borde överta ärendet för prövning</w:t>
      </w:r>
      <w:r w:rsidRPr="001B4EC1">
        <w:rPr>
          <w:i/>
        </w:rPr>
        <w:t>.</w:t>
      </w:r>
      <w:r w:rsidRPr="001B4EC1">
        <w:t xml:space="preserve"> Den 4 juli 2003 avslog Utlänningsnämnden överklaga</w:t>
      </w:r>
      <w:r w:rsidRPr="001B4EC1">
        <w:t>n</w:t>
      </w:r>
      <w:r w:rsidRPr="001B4EC1">
        <w:t>det. Begäran om resning avslogs av Kammarrätten i Stockholm den 17 juli 2003. Frågan ligger hos Regeringsrätten som ännu inte avgjort ärendet. Den 14 augusti och den 10 september 2003 avslog Utlänningsnämnden åter s.k. nya ansökningar om uppehållstillstånd. Den 12 september 2003 lämnade familjen Sv</w:t>
      </w:r>
      <w:r w:rsidRPr="001B4EC1">
        <w:t>e</w:t>
      </w:r>
      <w:r w:rsidRPr="001B4EC1">
        <w:t>rige.</w:t>
      </w:r>
    </w:p>
    <w:p w:rsidR="00252869" w:rsidRPr="001B4EC1" w:rsidRDefault="00252869">
      <w:pPr>
        <w:pStyle w:val="R3"/>
      </w:pPr>
      <w:r w:rsidRPr="001B4EC1">
        <w:t>Gällande regler</w:t>
      </w:r>
    </w:p>
    <w:p w:rsidR="00252869" w:rsidRPr="001B4EC1" w:rsidRDefault="00252869">
      <w:r w:rsidRPr="001B4EC1">
        <w:t>Enlig 7 kap. 11 § 4 utlänningslagen (1989:529) får Migrationsverket eller Utlänningsnämnden med eget yttrande överlämna ett ärende till regeringen för avgörande om det bedöms vara av synnerlig vikt för ledning av utlä</w:t>
      </w:r>
      <w:r w:rsidRPr="001B4EC1">
        <w:t>n</w:t>
      </w:r>
      <w:r w:rsidRPr="001B4EC1">
        <w:t xml:space="preserve">ningslagens tillämpning och  ärendet inte avser en s.k. ny ansökan. (Med nya ansökningar avses i detta sammanhang nya ansökningar innan sökanden lämnat landet. Återkommer den sökande till landet efter vistelse utomlands och på nytt ansöker om uppehållstillstånd uppstår ett nytt grundärende.) </w:t>
      </w:r>
    </w:p>
    <w:p w:rsidR="00252869" w:rsidRPr="001B4EC1" w:rsidRDefault="00252869">
      <w:pPr>
        <w:pStyle w:val="Normaltindrag"/>
      </w:pPr>
      <w:r w:rsidRPr="001B4EC1">
        <w:t>Denna bestämmelse öppnar enligt förarbetena (prop. 1996/97:25) en mö</w:t>
      </w:r>
      <w:r w:rsidRPr="001B4EC1">
        <w:t>j</w:t>
      </w:r>
      <w:r w:rsidRPr="001B4EC1">
        <w:t xml:space="preserve">lighet för överlämnande av ärenden som har prejudikatsbetydelse men som är av så speciellt slag att de inte lämpar sig för förordningsmetoden. Möjligheten att överlämna ärenden enligt denna punkt borde enligt propositionen utnyttjas med restriktivitet. </w:t>
      </w:r>
    </w:p>
    <w:p w:rsidR="00252869" w:rsidRPr="001B4EC1" w:rsidRDefault="00252869">
      <w:pPr>
        <w:pStyle w:val="Normaltindrag"/>
      </w:pPr>
      <w:r w:rsidRPr="001B4EC1">
        <w:t xml:space="preserve">Den nya lydelsen av 7 kap. 11 § utlänningslagen infördes den 1 juli 1997 (prop. 1996/97:25, bet. 1996/97:SfU5). Möjligheterna för Migrationsverket och Utlänningsnämnden att överlämna utlänningsärenden inskränktes, enligt propositionen, eftersom regeringens </w:t>
      </w:r>
      <w:r w:rsidRPr="001B4EC1">
        <w:t>styrning av rättstillämpningen i första hand bör ske genom förordning (förordningsmetoden). Möjligheten att öve</w:t>
      </w:r>
      <w:r w:rsidRPr="001B4EC1">
        <w:t>r</w:t>
      </w:r>
      <w:r w:rsidRPr="001B4EC1">
        <w:t xml:space="preserve">lämna ärenden till regeringen begränsades till grundärenden. </w:t>
      </w:r>
    </w:p>
    <w:p w:rsidR="00252869" w:rsidRPr="001B4EC1" w:rsidRDefault="00252869">
      <w:pPr>
        <w:pStyle w:val="Rubrik3"/>
        <w:rPr>
          <w:noProof w:val="0"/>
        </w:rPr>
      </w:pPr>
      <w:bookmarkStart w:id="146" w:name="_Toc72648576"/>
      <w:r w:rsidRPr="001B4EC1">
        <w:rPr>
          <w:noProof w:val="0"/>
        </w:rPr>
        <w:t>Promemoria från Utrikesdepartementet</w:t>
      </w:r>
      <w:bookmarkEnd w:id="146"/>
    </w:p>
    <w:p w:rsidR="00252869" w:rsidRPr="001B4EC1" w:rsidRDefault="00252869">
      <w:r w:rsidRPr="001B4EC1">
        <w:t>Som svar på frågor från konstitutionsutskottet har Utrikesdepartementet i en promemoria (</w:t>
      </w:r>
      <w:r w:rsidRPr="001B4EC1">
        <w:rPr>
          <w:i/>
        </w:rPr>
        <w:t>bilaga A5.2.4</w:t>
      </w:r>
      <w:r w:rsidRPr="001B4EC1">
        <w:t>) anfört att f.d. statsrådet Jan O. Karlsson ko</w:t>
      </w:r>
      <w:r w:rsidRPr="001B4EC1">
        <w:t>m</w:t>
      </w:r>
      <w:r w:rsidRPr="001B4EC1">
        <w:t xml:space="preserve">menterat det förhållandet att ledningarna för riksdagspartierna vädjat om att Utlänningsnämnden skulle överlämna ett asylärende till regeringens prövning. Han hade då uttalat sig om Utlänningsnämndens ställning när partiledare yttrar sig i enskilda fall. Vid den tiden var det aktuella asylärendet föremål för prövning i Utlänningsnämnden. Syftet med detta uttalande var endast att understryka att Utlänningsnämndens grundlagsskyddade självständighet </w:t>
      </w:r>
      <w:r w:rsidRPr="001B4EC1">
        <w:t>gäller både i förhållande till regeringen och riksdagen.</w:t>
      </w:r>
    </w:p>
    <w:p w:rsidR="00252869" w:rsidRPr="001B4EC1" w:rsidRDefault="00252869">
      <w:pPr>
        <w:pStyle w:val="Normaltindrag"/>
      </w:pPr>
      <w:r w:rsidRPr="001B4EC1">
        <w:t>Vidare anges i promemorian att statsministern genom sitt uttalande ”Vi tar inte det här beslutet till regeringen” redovisat att regeringen enligt gällande regler inte skall pröva ett asylärende när ärendet inte har överlämnats till regeringen. Vid tidpunkten för kommentaren var en resningsansökan i ärendet föremål för prövning i Regeringsrätten. Statsministerns uttalande utgjorde enligt promemorian en kommentar till det förhållandet att regeringen int</w:t>
      </w:r>
      <w:r w:rsidRPr="001B4EC1">
        <w:t>e kan ta ställning till en fråga i ett enskilt asylärende som inte har överlämnats till regeringen enligt de förutsättningar som anges i utlänningslagen.</w:t>
      </w:r>
    </w:p>
    <w:p w:rsidR="00252869" w:rsidRPr="001B4EC1" w:rsidRDefault="00252869">
      <w:pPr>
        <w:pStyle w:val="Normaltindrag"/>
      </w:pPr>
      <w:r w:rsidRPr="001B4EC1">
        <w:t>Uttalandena innebär enligt promemorian inte att f.d. statsrådet Jan O. Karlsson eller statsministern har bestämt eller avsett att bestämma hur Utlä</w:t>
      </w:r>
      <w:r w:rsidRPr="001B4EC1">
        <w:t>n</w:t>
      </w:r>
      <w:r w:rsidRPr="001B4EC1">
        <w:t>ningsnämnden eller någon annan myndighet skall besluta. Uttalandena är inte heller sådana att de av berörda myndigheter ens skulle kunna uppfattas som direktiv till dem att förfara på ett visst sätt. De kan därför enligt promemorian inte anses strida mot 11 kap. 2 eller 7 §§ regeringsformen.</w:t>
      </w:r>
    </w:p>
    <w:p w:rsidR="00252869" w:rsidRPr="001B4EC1" w:rsidRDefault="00252869">
      <w:pPr>
        <w:pStyle w:val="Rubrik4"/>
        <w:rPr>
          <w:noProof w:val="0"/>
        </w:rPr>
      </w:pPr>
      <w:bookmarkStart w:id="147" w:name="_Toc72648577"/>
      <w:r w:rsidRPr="001B4EC1">
        <w:rPr>
          <w:noProof w:val="0"/>
        </w:rPr>
        <w:t>Utfrågning med f.d. statsrådet Jan O. Karlsson</w:t>
      </w:r>
      <w:bookmarkEnd w:id="147"/>
    </w:p>
    <w:p w:rsidR="00252869" w:rsidRPr="001B4EC1" w:rsidRDefault="00252869">
      <w:r w:rsidRPr="001B4EC1">
        <w:t>Utskottet har den 23 mars 2004 hållit en utfrågning med statsrådet Jan O. Karlsson bl.a. i det aktuella ärendet, se</w:t>
      </w:r>
      <w:r w:rsidRPr="001B4EC1">
        <w:rPr>
          <w:i/>
        </w:rPr>
        <w:t xml:space="preserve"> bilaga B2</w:t>
      </w:r>
      <w:r w:rsidRPr="001B4EC1">
        <w:t>.</w:t>
      </w:r>
    </w:p>
    <w:p w:rsidR="00252869" w:rsidRPr="001B4EC1" w:rsidRDefault="00252869">
      <w:pPr>
        <w:pStyle w:val="Normaltindrag"/>
      </w:pPr>
      <w:r w:rsidRPr="001B4EC1">
        <w:t>Jan O. Karlsson pekade på att det anmälda uttalandet fälldes under ett a</w:t>
      </w:r>
      <w:r w:rsidRPr="001B4EC1">
        <w:t>n</w:t>
      </w:r>
      <w:r w:rsidRPr="001B4EC1">
        <w:t>förande inför Utlänningsnämnden våren 2003. I det anförandet kommenterade han det förhållandet att riksdagens partiledare i ett uttalande uppmanat Utlä</w:t>
      </w:r>
      <w:r w:rsidRPr="001B4EC1">
        <w:t>n</w:t>
      </w:r>
      <w:r w:rsidRPr="001B4EC1">
        <w:t>ningsnämnden att överlämna ärendet till regeringen. Hans anförande unde</w:t>
      </w:r>
      <w:r w:rsidRPr="001B4EC1">
        <w:t>r</w:t>
      </w:r>
      <w:r w:rsidRPr="001B4EC1">
        <w:t>strök uteslutande den omständigheten att det är Utlänningsnämnden som avgör saken, inte någon annan – vare sig regeringen eller för den delen rik</w:t>
      </w:r>
      <w:r w:rsidRPr="001B4EC1">
        <w:t>s</w:t>
      </w:r>
      <w:r w:rsidRPr="001B4EC1">
        <w:t>dagen. Om riksdagen skulle göra det skulle det vara i form av en ändrad la</w:t>
      </w:r>
      <w:r w:rsidRPr="001B4EC1">
        <w:t>g</w:t>
      </w:r>
      <w:r w:rsidRPr="001B4EC1">
        <w:t>stiftning.</w:t>
      </w:r>
    </w:p>
    <w:p w:rsidR="00252869" w:rsidRPr="001B4EC1" w:rsidRDefault="00252869">
      <w:pPr>
        <w:pStyle w:val="Normaltindrag"/>
        <w:rPr>
          <w:snapToGrid w:val="0"/>
          <w:lang w:eastAsia="sv-SE"/>
        </w:rPr>
      </w:pPr>
      <w:r w:rsidRPr="001B4EC1">
        <w:t>Närvarande vid tillfället var förmodligen mellan 50 och</w:t>
      </w:r>
      <w:r w:rsidRPr="001B4EC1">
        <w:t xml:space="preserve"> 100 personer, höga domare och ämbetsmän samt ett stort antal ledamöter av Utlänningsnämnden, samtliga med långvarig erfarenhet av samhällsarbete inte minst i den här typen av ärenden. Uttalandet gjordes till föremål för en anklagelse från f.d. chefsredaktören Bo Strömstedt, och det blev massmedialt mycket uppmär</w:t>
      </w:r>
      <w:r w:rsidRPr="001B4EC1">
        <w:t>k</w:t>
      </w:r>
      <w:r w:rsidRPr="001B4EC1">
        <w:t>sammat. Om det hade kommit fram ett enda ytterligare uttalande till stöd för tolkningen att han skulle ha gjort sig skyldig till missbruk skulle det ha ko</w:t>
      </w:r>
      <w:r w:rsidRPr="001B4EC1">
        <w:t>m</w:t>
      </w:r>
      <w:r w:rsidRPr="001B4EC1">
        <w:t>mit fram i offentligheten. Icke något enda</w:t>
      </w:r>
      <w:r w:rsidRPr="001B4EC1">
        <w:t xml:space="preserve"> sådant uttalande gjordes. </w:t>
      </w:r>
      <w:r w:rsidRPr="001B4EC1">
        <w:rPr>
          <w:snapToGrid w:val="0"/>
          <w:lang w:eastAsia="sv-SE"/>
        </w:rPr>
        <w:t>Av dem som hörde uttalandet var det en enda person som uppfattade det på det sätt som framgår av anmälan.</w:t>
      </w:r>
    </w:p>
    <w:p w:rsidR="00252869" w:rsidRPr="001B4EC1" w:rsidRDefault="00252869">
      <w:pPr>
        <w:pStyle w:val="Normaltindrag"/>
        <w:rPr>
          <w:snapToGrid w:val="0"/>
          <w:lang w:eastAsia="sv-SE"/>
        </w:rPr>
      </w:pPr>
      <w:r w:rsidRPr="001B4EC1">
        <w:rPr>
          <w:snapToGrid w:val="0"/>
          <w:lang w:eastAsia="sv-SE"/>
        </w:rPr>
        <w:t>Syftet med uttalandet var att understryka att det är Utlänningsnämnden som avgör om ett ärende skall överlämnas till regeringen och ingen annan. Detta var en bedömning som han gjorde innan han sade det, medan han sade det och efter att han sagt det.</w:t>
      </w:r>
    </w:p>
    <w:p w:rsidR="00252869" w:rsidRPr="001B4EC1" w:rsidRDefault="00252869">
      <w:pPr>
        <w:pStyle w:val="Normaltindrag"/>
        <w:rPr>
          <w:snapToGrid w:val="0"/>
          <w:lang w:eastAsia="sv-SE"/>
        </w:rPr>
      </w:pPr>
      <w:r w:rsidRPr="001B4EC1">
        <w:rPr>
          <w:snapToGrid w:val="0"/>
          <w:lang w:eastAsia="sv-SE"/>
        </w:rPr>
        <w:t>Det var något som var angeläget att göra med anledning av det uttalande som partiledarna har gjort, nämligen att uttala önskemålet att Utlänning</w:t>
      </w:r>
      <w:r w:rsidRPr="001B4EC1">
        <w:rPr>
          <w:snapToGrid w:val="0"/>
          <w:lang w:eastAsia="sv-SE"/>
        </w:rPr>
        <w:t>s</w:t>
      </w:r>
      <w:r w:rsidRPr="001B4EC1">
        <w:rPr>
          <w:snapToGrid w:val="0"/>
          <w:lang w:eastAsia="sv-SE"/>
        </w:rPr>
        <w:t>nämnden skulle överlämna detta. Detta skulle Utlänningsnämnden bedöma helt självständigt. Det var väldigt viktigt att klarlägga att lagstiftningen är entydig på den här punkten. Det var så att säga motsatsen till ministerstyre eller inblandning i Utlänningsnämndens rättigheter. Det gällde att skydda Utlänningsnämnden mot påverkan och inte att försöka påverka den. Han upplevde ett mycket stort samförstånd med Utlänningsnämndens ledamöter i just denna fråga.</w:t>
      </w:r>
    </w:p>
    <w:p w:rsidR="00252869" w:rsidRPr="001B4EC1" w:rsidRDefault="00252869">
      <w:pPr>
        <w:pStyle w:val="Normaltindrag"/>
        <w:rPr>
          <w:snapToGrid w:val="0"/>
          <w:lang w:eastAsia="sv-SE"/>
        </w:rPr>
      </w:pPr>
      <w:r w:rsidRPr="001B4EC1">
        <w:rPr>
          <w:snapToGrid w:val="0"/>
          <w:lang w:eastAsia="sv-SE"/>
        </w:rPr>
        <w:t>Han och statsministern hade självfallet samma bedö</w:t>
      </w:r>
      <w:r w:rsidRPr="001B4EC1">
        <w:rPr>
          <w:snapToGrid w:val="0"/>
          <w:lang w:eastAsia="sv-SE"/>
        </w:rPr>
        <w:t>mning: att Utlänning</w:t>
      </w:r>
      <w:r w:rsidRPr="001B4EC1">
        <w:rPr>
          <w:snapToGrid w:val="0"/>
          <w:lang w:eastAsia="sv-SE"/>
        </w:rPr>
        <w:t>s</w:t>
      </w:r>
      <w:r w:rsidRPr="001B4EC1">
        <w:rPr>
          <w:snapToGrid w:val="0"/>
          <w:lang w:eastAsia="sv-SE"/>
        </w:rPr>
        <w:t>nämnden självständigt avgör om ärenden av det här slaget skall överlämnas till regeringen eller inte. Det var en självklarhet och behövde inte föregås av någon beredning.</w:t>
      </w:r>
    </w:p>
    <w:p w:rsidR="00252869" w:rsidRPr="001B4EC1" w:rsidRDefault="00252869">
      <w:pPr>
        <w:pStyle w:val="Rubrik3"/>
        <w:rPr>
          <w:noProof w:val="0"/>
          <w:snapToGrid w:val="0"/>
          <w:lang w:eastAsia="sv-SE"/>
        </w:rPr>
      </w:pPr>
      <w:bookmarkStart w:id="148" w:name="_Toc72648578"/>
      <w:r w:rsidRPr="001B4EC1">
        <w:rPr>
          <w:noProof w:val="0"/>
          <w:snapToGrid w:val="0"/>
          <w:lang w:eastAsia="sv-SE"/>
        </w:rPr>
        <w:t>Utskottets ställningstagande</w:t>
      </w:r>
      <w:bookmarkEnd w:id="148"/>
    </w:p>
    <w:p w:rsidR="00252869" w:rsidRPr="001B4EC1" w:rsidRDefault="00252869">
      <w:r w:rsidRPr="001B4EC1">
        <w:t>Som konstitutionsutskottet tidigare anfört har ett statsråd i likhet med alla andra medborgare självfallet rätt att göra uttalanden i olika sammanhang. Med hänsyn till ett statsråds speciella ställning i förening med det förhålla</w:t>
      </w:r>
      <w:r w:rsidRPr="001B4EC1">
        <w:t>n</w:t>
      </w:r>
      <w:r w:rsidRPr="001B4EC1">
        <w:t>det att regeringsformen uppställt vissa regler för myndigheternas självstä</w:t>
      </w:r>
      <w:r w:rsidRPr="001B4EC1">
        <w:t>n</w:t>
      </w:r>
      <w:r w:rsidRPr="001B4EC1">
        <w:t xml:space="preserve">dighet i förhållande till regeringen måste dock återhållsamhet iakttas när det gäller uttalanden som rör myndighetsutövning mot enskild eller tillämpning av lag. </w:t>
      </w:r>
    </w:p>
    <w:p w:rsidR="00252869" w:rsidRPr="001B4EC1" w:rsidRDefault="00252869">
      <w:pPr>
        <w:pStyle w:val="Normaltindrag"/>
      </w:pPr>
      <w:r w:rsidRPr="001B4EC1">
        <w:t>Granskningen föranleder inte något uttalande från utskottets sida.</w:t>
      </w:r>
    </w:p>
    <w:p w:rsidR="00252869" w:rsidRPr="001B4EC1" w:rsidRDefault="00252869">
      <w:pPr>
        <w:sectPr w:rsidR="00000000" w:rsidRPr="001B4EC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252869" w:rsidRPr="001B4EC1" w:rsidRDefault="00252869">
      <w:pPr>
        <w:pStyle w:val="Rubrik1"/>
        <w:rPr>
          <w:noProof w:val="0"/>
        </w:rPr>
      </w:pPr>
      <w:bookmarkStart w:id="149" w:name="_Toc72648579"/>
      <w:r w:rsidRPr="001B4EC1">
        <w:rPr>
          <w:noProof w:val="0"/>
        </w:rPr>
        <w:t>6 Vissa frågor med anknytning till Irakkriget</w:t>
      </w:r>
      <w:bookmarkEnd w:id="149"/>
      <w:r w:rsidRPr="001B4EC1">
        <w:rPr>
          <w:noProof w:val="0"/>
        </w:rPr>
        <w:t xml:space="preserve"> </w:t>
      </w:r>
    </w:p>
    <w:p w:rsidR="00252869" w:rsidRPr="001B4EC1" w:rsidRDefault="00252869">
      <w:pPr>
        <w:pStyle w:val="Rubrik2"/>
        <w:spacing w:before="0"/>
      </w:pPr>
      <w:bookmarkStart w:id="150" w:name="Start"/>
      <w:bookmarkStart w:id="151" w:name="_Toc72648580"/>
      <w:bookmarkEnd w:id="150"/>
      <w:r w:rsidRPr="001B4EC1">
        <w:t>Allmänt om kontroll av vapenexport</w:t>
      </w:r>
      <w:bookmarkEnd w:id="151"/>
    </w:p>
    <w:p w:rsidR="00252869" w:rsidRPr="001B4EC1" w:rsidRDefault="00252869">
      <w:pPr>
        <w:pStyle w:val="R3"/>
        <w:spacing w:before="235"/>
      </w:pPr>
      <w:r w:rsidRPr="001B4EC1">
        <w:t>Regler för tillstånd och för återkallelse av tillstånd för utförsel av krig</w:t>
      </w:r>
      <w:r w:rsidRPr="001B4EC1">
        <w:t>s</w:t>
      </w:r>
      <w:r w:rsidRPr="001B4EC1">
        <w:t>materiel</w:t>
      </w:r>
    </w:p>
    <w:p w:rsidR="00252869" w:rsidRPr="001B4EC1" w:rsidRDefault="00252869">
      <w:r w:rsidRPr="001B4EC1">
        <w:t>I 6 § lagen (1992:1300) om krigsmateriel föreskrivs krav på tillstånd för utförsel ur landet av krigsmateriel. Beslut i frågor som rör tillstånd enligt lagen fattas enligt 1 a § av Inspektionen för strategiska produkter. Även r</w:t>
      </w:r>
      <w:r w:rsidRPr="001B4EC1">
        <w:t>e</w:t>
      </w:r>
      <w:r w:rsidRPr="001B4EC1">
        <w:t>geringen kan dock enligt samma paragraf fatta beslut i sådana frågor. Enligt 16 § kan tillstånd avseende bl.a. utförsel av krigsmateriel återkallas om til</w:t>
      </w:r>
      <w:r w:rsidRPr="001B4EC1">
        <w:t>l</w:t>
      </w:r>
      <w:r w:rsidRPr="001B4EC1">
        <w:t>ståndshavaren åsidosatt en föreskrift i denna lag eller föreskrift, villkor eller bestämmelse som har meddelats med stöd av lagen eller om det finns andra särskilda skäl till återkallelse.</w:t>
      </w:r>
    </w:p>
    <w:p w:rsidR="00252869" w:rsidRPr="001B4EC1" w:rsidRDefault="00252869">
      <w:pPr>
        <w:pStyle w:val="Normaltindrag"/>
      </w:pPr>
      <w:r w:rsidRPr="001B4EC1">
        <w:t>Med andra särskilda skäl avses enligt förarbetena till lagen (prop. 1991/92:174) att förhållandena i det mottagande landet ändrats. Tillstånd skall enligt propositione</w:t>
      </w:r>
      <w:r w:rsidRPr="001B4EC1">
        <w:t>n återkallas om ovillkorliga exporthinder uppstår (se ne</w:t>
      </w:r>
      <w:r w:rsidRPr="001B4EC1">
        <w:t>d</w:t>
      </w:r>
      <w:r w:rsidRPr="001B4EC1">
        <w:t>an). Även i andra fall kan sådana ändrade förhållanden uppstå att ett tillstånd bör återkallas. Motivtexten i denna del av propositionen vilar väsentligen på de riktlinjer för krigsmaterielexport och annan utlandssamverkan som ingår i den här aktuella propositionen (prop. 1991/92:174 bilaga 4).</w:t>
      </w:r>
    </w:p>
    <w:p w:rsidR="00252869" w:rsidRPr="001B4EC1" w:rsidRDefault="00252869">
      <w:pPr>
        <w:pStyle w:val="Normaltindrag"/>
      </w:pPr>
      <w:r w:rsidRPr="001B4EC1">
        <w:t>Enligt dessa riktlinjer bör tillstånd för utförsel av krigsmateriel eller annan samverkan med någon i utlandet avseende krigsmateriel endast medges om sådan ut</w:t>
      </w:r>
      <w:r w:rsidRPr="001B4EC1">
        <w:t xml:space="preserve">försel eller samverkan </w:t>
      </w:r>
    </w:p>
    <w:p w:rsidR="00252869" w:rsidRPr="001B4EC1" w:rsidRDefault="00252869">
      <w:pPr>
        <w:pStyle w:val="Normaltindrag"/>
      </w:pPr>
      <w:r w:rsidRPr="001B4EC1">
        <w:t>1. bedöms erforderlig för att kunna tillgodose svenska försvarets behov av materiel eller kunnande eller i övrigt är säke</w:t>
      </w:r>
      <w:r w:rsidRPr="001B4EC1">
        <w:t>r</w:t>
      </w:r>
      <w:r w:rsidRPr="001B4EC1">
        <w:t xml:space="preserve">hetspolitiskt önskvärt samt </w:t>
      </w:r>
    </w:p>
    <w:p w:rsidR="00252869" w:rsidRPr="001B4EC1" w:rsidRDefault="00252869">
      <w:pPr>
        <w:pStyle w:val="Normaltindrag"/>
      </w:pPr>
      <w:r w:rsidRPr="001B4EC1">
        <w:t>2. inte står i strid med principerna och målen för Sveriges utrikespolitik.</w:t>
      </w:r>
    </w:p>
    <w:p w:rsidR="00252869" w:rsidRPr="001B4EC1" w:rsidRDefault="00252869">
      <w:r w:rsidRPr="001B4EC1">
        <w:t>Som ovillkorliga hinder för tillstånd till utförsel eller annan utlandssamverkan anges i riktlinjerna om det skulle strida mot internationell överenskommelse som Sverige har biträtt, mot beslut av FN:s säkerhetsråd eller mot folkrättsl</w:t>
      </w:r>
      <w:r w:rsidRPr="001B4EC1">
        <w:t>i</w:t>
      </w:r>
      <w:r w:rsidRPr="001B4EC1">
        <w:t>ga regler om export från neutral stat under krig. Tillstånd bör inte heller lä</w:t>
      </w:r>
      <w:r w:rsidRPr="001B4EC1">
        <w:t>m</w:t>
      </w:r>
      <w:r w:rsidRPr="001B4EC1">
        <w:t>nas om det avser stat där omfattande och grova kränkningar av mänskliga rättigheter förekommer. Tillstånd för utförsel av krigsmateriel för strid eller annan utlandssamverkan som avser krigsmateriel för strid eller övrig krig</w:t>
      </w:r>
      <w:r w:rsidRPr="001B4EC1">
        <w:t>s</w:t>
      </w:r>
      <w:r w:rsidRPr="001B4EC1">
        <w:t>materiel bör, enligt riktlinjerna, inte beviljas om det avser stat som befinner sig i väpnad konflikt med annan stat, oavsett om krigsförklaring har getts eller ej, stat som är invecklad i internationell ko</w:t>
      </w:r>
      <w:r w:rsidRPr="001B4EC1">
        <w:t xml:space="preserve">nflikt som kan befaras leda till väpnad konflikt eller stat som har inre väpnade oroligheter. </w:t>
      </w:r>
    </w:p>
    <w:p w:rsidR="00252869" w:rsidRPr="001B4EC1" w:rsidRDefault="00252869">
      <w:pPr>
        <w:pStyle w:val="Normaltindrag"/>
      </w:pPr>
      <w:r w:rsidRPr="001B4EC1">
        <w:t>Ett meddelat tillstånd till utförsel bör återkallas, förutom vid ovillkorliga exporthinder (se ovan), om den mottagande staten kommer i väpnad konflikt med annan stat eller får inre väpnade oroligheter. Undantagsvis bör i de två sistnämnda fallen återkallelse av tillstånd kunna underlåtas om det är förenligt med de folkrättsliga reglerna och med principerna och målen för Sveriges utrikesp</w:t>
      </w:r>
      <w:r w:rsidRPr="001B4EC1">
        <w:t>o</w:t>
      </w:r>
      <w:r w:rsidRPr="001B4EC1">
        <w:t xml:space="preserve">litik. </w:t>
      </w:r>
    </w:p>
    <w:p w:rsidR="00252869" w:rsidRPr="001B4EC1" w:rsidRDefault="00252869">
      <w:pPr>
        <w:pStyle w:val="Normaltindrag"/>
      </w:pPr>
      <w:r w:rsidRPr="001B4EC1">
        <w:t>Innebörden av de nyss nämnda undantagen diskuteras i propositionen (s. 56). Det förhållandet att en stat deltar i av FN beslutade gemensamma akti</w:t>
      </w:r>
      <w:r w:rsidRPr="001B4EC1">
        <w:t>o</w:t>
      </w:r>
      <w:r w:rsidRPr="001B4EC1">
        <w:t xml:space="preserve">ner för att upprätthålla fred och säkerhet kan enligt propositionen i sig inte innebära att hinder föreligger mot fortsatt tillståndsgivning till denna stat. På motsvarande sätt föreligger i sådant fall inte heller skäl för återkallelse av tillståndet, även om staten i fråga faktiskt deltar i en väpnad konflikt. Enligt propositionen står det i bättre överensstämmelse med de situationer som sannolikt kan uppstå att därför ange att det är de folkrättsliga reglerna som bör vara avgörande. Avgörande är enligt </w:t>
      </w:r>
      <w:r w:rsidRPr="001B4EC1">
        <w:t xml:space="preserve">propositionen också huruvida det kan anses förenligt med våra utrikespolitiska mål och principer att i ett enskilt fall avstå från att återkalla ett givet tillstånd. </w:t>
      </w:r>
    </w:p>
    <w:p w:rsidR="00252869" w:rsidRPr="001B4EC1" w:rsidRDefault="00252869">
      <w:pPr>
        <w:pStyle w:val="R3"/>
      </w:pPr>
      <w:bookmarkStart w:id="152" w:name="_Toc9920588"/>
      <w:r w:rsidRPr="001B4EC1">
        <w:t>Inspektionen för strategiska produkter och Exportkontrollrådet</w:t>
      </w:r>
    </w:p>
    <w:bookmarkEnd w:id="152"/>
    <w:p w:rsidR="00252869" w:rsidRPr="001B4EC1" w:rsidRDefault="00252869">
      <w:r w:rsidRPr="001B4EC1">
        <w:t>Krigsmaterielinspektionen (KMI) bildades under 1930-talet och förlades organisatoriskt till dåvarande Handelsdepartementet. Vid departements-reformen 1982/83 överfördes KMI till Utrikesdepartementets handelsavde</w:t>
      </w:r>
      <w:r w:rsidRPr="001B4EC1">
        <w:t>l</w:t>
      </w:r>
      <w:r w:rsidRPr="001B4EC1">
        <w:t>ning. KMI utgjorde dels en departementsenhet för beredning av tillstånd</w:t>
      </w:r>
      <w:r w:rsidRPr="001B4EC1">
        <w:t>s</w:t>
      </w:r>
      <w:r w:rsidRPr="001B4EC1">
        <w:t xml:space="preserve">ärenden avseende utförsel av svensk krigsmateriel, dels en myndighet som utövade kontroll över tillverkningen av sådan materiel. </w:t>
      </w:r>
    </w:p>
    <w:p w:rsidR="00252869" w:rsidRPr="001B4EC1" w:rsidRDefault="00252869">
      <w:pPr>
        <w:pStyle w:val="Normaltindrag"/>
      </w:pPr>
      <w:r w:rsidRPr="001B4EC1">
        <w:t>År 1985 inrättade regeringen en rådgivande nämnd för krigsmateriele</w:t>
      </w:r>
      <w:r w:rsidRPr="001B4EC1">
        <w:t>x</w:t>
      </w:r>
      <w:r w:rsidRPr="001B4EC1">
        <w:t xml:space="preserve">portfrågor. Ledamöterna i nämnden utsågs efter förslag från de politiska partier som var representerade i Utrikesnämnden. Den rådgivande nämndens uppgift var att lämna råd i enskilda exportärenden. Nämnden bestod under tiden fram till omvandlingen av myndigheten den 1 februari 1996 av sex ledamöter som förordnades av regeringen för högst tre år. </w:t>
      </w:r>
    </w:p>
    <w:p w:rsidR="00252869" w:rsidRPr="001B4EC1" w:rsidRDefault="00252869">
      <w:pPr>
        <w:pStyle w:val="Normaltindrag"/>
      </w:pPr>
      <w:r w:rsidRPr="001B4EC1">
        <w:t>Utrikesnämndens sammansättning ändrades efter valet år 1994 så att alla riksdagspartier var företrädda, således också Vänsterpartiet, som fick en ord</w:t>
      </w:r>
      <w:r w:rsidRPr="001B4EC1">
        <w:t>i</w:t>
      </w:r>
      <w:r w:rsidRPr="001B4EC1">
        <w:t>narie plats, samt Miljöpartiet de gröna och Kristdemokratiska samhällspartiet, numera Kristdemokraterna, som fick var sin suppleantplats. Representationen för de nämnda partierna tillsammans med en ordinarie plats för Folkpartiet liberalerna var resultatet av att Socialdemokraterna avstod dessa platser. Utrikesnämndens nya sammansättning fick dock inget omedelbart genomslag i sammansättningen av den rådgivande nämnden i KMI. Regeringen strävade efter att senare lämna en samlad presentation av alla frågor s</w:t>
      </w:r>
      <w:r w:rsidRPr="001B4EC1">
        <w:t>om berörde den kommande organisationen inklusive den partipolitiska sammansättningen av efterföljaren till den rådgivande nämnden.</w:t>
      </w:r>
    </w:p>
    <w:p w:rsidR="00252869" w:rsidRPr="001B4EC1" w:rsidRDefault="00252869">
      <w:pPr>
        <w:pStyle w:val="Normaltindrag"/>
      </w:pPr>
      <w:r w:rsidRPr="001B4EC1">
        <w:t>KMI ombildades den 1 februari 1996 till en ny myndighet för kontroll över krigsmateriel och andra strategiskt känsliga produkter (prop. 1995/96:31, bet. UU3). Den nya myndigheten gavs namnet Inspektionen för strategiska pr</w:t>
      </w:r>
      <w:r w:rsidRPr="001B4EC1">
        <w:t>o</w:t>
      </w:r>
      <w:r w:rsidRPr="001B4EC1">
        <w:t>dukter (ISP). Inspektionens uppgifter är enligt förordningen (1995:1680) med instruktion för ISP (ISP-instruktionen) bl.a. att sköta tillsyn och annan ko</w:t>
      </w:r>
      <w:r w:rsidRPr="001B4EC1">
        <w:t>n</w:t>
      </w:r>
      <w:r w:rsidRPr="001B4EC1">
        <w:t>troll enligt lagen (1992:1300) om krigsmateriel och lagen (2000:1064) om kontroll av produkter med dubbla användningsområden och av tekniskt b</w:t>
      </w:r>
      <w:r w:rsidRPr="001B4EC1">
        <w:t>i</w:t>
      </w:r>
      <w:r w:rsidRPr="001B4EC1">
        <w:t>stånd. Det innebär bl.a. att inspektionen prövar merparten av de ärenden som regeringen eller ett enskilt statsråd tidigare hade till uppgift att pröva. Enligt den tidigare ordningen fick det statsråd som hade till</w:t>
      </w:r>
      <w:r w:rsidRPr="001B4EC1">
        <w:t xml:space="preserve"> uppgift att föredra äre</w:t>
      </w:r>
      <w:r w:rsidRPr="001B4EC1">
        <w:t>n</w:t>
      </w:r>
      <w:r w:rsidRPr="001B4EC1">
        <w:t xml:space="preserve">den om utförsel av krigsmateriel själv avgöra de ärenden om utförsel av krigsmateriel som inte avsåg utförsel i större omfattning eller som i övrigt inte var av större vikt. Det kunde gälla utförsel i samband med t.ex. demonstration eller reparation av krigsmateriel (a. prop. s. 21). Denna ordning upphörde vid tillkomsten av ISP. </w:t>
      </w:r>
    </w:p>
    <w:p w:rsidR="00252869" w:rsidRPr="001B4EC1" w:rsidRDefault="00252869">
      <w:pPr>
        <w:pStyle w:val="Normaltindrag"/>
      </w:pPr>
      <w:r w:rsidRPr="001B4EC1">
        <w:t>Regeringen prövar dock, liksom tidigare, ärenden som har principiell bet</w:t>
      </w:r>
      <w:r w:rsidRPr="001B4EC1">
        <w:t>y</w:t>
      </w:r>
      <w:r w:rsidRPr="001B4EC1">
        <w:t>delse eller annars är av särskild vikt. Detta följer av 1 a § lagen (1992:1300) om krigsmateriel och 4 § lagen (2000:1064) om kontroll av produkter med dubbla användningsområden och av tekniskt bistånd. Det är myndigheten som avgör vilka ärenden som enligt dessa bestämmelser behöver prövas av rege</w:t>
      </w:r>
      <w:r w:rsidRPr="001B4EC1">
        <w:t>r</w:t>
      </w:r>
      <w:r w:rsidRPr="001B4EC1">
        <w:t>ingen (se konstitutionsutskottets yttrande i bet. 1995/96:UU3). Av de nyss nämnda lagrummen framgår även att regeringen får meddela ytterligare för</w:t>
      </w:r>
      <w:r w:rsidRPr="001B4EC1">
        <w:t>e</w:t>
      </w:r>
      <w:r w:rsidRPr="001B4EC1">
        <w:t>skrifter om överlämnande till regeringen. I anslutning härtill h</w:t>
      </w:r>
      <w:r w:rsidRPr="001B4EC1">
        <w:t>ar i lagmotiven uttalats att det i krislägen eller andra tillspetsade situationer kan vara motiv</w:t>
      </w:r>
      <w:r w:rsidRPr="001B4EC1">
        <w:t>e</w:t>
      </w:r>
      <w:r w:rsidRPr="001B4EC1">
        <w:t>rat att regeringen prövar fler eller andra ärenden än vad som normalt är ä</w:t>
      </w:r>
      <w:r w:rsidRPr="001B4EC1">
        <w:t>n</w:t>
      </w:r>
      <w:r w:rsidRPr="001B4EC1">
        <w:t>damålsenligt. Det kan t.ex. gälla alla ärenden som avser export till ett visst land eller som avser varor av ett visst slag (prop. 1995/96:31 s. 25).</w:t>
      </w:r>
    </w:p>
    <w:p w:rsidR="00252869" w:rsidRPr="001B4EC1" w:rsidRDefault="00252869">
      <w:pPr>
        <w:pStyle w:val="Normaltindrag"/>
      </w:pPr>
      <w:r w:rsidRPr="001B4EC1">
        <w:t>Tidigare var krigsmaterielinspektören chef för inspektionen. Efter en än</w:t>
      </w:r>
      <w:r w:rsidRPr="001B4EC1">
        <w:t>d</w:t>
      </w:r>
      <w:r w:rsidRPr="001B4EC1">
        <w:t>ring i 5 § ISP-instruktionen som trädde i kraft den 1 september 2001 för</w:t>
      </w:r>
      <w:r w:rsidRPr="001B4EC1">
        <w:t>e</w:t>
      </w:r>
      <w:r w:rsidRPr="001B4EC1">
        <w:t xml:space="preserve">skrivs numera att myndighetens chef har titeln generaldirektör. ISP är en s.k. enrådighetsmyndighet innebärande att myndighetschefen i princip ensam har beslutsansvaret. </w:t>
      </w:r>
    </w:p>
    <w:p w:rsidR="00252869" w:rsidRPr="001B4EC1" w:rsidRDefault="00252869">
      <w:pPr>
        <w:pStyle w:val="Normaltindrag"/>
      </w:pPr>
      <w:r w:rsidRPr="001B4EC1">
        <w:t>I proposition 1995/96:31 föreslogs att den rådgivande nämnden skulle o</w:t>
      </w:r>
      <w:r w:rsidRPr="001B4EC1">
        <w:t>m</w:t>
      </w:r>
      <w:r w:rsidRPr="001B4EC1">
        <w:t>bildas till ett råd för samråd i exportkontrollfrågor hos den nya myndigheten. Arbetet i rådet skulle enligt propositionen ta sikte på inte bara samråd utan också på att tillföra myndigheten sakkunskap och kontinuerlig inblick i utr</w:t>
      </w:r>
      <w:r w:rsidRPr="001B4EC1">
        <w:t>i</w:t>
      </w:r>
      <w:r w:rsidRPr="001B4EC1">
        <w:t>kes-, säkerhets- och försvarspolitiska frågor. Lekmän borde ingå i rådet. L</w:t>
      </w:r>
      <w:r w:rsidRPr="001B4EC1">
        <w:t>e</w:t>
      </w:r>
      <w:r w:rsidRPr="001B4EC1">
        <w:t>damöterna borde utses efter förslag från de partier som är företrädda i Utr</w:t>
      </w:r>
      <w:r w:rsidRPr="001B4EC1">
        <w:t>i</w:t>
      </w:r>
      <w:r w:rsidRPr="001B4EC1">
        <w:t xml:space="preserve">kesnämnden. </w:t>
      </w:r>
    </w:p>
    <w:p w:rsidR="00252869" w:rsidRPr="001B4EC1" w:rsidRDefault="00252869">
      <w:pPr>
        <w:pStyle w:val="Normaltindrag"/>
      </w:pPr>
      <w:r w:rsidRPr="001B4EC1">
        <w:t>Enligt 6 § ISP-instruktionen skall hos inspektionen finnas ett råd för sa</w:t>
      </w:r>
      <w:r w:rsidRPr="001B4EC1">
        <w:t>m</w:t>
      </w:r>
      <w:r w:rsidRPr="001B4EC1">
        <w:t>råd i exportkontrollfrågor bestående av generaldirektören och högst tio andra ledamöter. Generaldirektören är rådets ordförande. Enligt 7 § skall generald</w:t>
      </w:r>
      <w:r w:rsidRPr="001B4EC1">
        <w:t>i</w:t>
      </w:r>
      <w:r w:rsidRPr="001B4EC1">
        <w:t>rektören hålla rådet informerat om inspektionens verksamhet på exportko</w:t>
      </w:r>
      <w:r w:rsidRPr="001B4EC1">
        <w:t>n</w:t>
      </w:r>
      <w:r w:rsidRPr="001B4EC1">
        <w:t>trollområdet. Om det är möjligt skall generaldirektören enligt 8 § första stycket samråda med rådet innan inspektionen lämnar över ett ärende om exportkontroll till regeringens prövning enligt de tidigare redovisade bestä</w:t>
      </w:r>
      <w:r w:rsidRPr="001B4EC1">
        <w:t>m</w:t>
      </w:r>
      <w:r w:rsidRPr="001B4EC1">
        <w:t>melserna i lagen (1992:1300) om krigsmateriel, lagen (2000:106</w:t>
      </w:r>
      <w:r w:rsidRPr="001B4EC1">
        <w:t>4) om ko</w:t>
      </w:r>
      <w:r w:rsidRPr="001B4EC1">
        <w:t>n</w:t>
      </w:r>
      <w:r w:rsidRPr="001B4EC1">
        <w:t xml:space="preserve">troll av produkter med dubbla användningsområden och av tekniskt bistånd eller enligt föreskrifter som har meddelats med stöd av dessa bestämmelser. Enligt 8 § andra stycket bestämmer generaldirektören vilka andra ärenden om exportkontroll som före avgörandet skall föreläggas rådet för samråd. </w:t>
      </w:r>
    </w:p>
    <w:p w:rsidR="00252869" w:rsidRPr="001B4EC1" w:rsidRDefault="00252869">
      <w:pPr>
        <w:pStyle w:val="R3"/>
      </w:pPr>
      <w:bookmarkStart w:id="153" w:name="_Toc9920589"/>
      <w:r w:rsidRPr="001B4EC1">
        <w:t>Regeringens inflytande på beslutsfattandet på myndighetsnivå</w:t>
      </w:r>
    </w:p>
    <w:bookmarkEnd w:id="153"/>
    <w:p w:rsidR="00252869" w:rsidRPr="001B4EC1" w:rsidRDefault="00252869">
      <w:r w:rsidRPr="001B4EC1">
        <w:t>Enligt 9 § ISP-instruktionen är rådets sakkunniga i utrikes-, säkerhets- och försvarspolitiska frågor den statssekreterare i Utrikesdepartementet som sv</w:t>
      </w:r>
      <w:r w:rsidRPr="001B4EC1">
        <w:t>a</w:t>
      </w:r>
      <w:r w:rsidRPr="001B4EC1">
        <w:t>rar för exportkontrollfrågor, det utrikesråd i Utrikesdepartementet som R</w:t>
      </w:r>
      <w:r w:rsidRPr="001B4EC1">
        <w:t>e</w:t>
      </w:r>
      <w:r w:rsidRPr="001B4EC1">
        <w:t>geringskansliet bestämmer och statssekreteraren i Försvarsdepartementet eller den som någon av dem sätter i sitt ställe. Frågan om och hur regeringen håller sig underrättad om praxisutvecklingen i myndigheten har även behandlats i ett granskningsärende. I en promemoria från Statsrådsberedningen (bet. 1998/99:KU25 del 2 bilaga A2.10.2) har i ärendet anförts att den statssekret</w:t>
      </w:r>
      <w:r w:rsidRPr="001B4EC1">
        <w:t>e</w:t>
      </w:r>
      <w:r w:rsidRPr="001B4EC1">
        <w:t>rare i UD som svarar för exportkontrollfrågor eller den so</w:t>
      </w:r>
      <w:r w:rsidRPr="001B4EC1">
        <w:t>m denne väljer att sätta i sitt ställe regelmässigt deltar i rådets sammanträden. En återrapport</w:t>
      </w:r>
      <w:r w:rsidRPr="001B4EC1">
        <w:t>e</w:t>
      </w:r>
      <w:r w:rsidRPr="001B4EC1">
        <w:t xml:space="preserve">ring sker till ansvarigt statsråd. På detta vis håller sig regeringen underrättad om rådets arbete. Regeringen har enligt promemorian inte funnit anledning att ha någon synpunkt på myndighetens bedömningar av ärenden som förelagts rådet. I promemorian anges vidare att regeringen, om den så önskar, har en möjlighet att ge uttryck för sin uppfattning i form av direktiv till inspektionen. </w:t>
      </w:r>
    </w:p>
    <w:p w:rsidR="00252869" w:rsidRPr="001B4EC1" w:rsidRDefault="00252869">
      <w:pPr>
        <w:pStyle w:val="Normaltindrag"/>
      </w:pPr>
      <w:r w:rsidRPr="001B4EC1">
        <w:t>Av upplysningar som under</w:t>
      </w:r>
      <w:r w:rsidRPr="001B4EC1">
        <w:t xml:space="preserve"> hand har inhämtats från Utrikesdepartementet i samma granskningsärende (bet. 1998/99:KU25 s. 96) framgår att de unde</w:t>
      </w:r>
      <w:r w:rsidRPr="001B4EC1">
        <w:t>r</w:t>
      </w:r>
      <w:r w:rsidRPr="001B4EC1">
        <w:t>handskontakter som förekommer mellan inspektionens chef och regeringen eller ansvarigt statsråd grundas på att regeringen har ett särskilt ansvar för utrikespolitiken. Enligt 10 kap. 8 § regeringsformen skall chefen för det d</w:t>
      </w:r>
      <w:r w:rsidRPr="001B4EC1">
        <w:t>e</w:t>
      </w:r>
      <w:r w:rsidRPr="001B4EC1">
        <w:t>partement till vilket utrikesärendena hör hållas underrättad när frågor som är av betydelse för förhållandet till annan stat eller till mellanfolklig organisation uppko</w:t>
      </w:r>
      <w:r w:rsidRPr="001B4EC1">
        <w:t>mmer hos annan statlig myndighet. På denna grund kan det finnas anledning för inspektionens chef att i enskilda ärenden inhämta regeringens eller statsrådets synpunkter. I ärenden om förhandsbesked hålls regeringen regelmässigt underrättad, men det är myndighetschefen som har ansvaret att avgöra vilket ställningstagande ett förhandsbesked skall innehålla. Den h</w:t>
      </w:r>
      <w:r w:rsidRPr="001B4EC1">
        <w:t>u</w:t>
      </w:r>
      <w:r w:rsidRPr="001B4EC1">
        <w:t>vudsakliga formen för dessa underrättelser är den återrapportering till statsr</w:t>
      </w:r>
      <w:r w:rsidRPr="001B4EC1">
        <w:t>å</w:t>
      </w:r>
      <w:r w:rsidRPr="001B4EC1">
        <w:t>det som sker genom den statssekreterare i UD som svarar för exportkon</w:t>
      </w:r>
      <w:r w:rsidRPr="001B4EC1">
        <w:t>trol</w:t>
      </w:r>
      <w:r w:rsidRPr="001B4EC1">
        <w:t>l</w:t>
      </w:r>
      <w:r w:rsidRPr="001B4EC1">
        <w:t>frågorna eller den som denne väljer att sätta i sitt ställe och som deltar i rådets sammanträden och åhör diskussionen. Underhandskontakter får också anses vara ett led i den normala dialogen mellan regeringen eller ett enskilt statsråd och en my</w:t>
      </w:r>
      <w:r w:rsidRPr="001B4EC1">
        <w:t>n</w:t>
      </w:r>
      <w:r w:rsidRPr="001B4EC1">
        <w:t>dighet som är underställd regeringen.</w:t>
      </w:r>
    </w:p>
    <w:p w:rsidR="00252869" w:rsidRPr="001B4EC1" w:rsidRDefault="00252869">
      <w:pPr>
        <w:pStyle w:val="R3"/>
      </w:pPr>
      <w:r w:rsidRPr="001B4EC1">
        <w:t>Vissa uttalanden av utrikesutskottet</w:t>
      </w:r>
    </w:p>
    <w:p w:rsidR="00252869" w:rsidRPr="001B4EC1" w:rsidRDefault="00252869">
      <w:r w:rsidRPr="001B4EC1">
        <w:t>Utrikesutskottet har under det innevarande riksmötet behandlat frågor om export av krigsmateriel i betänkande 2003/04:UU3. Utskottet yttrade bl.a. följande.</w:t>
      </w:r>
    </w:p>
    <w:p w:rsidR="00252869" w:rsidRPr="001B4EC1" w:rsidRDefault="00252869">
      <w:pPr>
        <w:pStyle w:val="Citat"/>
        <w:spacing w:before="125"/>
        <w:rPr>
          <w:snapToGrid w:val="0"/>
          <w:lang w:eastAsia="sv-SE"/>
        </w:rPr>
      </w:pPr>
      <w:r w:rsidRPr="001B4EC1">
        <w:rPr>
          <w:snapToGrid w:val="0"/>
          <w:lang w:eastAsia="sv-SE"/>
        </w:rPr>
        <w:t>Med lagen (1992:1300) om krigsmateriel säkerställs att varje utförse</w:t>
      </w:r>
      <w:r w:rsidRPr="001B4EC1">
        <w:rPr>
          <w:snapToGrid w:val="0"/>
          <w:lang w:eastAsia="sv-SE"/>
        </w:rPr>
        <w:t>l</w:t>
      </w:r>
      <w:r w:rsidRPr="001B4EC1">
        <w:rPr>
          <w:snapToGrid w:val="0"/>
          <w:lang w:eastAsia="sv-SE"/>
        </w:rPr>
        <w:t>ärende prövas individuellt. Varje ärende prövas således med utgång</w:t>
      </w:r>
      <w:r w:rsidRPr="001B4EC1">
        <w:rPr>
          <w:snapToGrid w:val="0"/>
          <w:lang w:eastAsia="sv-SE"/>
        </w:rPr>
        <w:t>s</w:t>
      </w:r>
      <w:r w:rsidRPr="001B4EC1">
        <w:rPr>
          <w:snapToGrid w:val="0"/>
          <w:lang w:eastAsia="sv-SE"/>
        </w:rPr>
        <w:t>punkt i de av regeringen fastlagda riktlinjerna som riksdagen ställt sig bakom och med utgångspunkt i den uppförandekod för vapenexport som Europeiska unionen, som en politisk avsiktsförklaring, enats om år 1998.</w:t>
      </w:r>
    </w:p>
    <w:p w:rsidR="00252869" w:rsidRPr="001B4EC1" w:rsidRDefault="00252869">
      <w:pPr>
        <w:pStyle w:val="Citat"/>
        <w:rPr>
          <w:snapToGrid w:val="0"/>
          <w:lang w:eastAsia="sv-SE"/>
        </w:rPr>
      </w:pPr>
    </w:p>
    <w:p w:rsidR="00252869" w:rsidRPr="001B4EC1" w:rsidRDefault="00252869">
      <w:pPr>
        <w:pStyle w:val="Citat"/>
        <w:rPr>
          <w:snapToGrid w:val="0"/>
          <w:lang w:eastAsia="sv-SE"/>
        </w:rPr>
      </w:pPr>
      <w:r w:rsidRPr="001B4EC1">
        <w:rPr>
          <w:snapToGrid w:val="0"/>
          <w:lang w:eastAsia="sv-SE"/>
        </w:rPr>
        <w:t>Riktlinjerna är till sin karaktär ett balansinstrument där också faktorer som talar för export vägs in (exempelvis försvarets behov och Sveriges trovärdighet som leverantör). Inget av kriterierna, förutom de tre s.k. ovillkorliga hindren, har en direkt förbudseffekt. De tre typer av ovil</w:t>
      </w:r>
      <w:r w:rsidRPr="001B4EC1">
        <w:rPr>
          <w:snapToGrid w:val="0"/>
          <w:lang w:eastAsia="sv-SE"/>
        </w:rPr>
        <w:t>l</w:t>
      </w:r>
      <w:r w:rsidRPr="001B4EC1">
        <w:rPr>
          <w:snapToGrid w:val="0"/>
          <w:lang w:eastAsia="sv-SE"/>
        </w:rPr>
        <w:t>korliga hinder som riktlinjerna anger och som, om de föreligger, omö</w:t>
      </w:r>
      <w:r w:rsidRPr="001B4EC1">
        <w:rPr>
          <w:snapToGrid w:val="0"/>
          <w:lang w:eastAsia="sv-SE"/>
        </w:rPr>
        <w:t>j</w:t>
      </w:r>
      <w:r w:rsidRPr="001B4EC1">
        <w:rPr>
          <w:snapToGrid w:val="0"/>
          <w:lang w:eastAsia="sv-SE"/>
        </w:rPr>
        <w:t>liggör export är: beslut av FN:s säkerhetsråd, internationella överen</w:t>
      </w:r>
      <w:r w:rsidRPr="001B4EC1">
        <w:rPr>
          <w:snapToGrid w:val="0"/>
          <w:lang w:eastAsia="sv-SE"/>
        </w:rPr>
        <w:t>s</w:t>
      </w:r>
      <w:r w:rsidRPr="001B4EC1">
        <w:rPr>
          <w:snapToGrid w:val="0"/>
          <w:lang w:eastAsia="sv-SE"/>
        </w:rPr>
        <w:t>kommelser som Sverige biträtt (t.ex. EU-sanktioner) samt de neutra</w:t>
      </w:r>
      <w:r w:rsidRPr="001B4EC1">
        <w:rPr>
          <w:snapToGrid w:val="0"/>
          <w:lang w:eastAsia="sv-SE"/>
        </w:rPr>
        <w:t>l</w:t>
      </w:r>
      <w:r w:rsidRPr="001B4EC1">
        <w:rPr>
          <w:snapToGrid w:val="0"/>
          <w:lang w:eastAsia="sv-SE"/>
        </w:rPr>
        <w:t>rättsliga reglerna i Haagkonventionerna.</w:t>
      </w:r>
    </w:p>
    <w:p w:rsidR="00252869" w:rsidRPr="001B4EC1" w:rsidRDefault="00252869">
      <w:pPr>
        <w:pStyle w:val="Citat"/>
        <w:rPr>
          <w:snapToGrid w:val="0"/>
          <w:lang w:eastAsia="sv-SE"/>
        </w:rPr>
      </w:pPr>
    </w:p>
    <w:p w:rsidR="00252869" w:rsidRPr="001B4EC1" w:rsidRDefault="00252869">
      <w:pPr>
        <w:pStyle w:val="Citat"/>
        <w:rPr>
          <w:rFonts w:ascii="TimesNewRoman" w:hAnsi="TimesNewRoman"/>
          <w:snapToGrid w:val="0"/>
          <w:lang w:eastAsia="sv-SE"/>
        </w:rPr>
      </w:pPr>
      <w:r w:rsidRPr="001B4EC1">
        <w:rPr>
          <w:snapToGrid w:val="0"/>
          <w:lang w:eastAsia="sv-SE"/>
        </w:rPr>
        <w:t>Den vikt som tillmäts de fastlagda riktlinjerna att export inte bör beviljas om det avser stat som befinner sig i väpnad konflikt med annan stat måste kunna balanseras mot den vikt som tillmäts ett långtgående inte</w:t>
      </w:r>
      <w:r w:rsidRPr="001B4EC1">
        <w:rPr>
          <w:snapToGrid w:val="0"/>
          <w:lang w:eastAsia="sv-SE"/>
        </w:rPr>
        <w:t>r</w:t>
      </w:r>
      <w:r w:rsidRPr="001B4EC1">
        <w:rPr>
          <w:snapToGrid w:val="0"/>
          <w:lang w:eastAsia="sv-SE"/>
        </w:rPr>
        <w:t xml:space="preserve">nationellt försvarsindustriellt </w:t>
      </w:r>
      <w:r w:rsidRPr="001B4EC1">
        <w:rPr>
          <w:rFonts w:ascii="TimesNewRoman" w:hAnsi="TimesNewRoman"/>
          <w:snapToGrid w:val="0"/>
          <w:lang w:eastAsia="sv-SE"/>
        </w:rPr>
        <w:t>samarbete för att trygga den svenska mat</w:t>
      </w:r>
      <w:r w:rsidRPr="001B4EC1">
        <w:rPr>
          <w:rFonts w:ascii="TimesNewRoman" w:hAnsi="TimesNewRoman"/>
          <w:snapToGrid w:val="0"/>
          <w:lang w:eastAsia="sv-SE"/>
        </w:rPr>
        <w:t>e</w:t>
      </w:r>
      <w:r w:rsidRPr="001B4EC1">
        <w:rPr>
          <w:rFonts w:ascii="TimesNewRoman" w:hAnsi="TimesNewRoman"/>
          <w:snapToGrid w:val="0"/>
          <w:lang w:eastAsia="sv-SE"/>
        </w:rPr>
        <w:t>rielförsörjningen. I balansen mellan olika riktlinjer för krigsmateriele</w:t>
      </w:r>
      <w:r w:rsidRPr="001B4EC1">
        <w:rPr>
          <w:rFonts w:ascii="TimesNewRoman" w:hAnsi="TimesNewRoman"/>
          <w:snapToGrid w:val="0"/>
          <w:lang w:eastAsia="sv-SE"/>
        </w:rPr>
        <w:t>x</w:t>
      </w:r>
      <w:r w:rsidRPr="001B4EC1">
        <w:rPr>
          <w:rFonts w:ascii="TimesNewRoman" w:hAnsi="TimesNewRoman"/>
          <w:snapToGrid w:val="0"/>
          <w:lang w:eastAsia="sv-SE"/>
        </w:rPr>
        <w:t>porten måste, enligt utskottets mening och i likhet med ett likalydande ställningstagande i betänkande 2002/03:UU9 (s. 10), nationens eget i</w:t>
      </w:r>
      <w:r w:rsidRPr="001B4EC1">
        <w:rPr>
          <w:rFonts w:ascii="TimesNewRoman" w:hAnsi="TimesNewRoman"/>
          <w:snapToGrid w:val="0"/>
          <w:lang w:eastAsia="sv-SE"/>
        </w:rPr>
        <w:t>n</w:t>
      </w:r>
      <w:r w:rsidRPr="001B4EC1">
        <w:rPr>
          <w:rFonts w:ascii="TimesNewRoman" w:hAnsi="TimesNewRoman"/>
          <w:snapToGrid w:val="0"/>
          <w:lang w:eastAsia="sv-SE"/>
        </w:rPr>
        <w:t>tresse ha förtur.</w:t>
      </w:r>
    </w:p>
    <w:p w:rsidR="00252869" w:rsidRPr="001B4EC1" w:rsidRDefault="00252869">
      <w:pPr>
        <w:pStyle w:val="Rubrik2"/>
      </w:pPr>
      <w:bookmarkStart w:id="154" w:name="_Toc72648581"/>
      <w:r w:rsidRPr="001B4EC1">
        <w:t>6.1 Svensk vapenexport i förhållande till folkrätten och FN-stadgan</w:t>
      </w:r>
      <w:bookmarkEnd w:id="154"/>
    </w:p>
    <w:p w:rsidR="00252869" w:rsidRPr="001B4EC1" w:rsidRDefault="00252869">
      <w:pPr>
        <w:pStyle w:val="Rubrik3"/>
        <w:spacing w:before="235"/>
        <w:rPr>
          <w:noProof w:val="0"/>
        </w:rPr>
      </w:pPr>
      <w:bookmarkStart w:id="155" w:name="_Toc72648582"/>
      <w:r w:rsidRPr="001B4EC1">
        <w:rPr>
          <w:noProof w:val="0"/>
        </w:rPr>
        <w:t>Anmälan</w:t>
      </w:r>
      <w:bookmarkEnd w:id="155"/>
    </w:p>
    <w:p w:rsidR="00252869" w:rsidRPr="001B4EC1" w:rsidRDefault="00252869">
      <w:r w:rsidRPr="001B4EC1">
        <w:t>I en anmälan till konstitutionsutskottet har begärts att utskottet granskar r</w:t>
      </w:r>
      <w:r w:rsidRPr="001B4EC1">
        <w:t>e</w:t>
      </w:r>
      <w:r w:rsidRPr="001B4EC1">
        <w:t xml:space="preserve">geringens ansvar vad gäller svensk vapenexport till de länder som deltog i Irakkriget, </w:t>
      </w:r>
      <w:r w:rsidRPr="001B4EC1">
        <w:rPr>
          <w:i/>
        </w:rPr>
        <w:t>bilaga A6.1.1</w:t>
      </w:r>
      <w:r w:rsidRPr="001B4EC1">
        <w:t>.</w:t>
      </w:r>
    </w:p>
    <w:p w:rsidR="00252869" w:rsidRPr="001B4EC1" w:rsidRDefault="00252869">
      <w:pPr>
        <w:pStyle w:val="Normaltindrag"/>
      </w:pPr>
      <w:r w:rsidRPr="001B4EC1">
        <w:t xml:space="preserve">I anmälan anförs bl.a. att Sverige under de senaste tre åren har exporterat krigsmateriel för 2 300 000 000 kr till de länder som deltagit i anfallskriget mot Irak, nämligen USA, Storbritannien, Australien, Spanien, Polen och Danmark. </w:t>
      </w:r>
    </w:p>
    <w:p w:rsidR="00252869" w:rsidRPr="001B4EC1" w:rsidRDefault="00252869">
      <w:pPr>
        <w:pStyle w:val="Normaltindrag"/>
      </w:pPr>
      <w:r w:rsidRPr="001B4EC1">
        <w:t xml:space="preserve">Anmälaren pekar på att enligt reglerna för svensk krigsmaterielexport skall svensk vapenexport vara förenlig med målen och principerna för svensk utrikespolitik. Krigsmateriel skall ej exporteras till stat som befinner sig i väpnad konflikt om denna stats militära agerande sker i strid med folkrätten. </w:t>
      </w:r>
    </w:p>
    <w:p w:rsidR="00252869" w:rsidRPr="001B4EC1" w:rsidRDefault="00252869">
      <w:pPr>
        <w:pStyle w:val="Normaltindrag"/>
      </w:pPr>
      <w:r w:rsidRPr="001B4EC1">
        <w:t>Vidare anförs i anmälan att USA:s militära angrepp på Irak inte var en av FN sanktionerad aktion för att upprätthålla fred och säkerhet eller att betrakta som självförsvar i den mening som avses i artikel 51 i FN-stadgan. Anmäl</w:t>
      </w:r>
      <w:r w:rsidRPr="001B4EC1">
        <w:t>a</w:t>
      </w:r>
      <w:r w:rsidRPr="001B4EC1">
        <w:t>ren menar vidare att det inte heller finns något folkrättsligt prejudikat som kunde rättfärdiga angreppet.</w:t>
      </w:r>
    </w:p>
    <w:p w:rsidR="00252869" w:rsidRPr="001B4EC1" w:rsidRDefault="00252869">
      <w:pPr>
        <w:pStyle w:val="Rubrik3"/>
        <w:rPr>
          <w:noProof w:val="0"/>
        </w:rPr>
      </w:pPr>
      <w:bookmarkStart w:id="156" w:name="_Toc72648583"/>
      <w:r w:rsidRPr="001B4EC1">
        <w:rPr>
          <w:noProof w:val="0"/>
        </w:rPr>
        <w:t>Promemoria från Utrikesdepartementet</w:t>
      </w:r>
      <w:bookmarkEnd w:id="156"/>
    </w:p>
    <w:p w:rsidR="00252869" w:rsidRPr="001B4EC1" w:rsidRDefault="00252869">
      <w:r w:rsidRPr="001B4EC1">
        <w:t xml:space="preserve">Utskottet har genom en skrivelse till Regeringskansliet begärt svar på vissa frågor. Av en inom Utrikesdepartementet upprättad promemoria, </w:t>
      </w:r>
      <w:r w:rsidRPr="001B4EC1">
        <w:rPr>
          <w:i/>
        </w:rPr>
        <w:t>bilaga A6.1.2</w:t>
      </w:r>
      <w:r w:rsidRPr="001B4EC1">
        <w:t>, som inkommit som svar på utskottets begäran framgår bl.a. följande. ISP har under perioden 2000–2003 inte överlämnat några tillståndsärenden rörande de i anmälan angivna staterna för beslut av regeringen. Partileda</w:t>
      </w:r>
      <w:r w:rsidRPr="001B4EC1">
        <w:t>r</w:t>
      </w:r>
      <w:r w:rsidRPr="001B4EC1">
        <w:t>överläggningar ägde rum den 19 mars 2003 rörande krigsmaterielexporten inför och under det väpnade angreppet mot Irak. Vid dessa överläggningar lämnades information om regeringens syn på krigsmaterielexporten till de länder som anges i anmälan mot bakgrund av det nära sambandet mel</w:t>
      </w:r>
      <w:r w:rsidRPr="001B4EC1">
        <w:t>lan en kontinuerlig långsiktig försvarsindustriell samverkan, försvarets behov av materielförsörjning och Sveriges säkerhetspolitiska intresse. I samband med Irakkriget våren 2003 har regeringen preciserat, förutom vad som gäller b</w:t>
      </w:r>
      <w:r w:rsidRPr="001B4EC1">
        <w:t>e</w:t>
      </w:r>
      <w:r w:rsidRPr="001B4EC1">
        <w:t>träffande de ovillkorliga riktlinjerna, att i en och samma situation kan vissa riktlinjer för krigsmaterielexporten tala för fortsatt export, medan andra talar emot. Ett väpnat angrepp som sådant, med eller utan FN-mandat, reser alltid frågan om krigsmaterielexporten från Sverige</w:t>
      </w:r>
      <w:r w:rsidRPr="001B4EC1">
        <w:t xml:space="preserve"> bör stoppas. Bland de prö</w:t>
      </w:r>
      <w:r w:rsidRPr="001B4EC1">
        <w:t>v</w:t>
      </w:r>
      <w:r w:rsidRPr="001B4EC1">
        <w:t>ningar som görs ingår folkrättsliga åtaganden, vilka måste balanseras mot den stora vikt regeringen fäster vid ett långtgående internationellt försvarsindus</w:t>
      </w:r>
      <w:r w:rsidRPr="001B4EC1">
        <w:t>t</w:t>
      </w:r>
      <w:r w:rsidRPr="001B4EC1">
        <w:t>riellt samarbete för att trygga Sveriges framtida materielförsörjning. I bala</w:t>
      </w:r>
      <w:r w:rsidRPr="001B4EC1">
        <w:t>n</w:t>
      </w:r>
      <w:r w:rsidRPr="001B4EC1">
        <w:t>sen mellan olika riktlinjer för krigsmaterielexporten har nationens eget intre</w:t>
      </w:r>
      <w:r w:rsidRPr="001B4EC1">
        <w:t>s</w:t>
      </w:r>
      <w:r w:rsidRPr="001B4EC1">
        <w:t>se förtur. Ytterst handlar det om att slå vakt om Sveriges långsiktiga säkerhet. En leveranssäkerhet byggd på långsiktighet är av vitalt säkerhetspolitiskt intresse för Sv</w:t>
      </w:r>
      <w:r w:rsidRPr="001B4EC1">
        <w:t>erige. Sveriges internationella samarbete bygger på ömsesidi</w:t>
      </w:r>
      <w:r w:rsidRPr="001B4EC1">
        <w:t>g</w:t>
      </w:r>
      <w:r w:rsidRPr="001B4EC1">
        <w:t>het och Sveriges trovärdighet som samarbetspartner. Detta gäller inte enbart på exportsidan  utan Sverige är också beroende av import för att säkra fö</w:t>
      </w:r>
      <w:r w:rsidRPr="001B4EC1">
        <w:t>r</w:t>
      </w:r>
      <w:r w:rsidRPr="001B4EC1">
        <w:t>svarsbehoven. Därför har en långsiktig samverkan byggts upp på det fö</w:t>
      </w:r>
      <w:r w:rsidRPr="001B4EC1">
        <w:t>r</w:t>
      </w:r>
      <w:r w:rsidRPr="001B4EC1">
        <w:t>svarsindustriella området med en rad länder, inklusive USA och Storbritann</w:t>
      </w:r>
      <w:r w:rsidRPr="001B4EC1">
        <w:t>i</w:t>
      </w:r>
      <w:r w:rsidRPr="001B4EC1">
        <w:t>en.</w:t>
      </w:r>
    </w:p>
    <w:p w:rsidR="00252869" w:rsidRPr="001B4EC1" w:rsidRDefault="00252869">
      <w:pPr>
        <w:pStyle w:val="Rubrik3"/>
        <w:rPr>
          <w:noProof w:val="0"/>
        </w:rPr>
      </w:pPr>
      <w:bookmarkStart w:id="157" w:name="_Toc72648584"/>
      <w:r w:rsidRPr="001B4EC1">
        <w:rPr>
          <w:noProof w:val="0"/>
        </w:rPr>
        <w:t>Utskottets ställningstagande</w:t>
      </w:r>
      <w:bookmarkEnd w:id="157"/>
    </w:p>
    <w:p w:rsidR="00252869" w:rsidRPr="001B4EC1" w:rsidRDefault="00252869">
      <w:r w:rsidRPr="001B4EC1">
        <w:t>Utskottet vill inledningsvis erinra om den uppgiftsfördelning som gäller sedan den 1 februari 1996 mellan regeringen och ISP, innebärande att myndigheten beslutar om den helt dominerande delen av exportärenden och att endast om särskilda skäl föreligger överlämnas ärenden till regeringen för beslut. Det är endast ärenden av den sistnämnda typen som är föremål för utskottets grans</w:t>
      </w:r>
      <w:r w:rsidRPr="001B4EC1">
        <w:t>k</w:t>
      </w:r>
      <w:r w:rsidRPr="001B4EC1">
        <w:t>ning i detta sammanhang. Av svaret från Regeringskansliet framgår därvid att ISP under perioden 2000–2003 inte överlämnat några tillståndsärenden röra</w:t>
      </w:r>
      <w:r w:rsidRPr="001B4EC1">
        <w:t>n</w:t>
      </w:r>
      <w:r w:rsidRPr="001B4EC1">
        <w:t>de de i granskningsanmälan angivna staterna för beslut till regeringen.</w:t>
      </w:r>
    </w:p>
    <w:p w:rsidR="00252869" w:rsidRPr="001B4EC1" w:rsidRDefault="00252869">
      <w:pPr>
        <w:pStyle w:val="Normaltindrag"/>
      </w:pPr>
      <w:r w:rsidRPr="001B4EC1">
        <w:t>Regeringen får enligt gällande bestämmelser meddela ytterligare för</w:t>
      </w:r>
      <w:r w:rsidRPr="001B4EC1">
        <w:t>e</w:t>
      </w:r>
      <w:r w:rsidRPr="001B4EC1">
        <w:t>skrifter om överlämnande av exportärenden till regeringen. Detta bemynd</w:t>
      </w:r>
      <w:r w:rsidRPr="001B4EC1">
        <w:t>i</w:t>
      </w:r>
      <w:r w:rsidRPr="001B4EC1">
        <w:t>gande kan utnyttjas av regeringen för att i krislägen eller andra tillspetsade situationer föreskriva t.ex. att alla ärenden som avser export till vissa länder skall överlämnas till regeringen för prövning. Utskottet noterar att regeringen inte har meddelat föreskrifter om att ärenden om export av krigsmateriel till de länder som deltog i Irakkriget bör överlämnas till regeringen för prövning. Denna omständighet kan emellertid inte för</w:t>
      </w:r>
      <w:r w:rsidRPr="001B4EC1">
        <w:t xml:space="preserve">anleda att grund finns för kritik från konstitutionell synpunkt vad gäller regeringens befattning med frågor som rör vapenexport. </w:t>
      </w:r>
    </w:p>
    <w:p w:rsidR="00252869" w:rsidRPr="001B4EC1" w:rsidRDefault="00252869">
      <w:pPr>
        <w:pStyle w:val="Normaltindrag"/>
      </w:pPr>
      <w:r w:rsidRPr="001B4EC1">
        <w:t>Ärendet föranleder inget ytterligare yttrande från utskottet.</w:t>
      </w:r>
    </w:p>
    <w:p w:rsidR="00252869" w:rsidRPr="001B4EC1" w:rsidRDefault="00252869">
      <w:pPr>
        <w:pStyle w:val="Rubrik2"/>
      </w:pPr>
      <w:bookmarkStart w:id="158" w:name="_Toc72648585"/>
      <w:r w:rsidRPr="001B4EC1">
        <w:t>6.2 Regeringens ansvar för uthyrningen av den svenska försvarsmaktens krigsmateriel till Storbritannien</w:t>
      </w:r>
      <w:bookmarkEnd w:id="158"/>
    </w:p>
    <w:p w:rsidR="00252869" w:rsidRPr="001B4EC1" w:rsidRDefault="00252869">
      <w:pPr>
        <w:pStyle w:val="Rubrik3"/>
        <w:spacing w:before="235"/>
        <w:rPr>
          <w:noProof w:val="0"/>
        </w:rPr>
      </w:pPr>
      <w:bookmarkStart w:id="159" w:name="_Toc72648586"/>
      <w:r w:rsidRPr="001B4EC1">
        <w:rPr>
          <w:noProof w:val="0"/>
        </w:rPr>
        <w:t>Anmälan</w:t>
      </w:r>
      <w:bookmarkEnd w:id="159"/>
    </w:p>
    <w:p w:rsidR="00252869" w:rsidRPr="001B4EC1" w:rsidRDefault="00252869">
      <w:r w:rsidRPr="001B4EC1">
        <w:t>I en anmälan till konstitutionsutskottet har begärts att utskottet granskar r</w:t>
      </w:r>
      <w:r w:rsidRPr="001B4EC1">
        <w:t>e</w:t>
      </w:r>
      <w:r w:rsidRPr="001B4EC1">
        <w:t>geringens ansvar för uthyrningen av den svenska försvarsmaktens krigsmat</w:t>
      </w:r>
      <w:r w:rsidRPr="001B4EC1">
        <w:t>e</w:t>
      </w:r>
      <w:r w:rsidRPr="001B4EC1">
        <w:t xml:space="preserve">riel till Storbritannien, </w:t>
      </w:r>
      <w:r w:rsidRPr="001B4EC1">
        <w:rPr>
          <w:i/>
        </w:rPr>
        <w:t>bilaga A6.2.1</w:t>
      </w:r>
      <w:r w:rsidRPr="001B4EC1">
        <w:t>.</w:t>
      </w:r>
    </w:p>
    <w:p w:rsidR="00252869" w:rsidRPr="001B4EC1" w:rsidRDefault="00252869">
      <w:pPr>
        <w:pStyle w:val="Normaltindrag"/>
      </w:pPr>
      <w:r w:rsidRPr="001B4EC1">
        <w:t>I anmälan anförs bl.a. att Ericsson Microvave Systems i Mölndal (Eric</w:t>
      </w:r>
      <w:r w:rsidRPr="001B4EC1">
        <w:t>s</w:t>
      </w:r>
      <w:r w:rsidRPr="001B4EC1">
        <w:t>son) i juni 2002 till Storbritannien sålde fyra enheter av Arthursystemet för lokalisering av fientligt artilleri. Affären godkändes av Exportkontrollrådet. Ericsson behövde dock flera år för att kunna leverera enheterna. När Iraks relationer till USA och dess allierade snabbt försämrades framförde Storbr</w:t>
      </w:r>
      <w:r w:rsidRPr="001B4EC1">
        <w:t>i</w:t>
      </w:r>
      <w:r w:rsidRPr="001B4EC1">
        <w:t>tannien önskemål om att de beställda enheterna skulle levereras tidigare. Från förråd i Kristinehamn lånades till Storbritannien ut fyra enheter tillhöriga det svenska försvaret. Inspektionen för strategi</w:t>
      </w:r>
      <w:r w:rsidRPr="001B4EC1">
        <w:t>ska produkter (ISP) har endast beviljat utförsel av de enheter som var under produktion och som skulle vara färdiga om några år. Däremot har ISP, enligt uppgift från myndigheten, inte haft någon befattning med den aktuella utlåningen av materiel till Storbrita</w:t>
      </w:r>
      <w:r w:rsidRPr="001B4EC1">
        <w:t>n</w:t>
      </w:r>
      <w:r w:rsidRPr="001B4EC1">
        <w:t>nien. Anmälarna anför även att en presstalesman vid det brittiska försvarsd</w:t>
      </w:r>
      <w:r w:rsidRPr="001B4EC1">
        <w:t>e</w:t>
      </w:r>
      <w:r w:rsidRPr="001B4EC1">
        <w:t>partementet har bekräftat att Arthurs</w:t>
      </w:r>
      <w:r w:rsidRPr="001B4EC1">
        <w:t>y</w:t>
      </w:r>
      <w:r w:rsidRPr="001B4EC1">
        <w:t>stemet har använts i Irakkriget.</w:t>
      </w:r>
    </w:p>
    <w:p w:rsidR="00252869" w:rsidRPr="001B4EC1" w:rsidRDefault="00252869">
      <w:pPr>
        <w:pStyle w:val="Normaltindrag"/>
      </w:pPr>
      <w:r w:rsidRPr="001B4EC1">
        <w:t>Enligt anmälarna kan försvarsmakten rimligen inte på egen hand hantera frågor om utförsel av aktuellt sl</w:t>
      </w:r>
      <w:r w:rsidRPr="001B4EC1">
        <w:t xml:space="preserve">ag </w:t>
      </w:r>
      <w:r w:rsidRPr="001B4EC1">
        <w:sym w:font="Symbol" w:char="F02D"/>
      </w:r>
      <w:r w:rsidRPr="001B4EC1">
        <w:t xml:space="preserve"> i all synnerhet inte i en sådan konflik</w:t>
      </w:r>
      <w:r w:rsidRPr="001B4EC1">
        <w:t>t</w:t>
      </w:r>
      <w:r w:rsidRPr="001B4EC1">
        <w:t>fylld utrikespolitisk sit</w:t>
      </w:r>
      <w:r w:rsidRPr="001B4EC1">
        <w:t>u</w:t>
      </w:r>
      <w:r w:rsidRPr="001B4EC1">
        <w:t xml:space="preserve">ation som rådde strax före Irakkrigets utbrott. </w:t>
      </w:r>
    </w:p>
    <w:p w:rsidR="00252869" w:rsidRPr="001B4EC1" w:rsidRDefault="00252869">
      <w:pPr>
        <w:pStyle w:val="R3"/>
      </w:pPr>
      <w:r w:rsidRPr="001B4EC1">
        <w:t>Artikel i Dagens Nyheter den 9 september 2003</w:t>
      </w:r>
    </w:p>
    <w:p w:rsidR="00252869" w:rsidRPr="001B4EC1" w:rsidRDefault="00252869">
      <w:pPr>
        <w:rPr>
          <w:snapToGrid w:val="0"/>
          <w:lang w:eastAsia="sv-SE"/>
        </w:rPr>
      </w:pPr>
      <w:r w:rsidRPr="001B4EC1">
        <w:t xml:space="preserve">I en artikel i Dagens Nyheter den 9 september 2003 anges att </w:t>
      </w:r>
      <w:r w:rsidRPr="001B4EC1">
        <w:rPr>
          <w:snapToGrid w:val="0"/>
          <w:lang w:eastAsia="sv-SE"/>
        </w:rPr>
        <w:t>Sverige lånade ut svenska försvarets avancerade radarsystem för lokalisering av fientligt artilleri till Storbritannien under Irakkriget. Av artikeln framgår att Försvar</w:t>
      </w:r>
      <w:r w:rsidRPr="001B4EC1">
        <w:rPr>
          <w:snapToGrid w:val="0"/>
          <w:lang w:eastAsia="sv-SE"/>
        </w:rPr>
        <w:t>s</w:t>
      </w:r>
      <w:r w:rsidRPr="001B4EC1">
        <w:rPr>
          <w:snapToGrid w:val="0"/>
          <w:lang w:eastAsia="sv-SE"/>
        </w:rPr>
        <w:t>makten vid årsskiftet fick en förfrågan om att låna ut radarsystemen till Sto</w:t>
      </w:r>
      <w:r w:rsidRPr="001B4EC1">
        <w:rPr>
          <w:snapToGrid w:val="0"/>
          <w:lang w:eastAsia="sv-SE"/>
        </w:rPr>
        <w:t>r</w:t>
      </w:r>
      <w:r w:rsidRPr="001B4EC1">
        <w:rPr>
          <w:snapToGrid w:val="0"/>
          <w:lang w:eastAsia="sv-SE"/>
        </w:rPr>
        <w:t>britannien och konstaterade att det från beredskaps- och utbildningssynpunkt var möjligt. Sedan underrättade Försvarsmakten Regeringskansliet om vad man tänkte fatta för beslut.</w:t>
      </w:r>
    </w:p>
    <w:p w:rsidR="00252869" w:rsidRPr="001B4EC1" w:rsidRDefault="00252869">
      <w:pPr>
        <w:pStyle w:val="Normaltindrag"/>
        <w:rPr>
          <w:snapToGrid w:val="0"/>
          <w:lang w:eastAsia="sv-SE"/>
        </w:rPr>
      </w:pPr>
      <w:r w:rsidRPr="001B4EC1">
        <w:rPr>
          <w:snapToGrid w:val="0"/>
          <w:lang w:eastAsia="sv-SE"/>
        </w:rPr>
        <w:t>Kommendörkapten Per-Fredrik Grill vid Försvarsmaktens högkvarter u</w:t>
      </w:r>
      <w:r w:rsidRPr="001B4EC1">
        <w:rPr>
          <w:snapToGrid w:val="0"/>
          <w:lang w:eastAsia="sv-SE"/>
        </w:rPr>
        <w:t>t</w:t>
      </w:r>
      <w:r w:rsidRPr="001B4EC1">
        <w:rPr>
          <w:snapToGrid w:val="0"/>
          <w:lang w:eastAsia="sv-SE"/>
        </w:rPr>
        <w:t>talar i art</w:t>
      </w:r>
      <w:r w:rsidRPr="001B4EC1">
        <w:rPr>
          <w:snapToGrid w:val="0"/>
          <w:lang w:eastAsia="sv-SE"/>
        </w:rPr>
        <w:t>i</w:t>
      </w:r>
      <w:r w:rsidRPr="001B4EC1">
        <w:rPr>
          <w:snapToGrid w:val="0"/>
          <w:lang w:eastAsia="sv-SE"/>
        </w:rPr>
        <w:t>keln:</w:t>
      </w:r>
    </w:p>
    <w:p w:rsidR="00252869" w:rsidRPr="001B4EC1" w:rsidRDefault="00252869">
      <w:pPr>
        <w:pStyle w:val="Citat"/>
        <w:spacing w:before="125"/>
        <w:rPr>
          <w:snapToGrid w:val="0"/>
          <w:lang w:eastAsia="sv-SE"/>
        </w:rPr>
      </w:pPr>
      <w:r w:rsidRPr="001B4EC1">
        <w:rPr>
          <w:snapToGrid w:val="0"/>
          <w:lang w:eastAsia="sv-SE"/>
        </w:rPr>
        <w:t xml:space="preserve">Vi meddelade vår avsikt att låna ut radarsystemen.  Men vi skulle inte blivit förvånade om regeringen skulle fattat ett annat beslut, inte ens om det skulle gjorts utan motivering … </w:t>
      </w:r>
    </w:p>
    <w:p w:rsidR="00252869" w:rsidRPr="001B4EC1" w:rsidRDefault="00252869">
      <w:pPr>
        <w:rPr>
          <w:snapToGrid w:val="0"/>
          <w:lang w:eastAsia="sv-SE"/>
        </w:rPr>
      </w:pPr>
      <w:r w:rsidRPr="001B4EC1">
        <w:rPr>
          <w:snapToGrid w:val="0"/>
          <w:lang w:eastAsia="sv-SE"/>
        </w:rPr>
        <w:t xml:space="preserve">I en intervju som redovisas i artikeln uttalar försvarsminister Leni Björklund att ställningstagandet till utlåningen ligger hos ISP.  Hon anför bl.a. att det </w:t>
      </w:r>
      <w:r w:rsidRPr="001B4EC1">
        <w:rPr>
          <w:snapToGrid w:val="0"/>
          <w:lang w:eastAsia="sv-SE"/>
        </w:rPr>
        <w:br/>
        <w:t>” … är ISP som gör den bedömningen. Vi har inte haft med utlåningen att göra”.</w:t>
      </w:r>
    </w:p>
    <w:p w:rsidR="00252869" w:rsidRPr="001B4EC1" w:rsidRDefault="00252869">
      <w:pPr>
        <w:pStyle w:val="Normaltindrag"/>
        <w:rPr>
          <w:snapToGrid w:val="0"/>
          <w:lang w:eastAsia="sv-SE"/>
        </w:rPr>
      </w:pPr>
      <w:r w:rsidRPr="001B4EC1">
        <w:rPr>
          <w:snapToGrid w:val="0"/>
          <w:lang w:eastAsia="sv-SE"/>
        </w:rPr>
        <w:t>I samma artikel uttalar Lars-Hjalmar Wide, generaldirektör för ISP:</w:t>
      </w:r>
    </w:p>
    <w:p w:rsidR="00252869" w:rsidRPr="001B4EC1" w:rsidRDefault="00252869">
      <w:pPr>
        <w:pStyle w:val="Citat"/>
        <w:spacing w:before="125"/>
        <w:rPr>
          <w:snapToGrid w:val="0"/>
          <w:lang w:eastAsia="sv-SE"/>
        </w:rPr>
      </w:pPr>
      <w:r w:rsidRPr="001B4EC1">
        <w:rPr>
          <w:snapToGrid w:val="0"/>
          <w:lang w:eastAsia="sv-SE"/>
        </w:rPr>
        <w:t>Vi har inget mandat att låna ut Försvarsmaktens materiel.  Det beslutet fattas inte av oss.  Vi uttalar oss bara om utförseln är till</w:t>
      </w:r>
      <w:r w:rsidRPr="001B4EC1">
        <w:rPr>
          <w:snapToGrid w:val="0"/>
          <w:lang w:eastAsia="sv-SE"/>
        </w:rPr>
        <w:t>å</w:t>
      </w:r>
      <w:r w:rsidRPr="001B4EC1">
        <w:rPr>
          <w:snapToGrid w:val="0"/>
          <w:lang w:eastAsia="sv-SE"/>
        </w:rPr>
        <w:t xml:space="preserve">ten … </w:t>
      </w:r>
    </w:p>
    <w:p w:rsidR="00252869" w:rsidRPr="001B4EC1" w:rsidRDefault="00252869">
      <w:pPr>
        <w:rPr>
          <w:snapToGrid w:val="0"/>
          <w:lang w:eastAsia="sv-SE"/>
        </w:rPr>
      </w:pPr>
      <w:r w:rsidRPr="001B4EC1">
        <w:rPr>
          <w:snapToGrid w:val="0"/>
          <w:lang w:eastAsia="sv-SE"/>
        </w:rPr>
        <w:t>Enligt artikeln har vidare försvarsministern uttalat att hon och regeringen inte kunde besluta om utlåningen. Hon anförde därvid: ”Det är ett beslut som myndigheten tar. Om myndigheten vill underställa regeringen det då gör man det.”</w:t>
      </w:r>
    </w:p>
    <w:p w:rsidR="00252869" w:rsidRPr="001B4EC1" w:rsidRDefault="00252869">
      <w:pPr>
        <w:pStyle w:val="Normaltindrag"/>
        <w:rPr>
          <w:snapToGrid w:val="0"/>
          <w:lang w:eastAsia="sv-SE"/>
        </w:rPr>
      </w:pPr>
      <w:r w:rsidRPr="001B4EC1">
        <w:rPr>
          <w:snapToGrid w:val="0"/>
          <w:lang w:eastAsia="sv-SE"/>
        </w:rPr>
        <w:t>På frågan om regeringen har fått någon framställan angående utlåningen från Försvarsmakten svarar försvarsministern: ”Ja, men det är viktigt att komma ihåg att det enda Försvarsmakten ska uttala sig om är om det är läm</w:t>
      </w:r>
      <w:r w:rsidRPr="001B4EC1">
        <w:rPr>
          <w:snapToGrid w:val="0"/>
          <w:lang w:eastAsia="sv-SE"/>
        </w:rPr>
        <w:t>p</w:t>
      </w:r>
      <w:r w:rsidRPr="001B4EC1">
        <w:rPr>
          <w:snapToGrid w:val="0"/>
          <w:lang w:eastAsia="sv-SE"/>
        </w:rPr>
        <w:t>ligt med hänsyn till bere</w:t>
      </w:r>
      <w:r w:rsidRPr="001B4EC1">
        <w:rPr>
          <w:snapToGrid w:val="0"/>
          <w:lang w:eastAsia="sv-SE"/>
        </w:rPr>
        <w:t>d</w:t>
      </w:r>
      <w:r w:rsidRPr="001B4EC1">
        <w:rPr>
          <w:snapToGrid w:val="0"/>
          <w:lang w:eastAsia="sv-SE"/>
        </w:rPr>
        <w:t>skaps- och utbildningsbehov.”</w:t>
      </w:r>
    </w:p>
    <w:p w:rsidR="00252869" w:rsidRPr="001B4EC1" w:rsidRDefault="00252869">
      <w:pPr>
        <w:pStyle w:val="R3"/>
      </w:pPr>
      <w:r w:rsidRPr="001B4EC1">
        <w:t>Allmänt om statsrättsliga regler för regeringens styrning av Försvar</w:t>
      </w:r>
      <w:r w:rsidRPr="001B4EC1">
        <w:t>s</w:t>
      </w:r>
      <w:r w:rsidRPr="001B4EC1">
        <w:t>makten</w:t>
      </w:r>
    </w:p>
    <w:p w:rsidR="00252869" w:rsidRPr="001B4EC1" w:rsidRDefault="00252869">
      <w:r w:rsidRPr="001B4EC1">
        <w:t>I likhet med de flesta andra statliga förvaltningsmyndigheter lyder Försvar</w:t>
      </w:r>
      <w:r w:rsidRPr="001B4EC1">
        <w:t>s</w:t>
      </w:r>
      <w:r w:rsidRPr="001B4EC1">
        <w:t>makten under regeringen. Detta följer av föreskriften i 11 kap. 6 § regering</w:t>
      </w:r>
      <w:r w:rsidRPr="001B4EC1">
        <w:t>s</w:t>
      </w:r>
      <w:r w:rsidRPr="001B4EC1">
        <w:t>formen. Regeringen är därmed högsta förvaltningsmyndighet på området. Detta innebär bl.a. att den utfärdar föreskrifter för Försvarsmakten inom ramen för sin kompetens enligt 8 kap. regeringsformen eller enligt riksdagens på bestämmelser i samma kapitel grundade bemyndiganden (se Erik Hol</w:t>
      </w:r>
      <w:r w:rsidRPr="001B4EC1">
        <w:t>m</w:t>
      </w:r>
      <w:r w:rsidRPr="001B4EC1">
        <w:t xml:space="preserve">berg och Nils Stjernquist, Grundlagarna med tillhörande författningar, 1980, s. 376). Regeringen kan vidare i kraft av sin ställning som högsta </w:t>
      </w:r>
      <w:r w:rsidRPr="001B4EC1">
        <w:t>förval</w:t>
      </w:r>
      <w:r w:rsidRPr="001B4EC1">
        <w:t>t</w:t>
      </w:r>
      <w:r w:rsidRPr="001B4EC1">
        <w:t>ningsmyndighet meddela vissa förvaltningsbeslut i första instans. Den har också viss befälsrätt med avseende på konkreta ärenden som rör Försvar</w:t>
      </w:r>
      <w:r w:rsidRPr="001B4EC1">
        <w:t>s</w:t>
      </w:r>
      <w:r w:rsidRPr="001B4EC1">
        <w:t>makten (se Holmberg och Stjernquist a.a. s. 376 och 380 f.). Regeringen saknar dock befälsrätt såvitt avser Försvarsmaktens beslut i särskilda fall i ärenden som rör myndighetsutövning mot enskild eller mot kommun eller som rör tillämpning av lag. Detta följer av föreskriften i 11 kap. 7 § regering</w:t>
      </w:r>
      <w:r w:rsidRPr="001B4EC1">
        <w:t>s</w:t>
      </w:r>
      <w:r w:rsidRPr="001B4EC1">
        <w:t>formen.</w:t>
      </w:r>
    </w:p>
    <w:p w:rsidR="00252869" w:rsidRPr="001B4EC1" w:rsidRDefault="00252869">
      <w:pPr>
        <w:pStyle w:val="Rubrik3"/>
        <w:rPr>
          <w:noProof w:val="0"/>
        </w:rPr>
      </w:pPr>
      <w:bookmarkStart w:id="160" w:name="_Toc72648587"/>
      <w:r w:rsidRPr="001B4EC1">
        <w:rPr>
          <w:noProof w:val="0"/>
        </w:rPr>
        <w:t>Promemoria från Försvarsdepartementet</w:t>
      </w:r>
      <w:bookmarkEnd w:id="160"/>
    </w:p>
    <w:p w:rsidR="00252869" w:rsidRPr="001B4EC1" w:rsidRDefault="00252869">
      <w:r w:rsidRPr="001B4EC1">
        <w:t xml:space="preserve">Utskottet har genom en skrivelse till Regeringskansliet begärt svar på vissa frågor. Av en inom Försvarsdepartementet upprättad promemoria, </w:t>
      </w:r>
      <w:r w:rsidRPr="001B4EC1">
        <w:rPr>
          <w:i/>
        </w:rPr>
        <w:t>bilaga A6.2.2</w:t>
      </w:r>
      <w:r w:rsidRPr="001B4EC1">
        <w:t>, som inkommit som svar på utskottets begäran framgår bl.a. följande. Den brittiska förfrågan skedde inom ramen för en redan beställd och av ISP godkänd försäljning av nya radarsystem från Ericsson. Förfrågan ställdes till Ericsson, och det var företaget som i sin tur frågade om utlåning kunde ske. Försvarsmakten har i uppdrag att medverka i exportstödjande verksamhet, vilket i vissa fall även innebär utlåning av materiel ur egna förråd – i den mån detta kan ske utan men för den operativa förmå</w:t>
      </w:r>
      <w:r w:rsidRPr="001B4EC1">
        <w:t>gan. Försvarsmaktens bedö</w:t>
      </w:r>
      <w:r w:rsidRPr="001B4EC1">
        <w:t>m</w:t>
      </w:r>
      <w:r w:rsidRPr="001B4EC1">
        <w:t>ning i detta fall var att den aktuella radarutrustningen kunde lånas ut till Ericsson för vidareutlåning till Storbritannien utan att detta inkräktade på beredskap</w:t>
      </w:r>
      <w:r w:rsidRPr="001B4EC1">
        <w:t>s</w:t>
      </w:r>
      <w:r w:rsidRPr="001B4EC1">
        <w:t>kraven.</w:t>
      </w:r>
    </w:p>
    <w:p w:rsidR="00252869" w:rsidRPr="001B4EC1" w:rsidRDefault="00252869">
      <w:pPr>
        <w:pStyle w:val="Normaltindrag"/>
      </w:pPr>
      <w:r w:rsidRPr="001B4EC1">
        <w:t>Försvarsmakten har till Försvarsdepartementet anmält myndighetens avsikt att låna ut fyra artillerilokaliseringsradar till Ericsson, och att uppdra åt Fö</w:t>
      </w:r>
      <w:r w:rsidRPr="001B4EC1">
        <w:t>r</w:t>
      </w:r>
      <w:r w:rsidRPr="001B4EC1">
        <w:t>svarets materielverk att ingå avtal om detta med Ericsson. Företaget avsåg i sin tur att leasa ut radarstationerna till Storbritannien i väntan på serieleverans av nya radarstationer från Ericsson. Storbritannien var redan av ISP godkänt som mottagarland vid försäljning av produkterna.</w:t>
      </w:r>
    </w:p>
    <w:p w:rsidR="00252869" w:rsidRPr="001B4EC1" w:rsidRDefault="00252869">
      <w:pPr>
        <w:pStyle w:val="Normaltindrag"/>
      </w:pPr>
      <w:r w:rsidRPr="001B4EC1">
        <w:t>Mot den anförda bakgrunden beslöt expeditions- och rättschefen vid Fö</w:t>
      </w:r>
      <w:r w:rsidRPr="001B4EC1">
        <w:t>r</w:t>
      </w:r>
      <w:r w:rsidRPr="001B4EC1">
        <w:t>svarsdepartementet att avskriva beredskapsärendet. Enligt gällande praxis innebär detta att Försvarsdepartementet inte har någon erinran mot Försvar</w:t>
      </w:r>
      <w:r w:rsidRPr="001B4EC1">
        <w:t>s</w:t>
      </w:r>
      <w:r w:rsidRPr="001B4EC1">
        <w:t>maktens beslutsavsikt. Försvarsdepartementet har endast hanterat frågan om lämpligheten av Försvarsmaktens utlåning av de aktuella radarstationerna ur beredskapshänseende.</w:t>
      </w:r>
    </w:p>
    <w:p w:rsidR="00252869" w:rsidRPr="001B4EC1" w:rsidRDefault="00252869">
      <w:pPr>
        <w:pStyle w:val="Rubrik4"/>
        <w:rPr>
          <w:noProof w:val="0"/>
        </w:rPr>
      </w:pPr>
      <w:bookmarkStart w:id="161" w:name="_Toc72648588"/>
      <w:r w:rsidRPr="001B4EC1">
        <w:rPr>
          <w:noProof w:val="0"/>
        </w:rPr>
        <w:t>Promemoria från Inspektionen för strategiska produkter m.m.</w:t>
      </w:r>
      <w:bookmarkEnd w:id="161"/>
    </w:p>
    <w:p w:rsidR="00252869" w:rsidRPr="001B4EC1" w:rsidRDefault="00252869">
      <w:r w:rsidRPr="001B4EC1">
        <w:t xml:space="preserve">Utskottet har genom en skrivelse till ISP bett om svar på vissa frågor. Av en inom ISP upprättad promemoria, </w:t>
      </w:r>
      <w:r w:rsidRPr="001B4EC1">
        <w:rPr>
          <w:i/>
        </w:rPr>
        <w:t>bilaga A6.2.3</w:t>
      </w:r>
      <w:r w:rsidRPr="001B4EC1">
        <w:t>, som inkommit som svar på utskottets förfrågan framgår följande. ISP har den 8 oktober 2003 beviljat tillstånd avseende försäljning av fyra artillerilokaliseringssystem Arthur till Defence Procurement Agency (Storbritannien). Den 16 januari 2003 har ISP beviljat tillstånd avseende leasing av fyra artillerilokaliseringssystem Arthur till Defence Pr</w:t>
      </w:r>
      <w:r w:rsidRPr="001B4EC1">
        <w:t>o</w:t>
      </w:r>
      <w:r w:rsidRPr="001B4EC1">
        <w:t>curement Agency (Storbritannien).</w:t>
      </w:r>
    </w:p>
    <w:p w:rsidR="00252869" w:rsidRPr="001B4EC1" w:rsidRDefault="00252869">
      <w:r w:rsidRPr="001B4EC1">
        <w:t>Av en inom Utrikesdepartementet upprättad promemoria, som redovisas i avsnitt 6.1, framgår att partiledaröverläggn</w:t>
      </w:r>
      <w:r w:rsidRPr="001B4EC1">
        <w:t>ingar ägde rum den 19 mars 2003 rörande krigsmaterielexporten inför och under det väpnade angreppet mot Irak.</w:t>
      </w:r>
    </w:p>
    <w:p w:rsidR="00252869" w:rsidRPr="001B4EC1" w:rsidRDefault="00252869">
      <w:pPr>
        <w:pStyle w:val="R3"/>
      </w:pPr>
      <w:r w:rsidRPr="001B4EC1">
        <w:t>Behörigheten för expeditions- och rättschefen vid Försvarsdepartementet att lägga vissa skrivelser till handlingarna</w:t>
      </w:r>
    </w:p>
    <w:p w:rsidR="00252869" w:rsidRPr="001B4EC1" w:rsidRDefault="00252869">
      <w:r w:rsidRPr="001B4EC1">
        <w:t>Chefen för ett departement skall enligt 31 § förordningen (1996:1515) med instruktion för Regeringskansliet föreskriva eller för särskilda fall besluta om bl.a. chefstjänstemännens och huvudmännens uppgifter och fördelningen av arbetet mellan dem. Ärenden som inte behöver avgöras av departementsch</w:t>
      </w:r>
      <w:r w:rsidRPr="001B4EC1">
        <w:t>e</w:t>
      </w:r>
      <w:r w:rsidRPr="001B4EC1">
        <w:t>fen får avgöras av ett annat statsråd eller av en tjänsteman i Regeringskansl</w:t>
      </w:r>
      <w:r w:rsidRPr="001B4EC1">
        <w:t>i</w:t>
      </w:r>
      <w:r w:rsidRPr="001B4EC1">
        <w:t>et. Hur detta skall ske anges i en arbetsordning för departementet eller i sä</w:t>
      </w:r>
      <w:r w:rsidRPr="001B4EC1">
        <w:t>r</w:t>
      </w:r>
      <w:r w:rsidRPr="001B4EC1">
        <w:t xml:space="preserve">skilda beslut. </w:t>
      </w:r>
    </w:p>
    <w:p w:rsidR="00252869" w:rsidRPr="001B4EC1" w:rsidRDefault="00252869">
      <w:pPr>
        <w:pStyle w:val="Normaltindrag"/>
      </w:pPr>
      <w:r w:rsidRPr="001B4EC1">
        <w:t>I Regeringskansliets föreskrifter med arbetsordning för Försvarsdepart</w:t>
      </w:r>
      <w:r w:rsidRPr="001B4EC1">
        <w:t>e</w:t>
      </w:r>
      <w:r w:rsidRPr="001B4EC1">
        <w:t>mentet (RFK 2001:06) ges ytterligare bestämmelser i ämnet. Enligt 42 § får expeditions- och rättschefen besluta att skrivelser i ärenden som inte skall avgöras av regeringen skall läggas till handlingarna. Expeditions- och rätt</w:t>
      </w:r>
      <w:r w:rsidRPr="001B4EC1">
        <w:t>s</w:t>
      </w:r>
      <w:r w:rsidRPr="001B4EC1">
        <w:t>chefen vid Försvarsdepartementet Helena Lindberg har vid kontakt med u</w:t>
      </w:r>
      <w:r w:rsidRPr="001B4EC1">
        <w:t>t</w:t>
      </w:r>
      <w:r w:rsidRPr="001B4EC1">
        <w:t>skottets kansli upplyst om att expeditions- och rättschefen med stöd av den sistnämnda bestämmelsen kan avskriva en anmälan som inte har ett yrkande till regeringen g</w:t>
      </w:r>
      <w:r w:rsidRPr="001B4EC1">
        <w:t>e</w:t>
      </w:r>
      <w:r w:rsidRPr="001B4EC1">
        <w:t>nom att lägga den till handlingarna.</w:t>
      </w:r>
    </w:p>
    <w:p w:rsidR="00252869" w:rsidRPr="001B4EC1" w:rsidRDefault="00252869">
      <w:pPr>
        <w:pStyle w:val="Rubrik4"/>
        <w:rPr>
          <w:noProof w:val="0"/>
        </w:rPr>
      </w:pPr>
      <w:bookmarkStart w:id="162" w:name="_Toc72648589"/>
      <w:r w:rsidRPr="001B4EC1">
        <w:rPr>
          <w:noProof w:val="0"/>
        </w:rPr>
        <w:t>Utfrågni</w:t>
      </w:r>
      <w:r w:rsidRPr="001B4EC1">
        <w:rPr>
          <w:noProof w:val="0"/>
        </w:rPr>
        <w:t>ng med försvarsminister Leni Björklund</w:t>
      </w:r>
      <w:bookmarkEnd w:id="162"/>
    </w:p>
    <w:p w:rsidR="00252869" w:rsidRPr="001B4EC1" w:rsidRDefault="00252869">
      <w:r w:rsidRPr="001B4EC1">
        <w:t xml:space="preserve">Utskottet har hållit utfrågning med försvarsminister Leni Björklund, </w:t>
      </w:r>
      <w:r w:rsidRPr="001B4EC1">
        <w:rPr>
          <w:i/>
        </w:rPr>
        <w:t>bilaga</w:t>
      </w:r>
      <w:r w:rsidRPr="001B4EC1">
        <w:t xml:space="preserve"> </w:t>
      </w:r>
      <w:r w:rsidRPr="001B4EC1">
        <w:rPr>
          <w:i/>
        </w:rPr>
        <w:t>B5.</w:t>
      </w:r>
      <w:r w:rsidRPr="001B4EC1">
        <w:t xml:space="preserve"> Vid utfrågningen framkom bl.a. följande.</w:t>
      </w:r>
    </w:p>
    <w:p w:rsidR="00252869" w:rsidRPr="001B4EC1" w:rsidRDefault="00252869">
      <w:pPr>
        <w:pStyle w:val="Normaltindrag"/>
      </w:pPr>
      <w:r w:rsidRPr="001B4EC1">
        <w:t>Utförselfrågan har inte varit föremål för hennes och Försvarsdeparteme</w:t>
      </w:r>
      <w:r w:rsidRPr="001B4EC1">
        <w:t>n</w:t>
      </w:r>
      <w:r w:rsidRPr="001B4EC1">
        <w:t>tets bedömning. Den frågan har hanterats av ISP i enlighet med bestämmelser i lag.</w:t>
      </w:r>
    </w:p>
    <w:p w:rsidR="00252869" w:rsidRPr="001B4EC1" w:rsidRDefault="00252869">
      <w:pPr>
        <w:pStyle w:val="Normaltindrag"/>
      </w:pPr>
      <w:r w:rsidRPr="001B4EC1">
        <w:t>Försvarsmakten har anmält en beslutsavsikt att låna ut viss krigsmateriel till Storbritannien. I sin anmälan – den innehöll inte något yrkande till rege</w:t>
      </w:r>
      <w:r w:rsidRPr="001B4EC1">
        <w:t>r</w:t>
      </w:r>
      <w:r w:rsidRPr="001B4EC1">
        <w:t>ingen – bedömde Försvarsmakten att en sådan utlåning kunde ske utan att det inkräktade på de svenska beredskapskraven. Det här var information som Försvarsmakten lämnade för att efterleva regeringens beslut i regleringsbrevet om att myndigheten skall anmäla frågor som av särskilda skäl bör föranleda regeringens eller Regeringskansliets ställningstagande. Det handlade alltså om att göra en bedömning av om utlåning av materiel till Storbritannien p</w:t>
      </w:r>
      <w:r w:rsidRPr="001B4EC1">
        <w:t>å</w:t>
      </w:r>
      <w:r w:rsidRPr="001B4EC1">
        <w:t>verkade Sveriges operativa förmåga, eller annorlunda uttryck</w:t>
      </w:r>
      <w:r w:rsidRPr="001B4EC1">
        <w:t>t Sveriges b</w:t>
      </w:r>
      <w:r w:rsidRPr="001B4EC1">
        <w:t>e</w:t>
      </w:r>
      <w:r w:rsidRPr="001B4EC1">
        <w:t>redskapsförmåga. Vid den beredning som ägde rum i departementet framkom ingenting som gjorde att försvarsministern hade skäl att hänskjuta den b</w:t>
      </w:r>
      <w:r w:rsidRPr="001B4EC1">
        <w:t>e</w:t>
      </w:r>
      <w:r w:rsidRPr="001B4EC1">
        <w:t>dömningsfrågan till regeringens bedömning. Därmed kunde ärendet avskrivas som ett regering</w:t>
      </w:r>
      <w:r w:rsidRPr="001B4EC1">
        <w:t>s</w:t>
      </w:r>
      <w:r w:rsidRPr="001B4EC1">
        <w:t>kansliärende.</w:t>
      </w:r>
    </w:p>
    <w:p w:rsidR="00252869" w:rsidRPr="001B4EC1" w:rsidRDefault="00252869">
      <w:pPr>
        <w:pStyle w:val="Normaltindrag"/>
      </w:pPr>
      <w:r w:rsidRPr="001B4EC1">
        <w:t>Det hade varit möjligt för Försvarsmakten att underställa frågan regerin</w:t>
      </w:r>
      <w:r w:rsidRPr="001B4EC1">
        <w:t>g</w:t>
      </w:r>
      <w:r w:rsidRPr="001B4EC1">
        <w:t>ens prövning genom att ha en attsats, ett yrkande, i den framställning man gjorde. Men det fanns ingen sådan.</w:t>
      </w:r>
    </w:p>
    <w:p w:rsidR="00252869" w:rsidRPr="001B4EC1" w:rsidRDefault="00252869">
      <w:pPr>
        <w:pStyle w:val="Normaltindrag"/>
      </w:pPr>
      <w:r w:rsidRPr="001B4EC1">
        <w:t>Eftersom ärendet inte har aktualiserats via ISP har det inte varit aktuellt att göra någon bedömning utifrån de kriterier som finns för utförsel av krigsm</w:t>
      </w:r>
      <w:r w:rsidRPr="001B4EC1">
        <w:t>a</w:t>
      </w:r>
      <w:r w:rsidRPr="001B4EC1">
        <w:t>teriel till länder i kris eller där en krigssituation kan uppkomma. I den geme</w:t>
      </w:r>
      <w:r w:rsidRPr="001B4EC1">
        <w:t>n</w:t>
      </w:r>
      <w:r w:rsidRPr="001B4EC1">
        <w:t>samma beredningen som skulle ske i ett ärende som handlar om utförsel skulle Försvarsdepartementet haft att bedöma om ärendet skulle påverka säkerhetsläget för Sverige. En sådan prövning har inte varit aktuell i det här fallet.</w:t>
      </w:r>
    </w:p>
    <w:p w:rsidR="00252869" w:rsidRPr="001B4EC1" w:rsidRDefault="00252869">
      <w:pPr>
        <w:pStyle w:val="Normaltindrag"/>
      </w:pPr>
      <w:r w:rsidRPr="001B4EC1">
        <w:t xml:space="preserve">Ärendet aktualiserades inte under Irakkriget utan under en uppladdning till krig när det fortfarande pågick vapeninspektioner och överläggningar i FN:s säkerhetsråd om hur frågan om Irak skulle hanteras. </w:t>
      </w:r>
      <w:r w:rsidRPr="001B4EC1">
        <w:t>Att informera de andra partierna om hur Försvarsmakten uppfattade beredskapsläget och utbil</w:t>
      </w:r>
      <w:r w:rsidRPr="001B4EC1">
        <w:t>d</w:t>
      </w:r>
      <w:r w:rsidRPr="001B4EC1">
        <w:t>ningsläget i Sverige fem veckor innan ett krig startade har försvarsministern inte ansett vara akt</w:t>
      </w:r>
      <w:r w:rsidRPr="001B4EC1">
        <w:t>u</w:t>
      </w:r>
      <w:r w:rsidRPr="001B4EC1">
        <w:t>ellt.</w:t>
      </w:r>
    </w:p>
    <w:p w:rsidR="00252869" w:rsidRPr="001B4EC1" w:rsidRDefault="00252869">
      <w:pPr>
        <w:pStyle w:val="Normaltindrag"/>
      </w:pPr>
      <w:r w:rsidRPr="001B4EC1">
        <w:t>Regeringen i sin helhet har inte kommit i kontakt med ärendet. När fö</w:t>
      </w:r>
      <w:r w:rsidRPr="001B4EC1">
        <w:t>r</w:t>
      </w:r>
      <w:r w:rsidRPr="001B4EC1">
        <w:t>svarsministern fick kännedom om frågan nämnde hon det för både Anna Lindh och Gunnar Lund därför att ärendet skulle kunna komma via ISP till regeringen. Men nu avgjorde ISP ärendet, och därmed blev det ingen vidare diskussion i regerin</w:t>
      </w:r>
      <w:r w:rsidRPr="001B4EC1">
        <w:t>g</w:t>
      </w:r>
      <w:r w:rsidRPr="001B4EC1">
        <w:t xml:space="preserve">en om det här aktuella ärendet. </w:t>
      </w:r>
    </w:p>
    <w:p w:rsidR="00252869" w:rsidRPr="001B4EC1" w:rsidRDefault="00252869">
      <w:pPr>
        <w:pStyle w:val="Rubrik3"/>
        <w:rPr>
          <w:noProof w:val="0"/>
        </w:rPr>
      </w:pPr>
      <w:bookmarkStart w:id="163" w:name="_Toc72648590"/>
      <w:r w:rsidRPr="001B4EC1">
        <w:rPr>
          <w:noProof w:val="0"/>
        </w:rPr>
        <w:t>Utskottets ställningstagande</w:t>
      </w:r>
      <w:bookmarkEnd w:id="163"/>
    </w:p>
    <w:p w:rsidR="00252869" w:rsidRPr="001B4EC1" w:rsidRDefault="00252869">
      <w:r w:rsidRPr="001B4EC1">
        <w:t xml:space="preserve">Utskottet vill inledningsvis erinra om den uppgiftsfördelning som gäller sedan den 1 februari 1996 mellan regeringen och ISP, innebärande att myndigheten som huvudregel beslutar om exportärenden och att endast om särskilda skäl föreligger överlämnas ärenden till regeringen för beslut. Utskottet noterar att regeringen inte har meddelat ytterligare föreskrifter om att ärenden av det nu aktuella slaget skall överlämnas till regeringen för beslut. </w:t>
      </w:r>
    </w:p>
    <w:p w:rsidR="00252869" w:rsidRPr="001B4EC1" w:rsidRDefault="00252869">
      <w:pPr>
        <w:pStyle w:val="Normaltindrag"/>
      </w:pPr>
      <w:r w:rsidRPr="001B4EC1">
        <w:t>Av svaret från ISP framgår att myndigheten har prövat frågan om tillstånd till utförsel till Storbritannien av den materiel som avses i granskningsanm</w:t>
      </w:r>
      <w:r w:rsidRPr="001B4EC1">
        <w:t>ä</w:t>
      </w:r>
      <w:r w:rsidRPr="001B4EC1">
        <w:t>lan. Detta tillståndsärende har således inte överlämnats för beslut till rege</w:t>
      </w:r>
      <w:r w:rsidRPr="001B4EC1">
        <w:t>r</w:t>
      </w:r>
      <w:r w:rsidRPr="001B4EC1">
        <w:t>ingen, utan har handlagts av ISP.</w:t>
      </w:r>
    </w:p>
    <w:p w:rsidR="00252869" w:rsidRPr="001B4EC1" w:rsidRDefault="00252869">
      <w:pPr>
        <w:pStyle w:val="Normaltindrag"/>
      </w:pPr>
      <w:r w:rsidRPr="001B4EC1">
        <w:t>Försvarsmakten har till Försvarsdepartementet anmält myndighetens avsikt att till Storbritannien låna ut den nu aktuella materielen. Anmälan har inte innefattat någon framställning om att regeringen skulle vidta en viss åtgärd. Utskottet konstaterar att det därmed enligt gällande föreskrifter inte har ålegat regeringen att ta upp anmälan från Försvarsmakten till prövning. Det har vidare framkommi</w:t>
      </w:r>
      <w:r w:rsidRPr="001B4EC1">
        <w:t>t att försvarsminister Leni Björklund inte funnit skäl att ifrågasätta Försvarsmaktens bedömning att utlåning av materielen kunde ske utan att detta inkräktade på beredskapskraven. Utskottet konstaterar att exp</w:t>
      </w:r>
      <w:r w:rsidRPr="001B4EC1">
        <w:t>e</w:t>
      </w:r>
      <w:r w:rsidRPr="001B4EC1">
        <w:t xml:space="preserve">ditions- och rättschefen vid Försvarsdepartementet därmed med stöd av givet delegationsbemyndigande har kunnat avskriva ärendet på det sätt som skett. </w:t>
      </w:r>
    </w:p>
    <w:p w:rsidR="00252869" w:rsidRPr="001B4EC1" w:rsidRDefault="00252869">
      <w:pPr>
        <w:pStyle w:val="Normaltindrag"/>
      </w:pPr>
      <w:r w:rsidRPr="001B4EC1">
        <w:t>Utskottet finner vid nu angivna förhållanden att det i det avseende som granskningen gäller inte finns någon grund för kritik från konstitutionell sy</w:t>
      </w:r>
      <w:r w:rsidRPr="001B4EC1">
        <w:t>npunkt vad gäller regeringens eller försvarsminister Leni Björklunds b</w:t>
      </w:r>
      <w:r w:rsidRPr="001B4EC1">
        <w:t>e</w:t>
      </w:r>
      <w:r w:rsidRPr="001B4EC1">
        <w:t>fattning med frågor som rör utförsel till Storbritannien av den materiel som avses i granskningsanmälan. Ärendet föranleder inget ytterligare yttrande från u</w:t>
      </w:r>
      <w:r w:rsidRPr="001B4EC1">
        <w:t>t</w:t>
      </w:r>
      <w:r w:rsidRPr="001B4EC1">
        <w:t>skottet.</w:t>
      </w:r>
    </w:p>
    <w:p w:rsidR="00252869" w:rsidRPr="001B4EC1" w:rsidRDefault="00252869">
      <w:pPr>
        <w:pStyle w:val="Rubrik2"/>
        <w:spacing w:before="375"/>
      </w:pPr>
      <w:bookmarkStart w:id="164" w:name="_Toc72648591"/>
      <w:r w:rsidRPr="001B4EC1">
        <w:t>6.3 Statsminister Göran Perssons uttalanden om svenska positioner rörande Irakkriget</w:t>
      </w:r>
      <w:bookmarkEnd w:id="164"/>
    </w:p>
    <w:p w:rsidR="00252869" w:rsidRPr="001B4EC1" w:rsidRDefault="00252869">
      <w:pPr>
        <w:pStyle w:val="Rubrik3"/>
        <w:spacing w:before="110"/>
        <w:rPr>
          <w:noProof w:val="0"/>
        </w:rPr>
      </w:pPr>
      <w:bookmarkStart w:id="165" w:name="_Toc72648592"/>
      <w:r w:rsidRPr="001B4EC1">
        <w:rPr>
          <w:noProof w:val="0"/>
        </w:rPr>
        <w:t>Anmälan</w:t>
      </w:r>
      <w:bookmarkEnd w:id="165"/>
    </w:p>
    <w:p w:rsidR="00252869" w:rsidRPr="001B4EC1" w:rsidRDefault="00252869">
      <w:r w:rsidRPr="001B4EC1">
        <w:t>I en anmälan till konstitutionsutskottet har begärts att utskottet granskar hur</w:t>
      </w:r>
      <w:r w:rsidRPr="001B4EC1">
        <w:t>u</w:t>
      </w:r>
      <w:r w:rsidRPr="001B4EC1">
        <w:t>vida statsminister Göran Persson meddelat olika svenska positioner till rik</w:t>
      </w:r>
      <w:r w:rsidRPr="001B4EC1">
        <w:t>s</w:t>
      </w:r>
      <w:r w:rsidRPr="001B4EC1">
        <w:t>dagen och den svenska opinionen respektive till USA:s representant i fråga om det USA-ledda kriget mot Irak och hur detta krig förhåller sig till folkrä</w:t>
      </w:r>
      <w:r w:rsidRPr="001B4EC1">
        <w:t>t</w:t>
      </w:r>
      <w:r w:rsidRPr="001B4EC1">
        <w:t xml:space="preserve">ten, </w:t>
      </w:r>
      <w:r w:rsidRPr="001B4EC1">
        <w:rPr>
          <w:i/>
        </w:rPr>
        <w:t>bilaga A6.3.1</w:t>
      </w:r>
      <w:r w:rsidRPr="001B4EC1">
        <w:t>.</w:t>
      </w:r>
    </w:p>
    <w:p w:rsidR="00252869" w:rsidRPr="001B4EC1" w:rsidRDefault="00252869">
      <w:pPr>
        <w:pStyle w:val="Normaltindrag"/>
      </w:pPr>
      <w:r w:rsidRPr="001B4EC1">
        <w:t>I anmälan anförs att den svenska regeringen sedan kriget mot Irak inleddes öppet har stått för linjen att USA:s agerande strider mot folkrätten. Denna linje har bl.a. förmedlats av statsministern till riksdagen vid en särskild debatt den 20 mars 2003. Enligt upp</w:t>
      </w:r>
      <w:r w:rsidRPr="001B4EC1">
        <w:t>gifter som publicerats i Dagens industri den 22 mars 2003 har emellertid statsministern förmedlat en helt annan linje vid kontakter med företrädare för USA:s ambassad i Stockholm. I en intervju förnekar den amerikanske ambassadören Charles A Heimbold Jr att statsm</w:t>
      </w:r>
      <w:r w:rsidRPr="001B4EC1">
        <w:t>i</w:t>
      </w:r>
      <w:r w:rsidRPr="001B4EC1">
        <w:t>nistern till USA har framfört den linje som statsministern lagt fram inför riksdagen. Den amerikanske ambassadören slår dessutom i intervjun fast att ”vår bild är att Sverige och svenskarna stöder våra handlingar i Irak”.</w:t>
      </w:r>
    </w:p>
    <w:p w:rsidR="00252869" w:rsidRPr="001B4EC1" w:rsidRDefault="00252869">
      <w:pPr>
        <w:pStyle w:val="Rubrik3"/>
        <w:rPr>
          <w:noProof w:val="0"/>
        </w:rPr>
      </w:pPr>
      <w:bookmarkStart w:id="166" w:name="_Toc72648593"/>
      <w:r w:rsidRPr="001B4EC1">
        <w:rPr>
          <w:noProof w:val="0"/>
        </w:rPr>
        <w:t>Promemoria från Statsråds</w:t>
      </w:r>
      <w:r w:rsidRPr="001B4EC1">
        <w:rPr>
          <w:noProof w:val="0"/>
        </w:rPr>
        <w:t>beredningen</w:t>
      </w:r>
      <w:bookmarkEnd w:id="166"/>
    </w:p>
    <w:p w:rsidR="00252869" w:rsidRPr="001B4EC1" w:rsidRDefault="00252869">
      <w:r w:rsidRPr="001B4EC1">
        <w:t xml:space="preserve">Utskottet har genom en skrivelse till Regeringskansliet begärt svar på vissa frågor. Av en inom Statsrådsberedningen upprättad promemoria, </w:t>
      </w:r>
      <w:r w:rsidRPr="001B4EC1">
        <w:rPr>
          <w:i/>
        </w:rPr>
        <w:t>bilaga A6.3.2</w:t>
      </w:r>
      <w:r w:rsidRPr="001B4EC1">
        <w:t>, som inkommit som svar på utskottets begäran framgår bl.a. följande.</w:t>
      </w:r>
    </w:p>
    <w:p w:rsidR="00252869" w:rsidRPr="001B4EC1" w:rsidRDefault="00252869">
      <w:pPr>
        <w:pStyle w:val="Normaltindrag"/>
      </w:pPr>
      <w:r w:rsidRPr="001B4EC1">
        <w:t>Regeringen har förmedlat sin hållning i Irakfrågan till företrädare för USA genom en rad offentliga uttalanden och direkta kontakter. Exempel på offen</w:t>
      </w:r>
      <w:r w:rsidRPr="001B4EC1">
        <w:t>t</w:t>
      </w:r>
      <w:r w:rsidRPr="001B4EC1">
        <w:t>liga uttalanden är statsministerns anföranden i riksdagen den 20 och 25 mars 2003. Ett exempel på direkt kontakt är det telefonsamtal mellan statsministern och president Bush som ägde rum den 30 januari 2003. Ett annat exempel är utrikesminister Anna Lindhs möte med USA:s utrikesminister Colin Powell den 12 juni 2003 i Washington. Statsministern hade ett frukostmöte med USA:s ambassadör den 11 mars 2003, dvs. nio dagar innan kriget startades.</w:t>
      </w:r>
    </w:p>
    <w:p w:rsidR="00252869" w:rsidRPr="001B4EC1" w:rsidRDefault="00252869">
      <w:pPr>
        <w:pStyle w:val="R3"/>
      </w:pPr>
      <w:r w:rsidRPr="001B4EC1">
        <w:t>Den särskilda riksdagsdebatten den 20 mars 2003 om Irakfrågan m.</w:t>
      </w:r>
      <w:r w:rsidRPr="001B4EC1">
        <w:t>m.</w:t>
      </w:r>
    </w:p>
    <w:p w:rsidR="00252869" w:rsidRPr="001B4EC1" w:rsidRDefault="00252869">
      <w:r w:rsidRPr="001B4EC1">
        <w:t>Vid en särskilt anordnad debatt i riksdagen den 20 mars 2003 om Irakfrågan yttrade statsminister Göran Persson bl.a. följande (prot. 2002/03:75):</w:t>
      </w:r>
    </w:p>
    <w:p w:rsidR="00252869" w:rsidRPr="001B4EC1" w:rsidRDefault="00252869">
      <w:pPr>
        <w:pStyle w:val="Citat"/>
        <w:spacing w:before="125"/>
      </w:pPr>
      <w:r w:rsidRPr="001B4EC1">
        <w:t>Det USA-ledda anfallet mot Irak har inletts. Angreppet är av flera skäl olyckligt och allvarligt. För det första har detta agerande inte stöd i inte</w:t>
      </w:r>
      <w:r w:rsidRPr="001B4EC1">
        <w:t>r</w:t>
      </w:r>
      <w:r w:rsidRPr="001B4EC1">
        <w:t>nationell rätt. Det är också en uppfattning som FN:s generalsekreterare har gett uttryck för. Till skillnad från USA kan Sverige inte se annat än att ett militärt angrepp på Irak utan stöd av beslut i säkerhetsrådet strider mot folkrätten. För detta ska USA och dess allierade kritiseras ... Det kan i efterhand visa sig att det krig som nu inletts var nödvändigt för att a</w:t>
      </w:r>
      <w:r w:rsidRPr="001B4EC1">
        <w:t>v</w:t>
      </w:r>
      <w:r w:rsidRPr="001B4EC1">
        <w:t>väpna Saddam Hussein. Det kan visa sig att Irak gömde massförstörels</w:t>
      </w:r>
      <w:r w:rsidRPr="001B4EC1">
        <w:t>e</w:t>
      </w:r>
      <w:r w:rsidRPr="001B4EC1">
        <w:t>vapen. Också månader av vapeninspektioner kunde ha lett till en mili</w:t>
      </w:r>
      <w:r w:rsidRPr="001B4EC1">
        <w:t>tär insats. Men inget av detta rättfärdigar att USA och dess allierade nu på egen hand går till angrepp mot Irak. Vi har en internationell världsor</w:t>
      </w:r>
      <w:r w:rsidRPr="001B4EC1">
        <w:t>d</w:t>
      </w:r>
      <w:r w:rsidRPr="001B4EC1">
        <w:t>ning, folkrätten. Den ger inget land rätt att ta saken i egna händer, hur stark man än är och hur grym en regim än må vara. Det är i FN:s säke</w:t>
      </w:r>
      <w:r w:rsidRPr="001B4EC1">
        <w:t>r</w:t>
      </w:r>
      <w:r w:rsidRPr="001B4EC1">
        <w:t>hetsråd internationell rätt ska formas och tolkas. Går länderna ifrån denna världsordning är vi alla illa ute. Då öppnar vi för en utveckling där fler länder kan tycka sig ha rätten att med vapen i hand ta sig friheter på</w:t>
      </w:r>
      <w:r w:rsidRPr="001B4EC1">
        <w:t xml:space="preserve"> andra länders bekostnad. Vi riskerar en världsordning på de stora, starkas villkor. Folkrätten är små staters skydd, ja, alla staters skydd, och därför är detta allvarligt. </w:t>
      </w:r>
    </w:p>
    <w:p w:rsidR="00252869" w:rsidRPr="001B4EC1" w:rsidRDefault="00252869">
      <w:pPr>
        <w:pStyle w:val="R3"/>
      </w:pPr>
      <w:r w:rsidRPr="001B4EC1">
        <w:t>Intervju med ambassadör Charles A Heimbold Jr i Dagens industri den 22 mars 2003 och senare uttalanden av statsministern</w:t>
      </w:r>
    </w:p>
    <w:p w:rsidR="00252869" w:rsidRPr="001B4EC1" w:rsidRDefault="00252869">
      <w:pPr>
        <w:rPr>
          <w:snapToGrid w:val="0"/>
          <w:lang w:eastAsia="sv-SE"/>
        </w:rPr>
      </w:pPr>
      <w:r w:rsidRPr="001B4EC1">
        <w:rPr>
          <w:snapToGrid w:val="0"/>
          <w:lang w:eastAsia="sv-SE"/>
        </w:rPr>
        <w:t>I en artikel i Dagens Industri den 22 mars 2003 refereras en intervju med USA:s ambassadör i Sverige Charles A Heimbold Jr. I artikeln anges bl.a. följande.</w:t>
      </w:r>
    </w:p>
    <w:p w:rsidR="00252869" w:rsidRPr="001B4EC1" w:rsidRDefault="00252869">
      <w:pPr>
        <w:pStyle w:val="Citat"/>
        <w:spacing w:before="125"/>
        <w:rPr>
          <w:snapToGrid w:val="0"/>
          <w:lang w:eastAsia="sv-SE"/>
        </w:rPr>
      </w:pPr>
      <w:r w:rsidRPr="001B4EC1">
        <w:rPr>
          <w:snapToGrid w:val="0"/>
          <w:lang w:eastAsia="sv-SE"/>
        </w:rPr>
        <w:t>Vi har hela tiden vetat  att den svenska regeringen har  ansett att militära insatser måste stödjas av FN:s säkerhetsråd och av resolution 1441. Jag kan inte se att den positionen har förändrats”, säger ambassadören.</w:t>
      </w:r>
    </w:p>
    <w:p w:rsidR="00252869" w:rsidRPr="001B4EC1" w:rsidRDefault="00252869">
      <w:pPr>
        <w:pStyle w:val="CitatIndrag"/>
        <w:rPr>
          <w:snapToGrid w:val="0"/>
          <w:lang w:eastAsia="sv-SE"/>
        </w:rPr>
      </w:pPr>
      <w:r w:rsidRPr="001B4EC1">
        <w:rPr>
          <w:snapToGrid w:val="0"/>
          <w:lang w:eastAsia="sv-SE"/>
        </w:rPr>
        <w:t xml:space="preserve"> Men statsminister Göran Persson har uttryckligen sagt att attackerna bryter mot folkrätten. Hur påverkar det relationen mellan USA och Sv</w:t>
      </w:r>
      <w:r w:rsidRPr="001B4EC1">
        <w:rPr>
          <w:snapToGrid w:val="0"/>
          <w:lang w:eastAsia="sv-SE"/>
        </w:rPr>
        <w:t>e</w:t>
      </w:r>
      <w:r w:rsidRPr="001B4EC1">
        <w:rPr>
          <w:snapToGrid w:val="0"/>
          <w:lang w:eastAsia="sv-SE"/>
        </w:rPr>
        <w:t>rige?</w:t>
      </w:r>
    </w:p>
    <w:p w:rsidR="00252869" w:rsidRPr="001B4EC1" w:rsidRDefault="00252869">
      <w:pPr>
        <w:pStyle w:val="CitatIndrag"/>
        <w:rPr>
          <w:snapToGrid w:val="0"/>
          <w:lang w:eastAsia="sv-SE"/>
        </w:rPr>
      </w:pPr>
      <w:r w:rsidRPr="001B4EC1">
        <w:rPr>
          <w:snapToGrid w:val="0"/>
          <w:lang w:eastAsia="sv-SE"/>
        </w:rPr>
        <w:t xml:space="preserve"> Faktum är att jag har varit i kontakt med statsministern och vad jag hört är inte det som du refererar till. Vad jag hört är att statsministern är mycket angelägen om att inte anklaga USA för att bryta mot folkrätten, säger Charles Heimbold.</w:t>
      </w:r>
    </w:p>
    <w:p w:rsidR="00252869" w:rsidRPr="001B4EC1" w:rsidRDefault="00252869">
      <w:r w:rsidRPr="001B4EC1">
        <w:t>Vid en information i riksdagens kammare den 25 mars 2003 om EU-toppmötet i Bryssel den 20–21 mars tidigare samma år har Göran Persson yttrat att han vid ett sammanträde med utrikesnämnden tidigare samma dag ”har klarat ut diskussionen om vad den amerikanske ambassadören har sagt” (prot. 2002/03:78). I samband därmed yttrade Göran Persson vidare följande.</w:t>
      </w:r>
    </w:p>
    <w:p w:rsidR="00252869" w:rsidRPr="001B4EC1" w:rsidRDefault="00252869">
      <w:pPr>
        <w:pStyle w:val="Citat"/>
        <w:spacing w:before="125"/>
      </w:pPr>
      <w:r w:rsidRPr="001B4EC1">
        <w:t>Det handlar om ett möte jag hade med ambassadören för mer än 14 dagar sedan, långt innan kriget bröt ut. Då diskuterade vi nödvändigheten av att ge inspektörerna mer tid. Då var det av vikt för oss att hålla amerikaner, britter och andra kvar inom den process som resolution 1441 utgör ramen för. Att i det läget, innan något avhopp från 1441 var gjort, anklaga n</w:t>
      </w:r>
      <w:r w:rsidRPr="001B4EC1">
        <w:t>å</w:t>
      </w:r>
      <w:r w:rsidRPr="001B4EC1">
        <w:t>gon för att bryta mot folkrätten hade varit kontraproduktivt och felaktigt. Man får komma ihåg vid vilken tidpunkt det här samtalet fördes. Hade det förts i dag skulle vi självfallet ha fört fram samma synpunkt som vi har gjort här från riksdagens talarstol – den förnämsta tribunen i vårt land. Men samtalet fördes för mer än 14 dagar sedan, och det var ett a</w:t>
      </w:r>
      <w:r w:rsidRPr="001B4EC1">
        <w:t>n</w:t>
      </w:r>
      <w:r w:rsidRPr="001B4EC1">
        <w:t xml:space="preserve">nat läge. </w:t>
      </w:r>
    </w:p>
    <w:p w:rsidR="00252869" w:rsidRPr="001B4EC1" w:rsidRDefault="00252869">
      <w:pPr>
        <w:pStyle w:val="CitatIndrag"/>
      </w:pPr>
    </w:p>
    <w:p w:rsidR="00252869" w:rsidRPr="001B4EC1" w:rsidRDefault="00252869">
      <w:r w:rsidRPr="001B4EC1">
        <w:t>Tjänstemän vid utskottets kansli har vid besök på Utrikesdepartementet tagit del av protokollet från sammanträdet med Utrikesnämnden den 25 mars 2003 samt därefter red</w:t>
      </w:r>
      <w:r w:rsidRPr="001B4EC1">
        <w:t>o</w:t>
      </w:r>
      <w:r w:rsidRPr="001B4EC1">
        <w:t>visat sina iakttagelser inför utskottet.</w:t>
      </w:r>
    </w:p>
    <w:p w:rsidR="00252869" w:rsidRPr="001B4EC1" w:rsidRDefault="00252869">
      <w:pPr>
        <w:pStyle w:val="Rubrik4"/>
        <w:rPr>
          <w:noProof w:val="0"/>
        </w:rPr>
      </w:pPr>
      <w:bookmarkStart w:id="167" w:name="_Toc72648594"/>
      <w:r w:rsidRPr="001B4EC1">
        <w:rPr>
          <w:noProof w:val="0"/>
        </w:rPr>
        <w:t>Utfrågning med statsminister Göran Persson</w:t>
      </w:r>
      <w:bookmarkEnd w:id="167"/>
    </w:p>
    <w:p w:rsidR="00252869" w:rsidRPr="001B4EC1" w:rsidRDefault="00252869">
      <w:r w:rsidRPr="001B4EC1">
        <w:t xml:space="preserve">Utskottet har hållit utfrågning med statsminister Göran Persson, </w:t>
      </w:r>
      <w:r w:rsidRPr="001B4EC1">
        <w:rPr>
          <w:i/>
        </w:rPr>
        <w:t>bilaga</w:t>
      </w:r>
      <w:r w:rsidRPr="001B4EC1">
        <w:t xml:space="preserve"> </w:t>
      </w:r>
      <w:r w:rsidRPr="001B4EC1">
        <w:rPr>
          <w:i/>
        </w:rPr>
        <w:t>B10.</w:t>
      </w:r>
      <w:r w:rsidRPr="001B4EC1">
        <w:t xml:space="preserve"> Vid utfrå</w:t>
      </w:r>
      <w:r w:rsidRPr="001B4EC1">
        <w:t>g</w:t>
      </w:r>
      <w:r w:rsidRPr="001B4EC1">
        <w:t>ningen framkom bl.a. följande.</w:t>
      </w:r>
    </w:p>
    <w:p w:rsidR="00252869" w:rsidRPr="001B4EC1" w:rsidRDefault="00252869">
      <w:pPr>
        <w:pStyle w:val="Normaltindrag"/>
      </w:pPr>
      <w:r w:rsidRPr="001B4EC1">
        <w:t>Vid frukosten med den amerikanske ambassadören den 11 mars 2003 di</w:t>
      </w:r>
      <w:r w:rsidRPr="001B4EC1">
        <w:t>s</w:t>
      </w:r>
      <w:r w:rsidRPr="001B4EC1">
        <w:t>kuterade man det som Hans Blix hade framfört, nämligen att inspektörerna behövde mer tid. Göran Persson pratade då i termer av två tre månader ytte</w:t>
      </w:r>
      <w:r w:rsidRPr="001B4EC1">
        <w:t>r</w:t>
      </w:r>
      <w:r w:rsidRPr="001B4EC1">
        <w:t>ligare innan man skulle komma i den fas då man skulle kunna anse att i</w:t>
      </w:r>
      <w:r w:rsidRPr="001B4EC1">
        <w:t>n</w:t>
      </w:r>
      <w:r w:rsidRPr="001B4EC1">
        <w:t>spektörerna hade fullgjort sin uppgift. Han fick inte vid det tillfället något annat intryck än att ambassadören skulle föra fram den synpunkten till sina uppdragsgiv</w:t>
      </w:r>
      <w:r w:rsidRPr="001B4EC1">
        <w:t>a</w:t>
      </w:r>
      <w:r w:rsidRPr="001B4EC1">
        <w:t>re i Washington.</w:t>
      </w:r>
    </w:p>
    <w:p w:rsidR="00252869" w:rsidRPr="001B4EC1" w:rsidRDefault="00252869">
      <w:pPr>
        <w:pStyle w:val="Normaltindrag"/>
      </w:pPr>
      <w:r w:rsidRPr="001B4EC1">
        <w:t>Vid den aktuella tidpunkten fanns det enligt Göran Perssons bedömning ingen anledning att starta en diskussi</w:t>
      </w:r>
      <w:r w:rsidRPr="001B4EC1">
        <w:t>on om ett eventuellt brott mot folkrätten från en stat som då fortfarande var inne i en process som följde FN:s resol</w:t>
      </w:r>
      <w:r w:rsidRPr="001B4EC1">
        <w:t>u</w:t>
      </w:r>
      <w:r w:rsidRPr="001B4EC1">
        <w:t xml:space="preserve">tioner. </w:t>
      </w:r>
    </w:p>
    <w:p w:rsidR="00252869" w:rsidRPr="001B4EC1" w:rsidRDefault="00252869">
      <w:pPr>
        <w:pStyle w:val="Normaltindrag"/>
      </w:pPr>
      <w:r w:rsidRPr="001B4EC1">
        <w:t>Statssekreteraren Lars Danielsson ringde senare upp den amerikanske a</w:t>
      </w:r>
      <w:r w:rsidRPr="001B4EC1">
        <w:t>m</w:t>
      </w:r>
      <w:r w:rsidRPr="001B4EC1">
        <w:t xml:space="preserve">bassadören och framförde synpunkter med anledning av ambassadörens i sammanhanget uppmärksammade tidningsuttalanden. </w:t>
      </w:r>
    </w:p>
    <w:p w:rsidR="00252869" w:rsidRPr="001B4EC1" w:rsidRDefault="00252869">
      <w:pPr>
        <w:pStyle w:val="Normaltindrag"/>
      </w:pPr>
      <w:r w:rsidRPr="001B4EC1">
        <w:t>Göran Persson förde inga egna anteckningar vid telefonsamtalet med pr</w:t>
      </w:r>
      <w:r w:rsidRPr="001B4EC1">
        <w:t>e</w:t>
      </w:r>
      <w:r w:rsidRPr="001B4EC1">
        <w:t>sident Bush. Det var presidenten som ringde upp honom. Statssekreteraren Lars Danielsson var också med och lyssnade på samtalet.</w:t>
      </w:r>
    </w:p>
    <w:p w:rsidR="00252869" w:rsidRPr="001B4EC1" w:rsidRDefault="00252869">
      <w:pPr>
        <w:pStyle w:val="Normaltindrag"/>
      </w:pPr>
      <w:r w:rsidRPr="001B4EC1">
        <w:t>Göran Persson uppgav vidare att han förutsätter att utrikesminister Anna  Lindh tog upp Sveriges position i Irakfrågan vid sitt möte med USA:s utr</w:t>
      </w:r>
      <w:r w:rsidRPr="001B4EC1">
        <w:t>i</w:t>
      </w:r>
      <w:r w:rsidRPr="001B4EC1">
        <w:t>kesminister Colin Powell den 12 juni 2003 i Washington. Från den överläg</w:t>
      </w:r>
      <w:r w:rsidRPr="001B4EC1">
        <w:t>g</w:t>
      </w:r>
      <w:r w:rsidRPr="001B4EC1">
        <w:t>ningen finns det anteckningar som är hemligstämpl</w:t>
      </w:r>
      <w:r w:rsidRPr="001B4EC1">
        <w:t>a</w:t>
      </w:r>
      <w:r w:rsidRPr="001B4EC1">
        <w:t>de.</w:t>
      </w:r>
    </w:p>
    <w:p w:rsidR="00252869" w:rsidRPr="001B4EC1" w:rsidRDefault="00252869">
      <w:pPr>
        <w:pStyle w:val="Rubrik3"/>
        <w:rPr>
          <w:noProof w:val="0"/>
        </w:rPr>
      </w:pPr>
      <w:bookmarkStart w:id="168" w:name="_Toc72648595"/>
      <w:r w:rsidRPr="001B4EC1">
        <w:rPr>
          <w:noProof w:val="0"/>
        </w:rPr>
        <w:t>Utskottets ställningstagande</w:t>
      </w:r>
      <w:bookmarkEnd w:id="168"/>
    </w:p>
    <w:p w:rsidR="00252869" w:rsidRPr="001B4EC1" w:rsidRDefault="00252869">
      <w:r w:rsidRPr="001B4EC1">
        <w:t>Av utredningen i ärendet framgår att statsminister Göran Persson och den svenska regeringen vid flera tillfällen under det första halvåret 2003 vid d</w:t>
      </w:r>
      <w:r w:rsidRPr="001B4EC1">
        <w:t>i</w:t>
      </w:r>
      <w:r w:rsidRPr="001B4EC1">
        <w:t>rekta kontakter med företrädare för USA har förmedlat sin hållning i frågor rörande Irakkonflikten. Det material som utskottet har tagit del av ger inte underlag för att slå fast att de budskap som därvid förts fram varit stridande mot den hållning som Göran Persson och regeringen offentligt intagit i sa</w:t>
      </w:r>
      <w:r w:rsidRPr="001B4EC1">
        <w:t>m</w:t>
      </w:r>
      <w:r w:rsidRPr="001B4EC1">
        <w:t xml:space="preserve">ma frågor. </w:t>
      </w:r>
    </w:p>
    <w:p w:rsidR="00252869" w:rsidRPr="001B4EC1" w:rsidRDefault="00252869">
      <w:pPr>
        <w:pStyle w:val="Normaltindrag"/>
      </w:pPr>
      <w:r w:rsidRPr="001B4EC1">
        <w:t xml:space="preserve">Utskottet noterar att Göran Persson vid den offentliga utfrågningen uppgett att han vid sammanträffandet med USA:s ambassadör den 11 mars 2003 inte tog upp frågan om sin och regeringens syn på </w:t>
      </w:r>
      <w:r w:rsidRPr="001B4EC1">
        <w:t>folkrättsenligheten av ett eve</w:t>
      </w:r>
      <w:r w:rsidRPr="001B4EC1">
        <w:t>n</w:t>
      </w:r>
      <w:r w:rsidRPr="001B4EC1">
        <w:t>tuellt kommande USA-lett anfall mot Irak. Denna omständighet kan emelle</w:t>
      </w:r>
      <w:r w:rsidRPr="001B4EC1">
        <w:t>r</w:t>
      </w:r>
      <w:r w:rsidRPr="001B4EC1">
        <w:t>tid inte föranleda att grund finns för kritik från konstitutionell synpunkt vad gäller Göran Perssons agerande vid mötet med USA:s ambass</w:t>
      </w:r>
      <w:r w:rsidRPr="001B4EC1">
        <w:t>a</w:t>
      </w:r>
      <w:r w:rsidRPr="001B4EC1">
        <w:t>dör.</w:t>
      </w:r>
    </w:p>
    <w:p w:rsidR="00252869" w:rsidRPr="001B4EC1" w:rsidRDefault="00252869">
      <w:pPr>
        <w:pStyle w:val="Normaltindrag"/>
        <w:sectPr w:rsidR="00000000" w:rsidRPr="001B4EC1">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252869" w:rsidRPr="001B4EC1" w:rsidRDefault="00252869">
      <w:pPr>
        <w:pStyle w:val="Rubrik1"/>
        <w:rPr>
          <w:noProof w:val="0"/>
        </w:rPr>
      </w:pPr>
      <w:bookmarkStart w:id="169" w:name="_Toc72648596"/>
      <w:r w:rsidRPr="001B4EC1">
        <w:rPr>
          <w:noProof w:val="0"/>
        </w:rPr>
        <w:t>Reservationer</w:t>
      </w:r>
      <w:bookmarkEnd w:id="169"/>
    </w:p>
    <w:p w:rsidR="00252869" w:rsidRPr="001B4EC1" w:rsidRDefault="00252869">
      <w:r w:rsidRPr="001B4EC1">
        <w:t>Följande reservationer har avgivits. I rubriken anges inom parentes vilket avsnitt i utsko</w:t>
      </w:r>
      <w:r w:rsidRPr="001B4EC1">
        <w:t>t</w:t>
      </w:r>
      <w:r w:rsidRPr="001B4EC1">
        <w:t>tets granskning som behandlas i reservationen.</w:t>
      </w:r>
    </w:p>
    <w:p w:rsidR="00252869" w:rsidRPr="001B4EC1" w:rsidRDefault="00252869">
      <w:pPr>
        <w:pStyle w:val="Reservationspunkt"/>
        <w:numPr>
          <w:ilvl w:val="0"/>
          <w:numId w:val="34"/>
        </w:numPr>
        <w:rPr>
          <w:noProof w:val="0"/>
        </w:rPr>
      </w:pPr>
      <w:bookmarkStart w:id="170" w:name="Nästa_Reservation"/>
      <w:bookmarkStart w:id="171" w:name="_Toc72648597"/>
      <w:bookmarkEnd w:id="170"/>
      <w:r w:rsidRPr="001B4EC1">
        <w:rPr>
          <w:noProof w:val="0"/>
        </w:rPr>
        <w:t>Östersjöns status som särskilt känsligt havsområde (avsnitt 1.1)</w:t>
      </w:r>
      <w:bookmarkEnd w:id="171"/>
    </w:p>
    <w:p w:rsidR="00252869" w:rsidRPr="001B4EC1" w:rsidRDefault="00252869">
      <w:pPr>
        <w:pStyle w:val="Reservanter"/>
      </w:pPr>
      <w:r w:rsidRPr="001B4EC1">
        <w:t>av Gunnar Hökmark (m), Helena Bargholtz (fp), Ingvar Svensson (kd), Henrik S Järrel (m), Tobias Krantz (fp), Kerstin Lundgren (c), Nils Fre</w:t>
      </w:r>
      <w:r w:rsidRPr="001B4EC1">
        <w:t>d</w:t>
      </w:r>
      <w:r w:rsidRPr="001B4EC1">
        <w:t>rik Aurelius (m) och Gustav Fridolin (mp).</w:t>
      </w:r>
    </w:p>
    <w:p w:rsidR="00252869" w:rsidRPr="001B4EC1" w:rsidRDefault="00252869">
      <w:r w:rsidRPr="001B4EC1">
        <w:t>Riksdagens tillkännagivande om en ansökan hos IMO om att ge Östersjön status som särskilt känsligt havsområde innebar att en ansökan som avsåg svenskt vatten borde göras så snart som möjligt, parallellt med att arbetet inom Helcom fortsatte. Handlingslinjerna uteslöt således inte varandra. Den 10 april 2003 informerade miljöministern miljö- och jordbruksutskottet om att det enligt regeringens bedömning inte varit praktiskt möjligt att ha en ansökan med rimlig kval</w:t>
      </w:r>
      <w:r w:rsidRPr="001B4EC1">
        <w:t xml:space="preserve">itet klar redan den 11 april. Samma dag angav statsministern vid en frågestund i riksdagen att regeringen gjort bedömningen att en PSSA-ansökan skulle göras tillsammans med övriga stater runt Östersjön för att få maximalt genomslag och snabb behandling, och att man inte skulle kunna komma fram snabbare med en nationell ansökan. </w:t>
      </w:r>
    </w:p>
    <w:p w:rsidR="00252869" w:rsidRPr="001B4EC1" w:rsidRDefault="00252869">
      <w:pPr>
        <w:pStyle w:val="Normaltindrag"/>
      </w:pPr>
      <w:r w:rsidRPr="001B4EC1">
        <w:t>Granskningen visar enligt utskottets mening att det funnits utrymme för regeringen att tidigare än som skedde redovisa för riksdagen sina bedömnin</w:t>
      </w:r>
      <w:r w:rsidRPr="001B4EC1">
        <w:t>g</w:t>
      </w:r>
      <w:r w:rsidRPr="001B4EC1">
        <w:t>ar för att inte vidta de begärda åtgärderna. Utskottet vill understryka vikten av att information om att regeringen inte anser att ett tillkännagivande kan efte</w:t>
      </w:r>
      <w:r w:rsidRPr="001B4EC1">
        <w:t>r</w:t>
      </w:r>
      <w:r w:rsidRPr="001B4EC1">
        <w:t>kommas ges på ett så tidigt stadium som möjligt och på ett sätt som gör i</w:t>
      </w:r>
      <w:r w:rsidRPr="001B4EC1">
        <w:t>n</w:t>
      </w:r>
      <w:r w:rsidRPr="001B4EC1">
        <w:t xml:space="preserve">formationen tillgänglig för riksdagens samtliga ledamöter. </w:t>
      </w:r>
    </w:p>
    <w:p w:rsidR="00252869" w:rsidRPr="001B4EC1" w:rsidRDefault="00252869">
      <w:pPr>
        <w:pStyle w:val="Reservationspunkt"/>
        <w:numPr>
          <w:ilvl w:val="0"/>
          <w:numId w:val="34"/>
        </w:numPr>
        <w:rPr>
          <w:noProof w:val="0"/>
        </w:rPr>
      </w:pPr>
      <w:bookmarkStart w:id="172" w:name="_Toc72648598"/>
      <w:r w:rsidRPr="001B4EC1">
        <w:rPr>
          <w:noProof w:val="0"/>
        </w:rPr>
        <w:t>Regeringens agerande avseende riksdagens beslut om Utlänningsnämnden (avsnitt 1.3)</w:t>
      </w:r>
      <w:bookmarkEnd w:id="172"/>
    </w:p>
    <w:p w:rsidR="00252869" w:rsidRPr="001B4EC1" w:rsidRDefault="00252869">
      <w:pPr>
        <w:pStyle w:val="Reservanter"/>
      </w:pPr>
      <w:r w:rsidRPr="001B4EC1">
        <w:t>av Göran Magnusson (s), Barbro Hietala Nordlund (s), Kenth Högström (s), Mats Berglind (s), Anders Bengtsson (s), Helene Petersson (s), Billy Gustafsson (s) och Inger Jarl Beck (s).</w:t>
      </w:r>
    </w:p>
    <w:p w:rsidR="00252869" w:rsidRPr="001B4EC1" w:rsidRDefault="00252869">
      <w:r w:rsidRPr="001B4EC1">
        <w:t>Riksdagen gjorde i november 2001 ett tillkännagivande till regeringen om att regeringen snarast borde återkomma till riksdagen med ett förslag till en ny process- och instansordning i utlänningsärenden. Det kan konstateras att ärendets beredning har tagit längre tid än vad som kunde förutses vid b</w:t>
      </w:r>
      <w:r w:rsidRPr="001B4EC1">
        <w:t>e</w:t>
      </w:r>
      <w:r w:rsidRPr="001B4EC1">
        <w:t>slutstillfället. Redan i juni 2002 beslutade regeringen om en lagrådsremiss om en ny process- och instansordning, men förslaget avstyrktes i oktober samma år av Lagrådet. Regeringen har därefter i samråd med partierna i socialförsä</w:t>
      </w:r>
      <w:r w:rsidRPr="001B4EC1">
        <w:t>k</w:t>
      </w:r>
      <w:r w:rsidRPr="001B4EC1">
        <w:t>ringsutskottet arbetat vidare med att ta fram ett nytt förslag. Bland annat har en parlamentarisk kommitté tillsatts för att se över utlänningslagstiftningen med utgångspunkt i Lagrådets yttrande. Mot denna bakgrund och med hänsyn till reformens omfattning och komplexitet kan en</w:t>
      </w:r>
      <w:r w:rsidRPr="001B4EC1">
        <w:t>ligt vår mening regeringen inte kritiseras för tidsutdräkten i ärendet. Det är av ytterst stor vikt att en reform som den här aktuella kan genomföras med bibehållen rättstrygghet och rättssäkerhet, vilket ställer stora krav på beredningsarbetet. Det bör även framhållas att regeringen fortlöpande har informerat riksdagen om bere</w:t>
      </w:r>
      <w:r w:rsidRPr="001B4EC1">
        <w:t>d</w:t>
      </w:r>
      <w:r w:rsidRPr="001B4EC1">
        <w:t>ningsläget och skälen till tidsutdräkten i äre</w:t>
      </w:r>
      <w:r w:rsidRPr="001B4EC1">
        <w:t>n</w:t>
      </w:r>
      <w:r w:rsidRPr="001B4EC1">
        <w:t>det.</w:t>
      </w:r>
    </w:p>
    <w:p w:rsidR="00252869" w:rsidRPr="001B4EC1" w:rsidRDefault="00252869">
      <w:pPr>
        <w:pStyle w:val="Normaltindrag"/>
        <w:rPr>
          <w:snapToGrid w:val="0"/>
          <w:color w:val="000000"/>
          <w:lang w:eastAsia="sv-SE"/>
        </w:rPr>
      </w:pPr>
      <w:r w:rsidRPr="001B4EC1">
        <w:t>Det kan i sammanhanget även erinras om vad utskottet tidigare har uttalat avseende riksdagens tillkännagivanden till regeringen. U</w:t>
      </w:r>
      <w:r w:rsidRPr="001B4EC1">
        <w:t>tskottet förutsätter att regeringen hörsammar riksdagens tillkännagivanden</w:t>
      </w:r>
      <w:r w:rsidRPr="001B4EC1">
        <w:rPr>
          <w:snapToGrid w:val="0"/>
          <w:color w:val="000000"/>
          <w:lang w:eastAsia="sv-SE"/>
        </w:rPr>
        <w:t xml:space="preserve"> och att regeringen för riksdagen redovisar sina bedömningar om de begärda åtgärderna inte vidtas</w:t>
      </w:r>
      <w:r w:rsidRPr="001B4EC1">
        <w:t>. Om en tidsram uppställts av riksdagen och r</w:t>
      </w:r>
      <w:r w:rsidRPr="001B4EC1">
        <w:rPr>
          <w:snapToGrid w:val="0"/>
          <w:color w:val="000000"/>
          <w:lang w:eastAsia="sv-SE"/>
        </w:rPr>
        <w:t>egeringen inte avser att vidta en begärd åtgärd i enlighet med riksdagsbeslutet bör det redovisas för riksdagen inom denna tidsram. Även skälen för att riksdagsbeslutet inte följs bör tas upp i sammanhanget.</w:t>
      </w:r>
      <w:r w:rsidRPr="001B4EC1">
        <w:t xml:space="preserve"> Om en redovisning inte kan ges i skrivelse eller proposition till riksdagen bör den enli</w:t>
      </w:r>
      <w:r w:rsidRPr="001B4EC1">
        <w:t xml:space="preserve">gt utskottets mening </w:t>
      </w:r>
      <w:r w:rsidRPr="001B4EC1">
        <w:rPr>
          <w:snapToGrid w:val="0"/>
          <w:color w:val="000000"/>
          <w:lang w:eastAsia="sv-SE"/>
        </w:rPr>
        <w:t>lämnas till riksdagen i en annan form som gör den tillgänglig för riksdagens samtliga ledamöter.</w:t>
      </w:r>
    </w:p>
    <w:p w:rsidR="00252869" w:rsidRPr="001B4EC1" w:rsidRDefault="00252869">
      <w:pPr>
        <w:pStyle w:val="Normaltindrag"/>
      </w:pPr>
      <w:r w:rsidRPr="001B4EC1">
        <w:t>I övrigt föranleder granskningen enligt vår mening inte något uttalande från utskottets sida.</w:t>
      </w:r>
    </w:p>
    <w:p w:rsidR="00252869" w:rsidRPr="001B4EC1" w:rsidRDefault="00252869">
      <w:pPr>
        <w:pStyle w:val="Reservationspunkt"/>
        <w:numPr>
          <w:ilvl w:val="0"/>
          <w:numId w:val="34"/>
        </w:numPr>
        <w:rPr>
          <w:noProof w:val="0"/>
        </w:rPr>
      </w:pPr>
      <w:bookmarkStart w:id="173" w:name="_Toc72648599"/>
      <w:r w:rsidRPr="001B4EC1">
        <w:rPr>
          <w:noProof w:val="0"/>
        </w:rPr>
        <w:t>Vald ordförande för Europeiska rådet (avsnitt 1.5)</w:t>
      </w:r>
      <w:bookmarkEnd w:id="173"/>
      <w:r w:rsidRPr="001B4EC1">
        <w:rPr>
          <w:noProof w:val="0"/>
        </w:rPr>
        <w:t xml:space="preserve"> </w:t>
      </w:r>
    </w:p>
    <w:p w:rsidR="00252869" w:rsidRPr="001B4EC1" w:rsidRDefault="00252869">
      <w:pPr>
        <w:pStyle w:val="Reservanter"/>
      </w:pPr>
      <w:r w:rsidRPr="001B4EC1">
        <w:t>av Göran Magnusson (s), Barbro Hietala Nordlund (s), Kenth Högström (s), Mats Berglind (s), Anders Bengtsson (s), Helene Petersson (s), Billy Gustafsson (s) och Inger Jarl Beck (s).</w:t>
      </w:r>
    </w:p>
    <w:p w:rsidR="00252869" w:rsidRPr="001B4EC1" w:rsidRDefault="00252869">
      <w:r w:rsidRPr="001B4EC1">
        <w:t>Utskottet granskade under föregående riksmöte statsministerns och dåvarande utrikesministerns agerande i frågan om en vald ordförande för Europeiska rådet. Utskottet kritiserade att de i form av ett s.k. non-paper i EU-kretsen fört fram ett förslag som saknade den förankring i EU-nämnden som de båda i efterhand konstaterade borde ha funnits. Som anfördes i en reservation till granskningsbetänkandet fick det med tanke på vad som i många sammanhang understrukits om betydelsen av en tidig förankring i riksdag</w:t>
      </w:r>
      <w:r w:rsidRPr="001B4EC1">
        <w:t>en av svenska ståndpunkter i EU-samarbetet anses olyckligt att papperet kom att spridas i EU-kretsen utan att ha diskuterats i nämnden och inte heller i utskott, och såväl statsministern som utrikesmini</w:t>
      </w:r>
      <w:r w:rsidRPr="001B4EC1">
        <w:t>s</w:t>
      </w:r>
      <w:r w:rsidRPr="001B4EC1">
        <w:t xml:space="preserve">tern hade också beklagat det inträffade. </w:t>
      </w:r>
    </w:p>
    <w:p w:rsidR="00252869" w:rsidRPr="001B4EC1" w:rsidRDefault="00252869">
      <w:pPr>
        <w:pStyle w:val="Normaltindrag"/>
      </w:pPr>
      <w:r w:rsidRPr="001B4EC1">
        <w:t>Utskottet har sålunda redan under föregående riksmöte kritiserat att försl</w:t>
      </w:r>
      <w:r w:rsidRPr="001B4EC1">
        <w:t>a</w:t>
      </w:r>
      <w:r w:rsidRPr="001B4EC1">
        <w:t>get fördes fram. Vad årets granskning avser är frågan hur statsministern – sedan riksdagens inställning till förslaget klargjorts – agerat för att i stället för sin egen ståndpunkt driva den som kunde bedömas ha majoritet i riksdagen. Även detta tog utskottet i viss mån ställning till under förra årets granskning. Riksdagens inställning till förslaget har manifesterats i alltmer bestämda former vid samråd i EU-nämnden och genom beslut över betänkanden av sammansatta konstitutions- och utrikesutskottet. Den</w:t>
      </w:r>
      <w:r w:rsidRPr="001B4EC1">
        <w:t xml:space="preserve"> 10 april 2003 fattade riksdagen beslut över betänkandet 2002/03:KUU1, vari motioner i frågan ansågs besvarade med vad utskottet anfört, och som sammanfattningsvis innebar att utskottet ansåg att nackdelarna med en vald ordförande i Europ</w:t>
      </w:r>
      <w:r w:rsidRPr="001B4EC1">
        <w:t>e</w:t>
      </w:r>
      <w:r w:rsidRPr="001B4EC1">
        <w:t>iska rådet övervägde fördelarna. Den 20 oktober 2003 beslöt riksdagen med anledning av betänkandet 2003/04:KUU1 att ge regeringen till känna vad utskottet anfört i frågan och som innebar att uppfattningen från våren vi</w:t>
      </w:r>
      <w:r w:rsidRPr="001B4EC1">
        <w:t>d</w:t>
      </w:r>
      <w:r w:rsidRPr="001B4EC1">
        <w:t xml:space="preserve">hölls. </w:t>
      </w:r>
    </w:p>
    <w:p w:rsidR="00252869" w:rsidRPr="001B4EC1" w:rsidRDefault="00252869">
      <w:pPr>
        <w:pStyle w:val="Normaltindrag"/>
      </w:pPr>
      <w:r w:rsidRPr="001B4EC1">
        <w:t>Statsministerns situation har i det aktuella a</w:t>
      </w:r>
      <w:r w:rsidRPr="001B4EC1">
        <w:t>vseendet inneburit att han för att driva riksdagens linje i EU-kretsen måste argumentera mot de skäl som han själv tidigare hävdat med övertygelse och uppenbarligen fått genomslag för. Statsministern måste givetvis ha all rätt att fortsätta sina försök att öve</w:t>
      </w:r>
      <w:r w:rsidRPr="001B4EC1">
        <w:t>r</w:t>
      </w:r>
      <w:r w:rsidRPr="001B4EC1">
        <w:t>tyga den svenska riksdagen om det riktiga i sin egen ståndpunkt. Svårighete</w:t>
      </w:r>
      <w:r w:rsidRPr="001B4EC1">
        <w:t>r</w:t>
      </w:r>
      <w:r w:rsidRPr="001B4EC1">
        <w:t>na för honom att – i den situation som uppstått – med trovärdighet i EU-kretsen argumentera för riksdagsmajoritetens linje måste enligt utskottets uppfattning beaktas. Han har</w:t>
      </w:r>
      <w:r w:rsidRPr="001B4EC1">
        <w:t xml:space="preserve"> också enligt tillgänglig utredning, när det funnits anledning, påpekat att det som kommit att kallas det svenska förslaget inte hade riksdagens stöd. Situationen uppstod i huvudsak till följd av det agera</w:t>
      </w:r>
      <w:r w:rsidRPr="001B4EC1">
        <w:t>n</w:t>
      </w:r>
      <w:r w:rsidRPr="001B4EC1">
        <w:t>de som var föremål för utskottets bedömning under föregående riksmöte. Utredningen nu ger inte anledning till något ytterligare uttalande från utsko</w:t>
      </w:r>
      <w:r w:rsidRPr="001B4EC1">
        <w:t>t</w:t>
      </w:r>
      <w:r w:rsidRPr="001B4EC1">
        <w:t xml:space="preserve">tets sida. </w:t>
      </w:r>
    </w:p>
    <w:p w:rsidR="00252869" w:rsidRPr="001B4EC1" w:rsidRDefault="00252869">
      <w:pPr>
        <w:pStyle w:val="Reservationspunkt"/>
        <w:numPr>
          <w:ilvl w:val="0"/>
          <w:numId w:val="34"/>
        </w:numPr>
        <w:rPr>
          <w:noProof w:val="0"/>
        </w:rPr>
      </w:pPr>
      <w:bookmarkStart w:id="174" w:name="_Toc72648600"/>
      <w:r w:rsidRPr="001B4EC1">
        <w:rPr>
          <w:noProof w:val="0"/>
        </w:rPr>
        <w:t>Regeringens samråd med EU-nämnden (avsnitt 1.6)</w:t>
      </w:r>
      <w:bookmarkEnd w:id="174"/>
      <w:r w:rsidRPr="001B4EC1">
        <w:rPr>
          <w:noProof w:val="0"/>
        </w:rPr>
        <w:t xml:space="preserve"> </w:t>
      </w:r>
    </w:p>
    <w:p w:rsidR="00252869" w:rsidRPr="001B4EC1" w:rsidRDefault="00252869">
      <w:pPr>
        <w:pStyle w:val="Reservanter"/>
      </w:pPr>
      <w:r w:rsidRPr="001B4EC1">
        <w:t>av Göran Magnusson (s), Barbro Hietala Nordlund (s), Kenth Högström (s), Mats Berglind (s), Anders Bengtsson (s), Helene Petersson (s), Billy Gustafsson (s) och Inger Jarl Beck (s).</w:t>
      </w:r>
    </w:p>
    <w:p w:rsidR="00252869" w:rsidRPr="001B4EC1" w:rsidRDefault="00252869">
      <w:pPr>
        <w:pStyle w:val="R4"/>
        <w:spacing w:before="125"/>
      </w:pPr>
      <w:r w:rsidRPr="001B4EC1">
        <w:t xml:space="preserve">Utrikesministerbrevet </w:t>
      </w:r>
    </w:p>
    <w:p w:rsidR="00252869" w:rsidRPr="001B4EC1" w:rsidRDefault="00252869">
      <w:r w:rsidRPr="001B4EC1">
        <w:t xml:space="preserve">Vad först angår utrikesminister Laila Freivalds hantering av samrådet om de fyra utrikesministrarnas brev finner utskottet att utrikesministern informerat och samrått med EU-nämnden i erforderlig utsträckning. </w:t>
      </w:r>
    </w:p>
    <w:p w:rsidR="00252869" w:rsidRPr="001B4EC1" w:rsidRDefault="00252869">
      <w:pPr>
        <w:pStyle w:val="Normaltindrag"/>
      </w:pPr>
      <w:r w:rsidRPr="001B4EC1">
        <w:t>Dateringen av brevet har enligt vad utrikesministern förklarat skett av fö</w:t>
      </w:r>
      <w:r w:rsidRPr="001B4EC1">
        <w:t>r</w:t>
      </w:r>
      <w:r w:rsidRPr="001B4EC1">
        <w:t xml:space="preserve">biseende. Utskottet har ingen anledning att ifrågasätta denna förklaring. </w:t>
      </w:r>
    </w:p>
    <w:tbl>
      <w:tblPr>
        <w:tblW w:w="0" w:type="auto"/>
        <w:tblInd w:w="-113" w:type="dxa"/>
        <w:tblLayout w:type="fixed"/>
        <w:tblCellMar>
          <w:left w:w="113" w:type="dxa"/>
          <w:right w:w="113" w:type="dxa"/>
        </w:tblCellMar>
        <w:tblLook w:val="0000" w:firstRow="0" w:lastRow="0" w:firstColumn="0" w:lastColumn="0" w:noHBand="0" w:noVBand="0"/>
      </w:tblPr>
      <w:tblGrid>
        <w:gridCol w:w="6180"/>
      </w:tblGrid>
      <w:tr w:rsidR="00000000" w:rsidRPr="001B4EC1">
        <w:tblPrEx>
          <w:tblCellMar>
            <w:top w:w="0" w:type="dxa"/>
            <w:bottom w:w="0" w:type="dxa"/>
          </w:tblCellMar>
        </w:tblPrEx>
        <w:tc>
          <w:tcPr>
            <w:tcW w:w="6180" w:type="dxa"/>
          </w:tcPr>
          <w:p w:rsidR="00252869" w:rsidRPr="001B4EC1" w:rsidRDefault="00252869">
            <w:pPr>
              <w:pStyle w:val="Reservationspunkt"/>
              <w:numPr>
                <w:ilvl w:val="0"/>
                <w:numId w:val="34"/>
              </w:numPr>
              <w:spacing w:before="110"/>
              <w:rPr>
                <w:noProof w:val="0"/>
              </w:rPr>
            </w:pPr>
            <w:bookmarkStart w:id="175" w:name="_Toc72648601"/>
            <w:r w:rsidRPr="001B4EC1">
              <w:rPr>
                <w:noProof w:val="0"/>
              </w:rPr>
              <w:t>Regeringens redovisning av statens inkomster och utgifter m.m. (avsnitt 2.1)</w:t>
            </w:r>
            <w:bookmarkEnd w:id="175"/>
          </w:p>
          <w:p w:rsidR="00252869" w:rsidRPr="001B4EC1" w:rsidRDefault="00252869">
            <w:pPr>
              <w:pStyle w:val="Reservanter"/>
            </w:pPr>
            <w:r w:rsidRPr="001B4EC1">
              <w:t>av Gunnar Hökmark (m), Helena Bargholtz (fp), Ingvar Svensson (kd), Henrik S Järrel (m), Tobias Krantz (fp), Kerstin Lundgren (c) och Nils Fredrik Aurelius (m).</w:t>
            </w:r>
          </w:p>
          <w:p w:rsidR="00252869" w:rsidRPr="001B4EC1" w:rsidRDefault="00252869">
            <w:r w:rsidRPr="001B4EC1">
              <w:t>Av konstitutionsutskottets granskning framkommer att regeringen vid flera tillfällen lagt fram förslag för riksdagen som står i strid med reglerna i bu</w:t>
            </w:r>
            <w:r w:rsidRPr="001B4EC1">
              <w:t>d</w:t>
            </w:r>
            <w:r w:rsidRPr="001B4EC1">
              <w:t>getlagen. Riksdagen har sedan beslutat om förslagen. Det finns ur strikt ko</w:t>
            </w:r>
            <w:r w:rsidRPr="001B4EC1">
              <w:t>n</w:t>
            </w:r>
            <w:r w:rsidRPr="001B4EC1">
              <w:t>stitutionell synvinkel ingen kritik att anföra mot regeringens förfarande. Inte desto mindre medför förslagen och besluten en successiv urholkning av bu</w:t>
            </w:r>
            <w:r w:rsidRPr="001B4EC1">
              <w:t>d</w:t>
            </w:r>
            <w:r w:rsidRPr="001B4EC1">
              <w:t>getlagen. Regeringen bör enligt vår mening verka för att budgetlagens änd</w:t>
            </w:r>
            <w:r w:rsidRPr="001B4EC1">
              <w:t>a</w:t>
            </w:r>
            <w:r w:rsidRPr="001B4EC1">
              <w:t>mål skall förverkligas.</w:t>
            </w:r>
          </w:p>
          <w:p w:rsidR="00252869" w:rsidRPr="001B4EC1" w:rsidRDefault="00252869">
            <w:pPr>
              <w:pStyle w:val="Reservationspunkt"/>
              <w:numPr>
                <w:ilvl w:val="0"/>
                <w:numId w:val="34"/>
              </w:numPr>
              <w:rPr>
                <w:noProof w:val="0"/>
              </w:rPr>
            </w:pPr>
            <w:bookmarkStart w:id="176" w:name="_Toc72648602"/>
            <w:r w:rsidRPr="001B4EC1">
              <w:rPr>
                <w:noProof w:val="0"/>
              </w:rPr>
              <w:t>Senareläggning av EU-avgiften till nästa budgetår (avsnitt 2.2)</w:t>
            </w:r>
            <w:bookmarkEnd w:id="176"/>
          </w:p>
          <w:p w:rsidR="00252869" w:rsidRPr="001B4EC1" w:rsidRDefault="00252869">
            <w:pPr>
              <w:pStyle w:val="Reservanter"/>
            </w:pPr>
            <w:r w:rsidRPr="001B4EC1">
              <w:t>av Gunnar Hökmark (m), Helena Bargholtz (fp), Ingvar Svensson (kd), Henrik S Järrel (m), Tobias Krantz (fp), Kerstin Lundgren (c) och Nils Fredrik Aurelius (m).</w:t>
            </w:r>
          </w:p>
          <w:p w:rsidR="00252869" w:rsidRPr="001B4EC1" w:rsidRDefault="00252869">
            <w:r w:rsidRPr="001B4EC1">
              <w:t>Enligt budgetlagen är regeringen skyldig att vidta åtgärder om det finns risk att utgiftstaket kommer att överskridas. Som framhålls i förarbetena till bu</w:t>
            </w:r>
            <w:r w:rsidRPr="001B4EC1">
              <w:t>d</w:t>
            </w:r>
            <w:r w:rsidRPr="001B4EC1">
              <w:t>getlagen är emellertid regeringen samtidigt förpliktad att se till att de åtaga</w:t>
            </w:r>
            <w:r w:rsidRPr="001B4EC1">
              <w:t>n</w:t>
            </w:r>
            <w:r w:rsidRPr="001B4EC1">
              <w:t>den som staten har till följd av lag eller avtal fullföljs. Beslutet att skjuta på EU-avgiften innebar ett avsteg från EG:s bestämmelser. Den åtgärd som vidtogs står sålunda i strid med såväl budgetlagen som EG:s regler. Vidare ledde åtgärden – tvärtemot syftet med utgiftstak – inte till bättre kontroll över statens utgifter. Snarare ökade utgifterna eftersom staten till följd av den försenade inbetalningen måste erlägga dröjsm</w:t>
            </w:r>
            <w:r w:rsidRPr="001B4EC1">
              <w:t>ålsränta. Det kan enligt vår mening ifrågasättas om detta överensstämmer med budgetlagens krav på god hushållning. Slutligen kan konstateras att regeringen enligt 9 kap. 10 § rege</w:t>
            </w:r>
            <w:r w:rsidRPr="001B4EC1">
              <w:t>r</w:t>
            </w:r>
            <w:r w:rsidRPr="001B4EC1">
              <w:t>ingsformen inte utan riksdagens bemyndigande får uppta lån eller i övrigt ikläda staten ekonomisk förpliktelse. Närmare bestämmelser om befogenhet för regeringen att ikläda staten ekonomisk förpliktelse finns i budgetlagen. Enligt 12 § får regeringen för det ändamål och med högst det belopp som riksdagen bestämmer beställa varor e</w:t>
            </w:r>
            <w:r w:rsidRPr="001B4EC1">
              <w:t>ller tjänster samt besluta om bidrag, ersättning, lån eller liknande som medför utgifter även under senare budgetår än det statsbudgeten avser. Beslutet att skjuta på EU-avgiften, och därigenom medvetet ådra staten en utgift i form av dröjsmålsränta under det efterföljande budgetåret, har inte förankrats i riksd</w:t>
            </w:r>
            <w:r w:rsidRPr="001B4EC1">
              <w:t>a</w:t>
            </w:r>
            <w:r w:rsidRPr="001B4EC1">
              <w:t>gen.</w:t>
            </w:r>
          </w:p>
          <w:p w:rsidR="00252869" w:rsidRPr="001B4EC1" w:rsidRDefault="00252869">
            <w:pPr>
              <w:pStyle w:val="Normaltindrag"/>
            </w:pPr>
            <w:r w:rsidRPr="001B4EC1">
              <w:t>Enligt vår mening har regeringen och finansminister Bosse Ringholm ag</w:t>
            </w:r>
            <w:r w:rsidRPr="001B4EC1">
              <w:t>e</w:t>
            </w:r>
            <w:r w:rsidRPr="001B4EC1">
              <w:t>rat i strid med gällande regler och överträtt sina befogenheter. För detta fö</w:t>
            </w:r>
            <w:r w:rsidRPr="001B4EC1">
              <w:t>r</w:t>
            </w:r>
            <w:r w:rsidRPr="001B4EC1">
              <w:t>tjänar regeringen och Bosse Ringholm kritik.</w:t>
            </w:r>
          </w:p>
          <w:p w:rsidR="00252869" w:rsidRPr="001B4EC1" w:rsidRDefault="00252869">
            <w:pPr>
              <w:pStyle w:val="Reservationspunkt"/>
              <w:numPr>
                <w:ilvl w:val="0"/>
                <w:numId w:val="34"/>
              </w:numPr>
              <w:spacing w:before="610"/>
              <w:rPr>
                <w:noProof w:val="0"/>
              </w:rPr>
            </w:pPr>
            <w:bookmarkStart w:id="177" w:name="_Toc72648603"/>
            <w:r w:rsidRPr="001B4EC1">
              <w:rPr>
                <w:noProof w:val="0"/>
              </w:rPr>
              <w:t>Näringsdepartementets upphandling av ekonomisk och juridisk rådgivning (avsnitt 3.3)</w:t>
            </w:r>
            <w:bookmarkEnd w:id="177"/>
          </w:p>
          <w:p w:rsidR="00252869" w:rsidRPr="001B4EC1" w:rsidRDefault="00252869">
            <w:pPr>
              <w:pStyle w:val="Reservanter"/>
            </w:pPr>
            <w:r w:rsidRPr="001B4EC1">
              <w:t>av Gunnar Hökmark (m), Helena Bargholtz (fp), Ingvar Svensson (kd), Henrik S Järrel (m), Tobias Krantz (fp), Kerstin Lundgren (c) och Nils Fredrik Aurelius (m).</w:t>
            </w:r>
          </w:p>
          <w:p w:rsidR="00252869" w:rsidRPr="001B4EC1" w:rsidRDefault="00252869">
            <w:r w:rsidRPr="001B4EC1">
              <w:t>Nämnden för offentlig upphandling, som enligt LOU är tillsynsmyndighet för offentlig upphandling, har ansett att de aktuella ramavtalen inte möjliggör för Regeringskansliet att anskaffa juridiska och ekonomiska konsulttjänster utan att först genomföra ett upphandlingsförfarande i enlighet med bestämmelse</w:t>
            </w:r>
            <w:r w:rsidRPr="001B4EC1">
              <w:t>r</w:t>
            </w:r>
            <w:r w:rsidRPr="001B4EC1">
              <w:t>na i LOU. Nämnden har därvid hänvisat till huvudregeln i 1 kap. 5 § LOU om att ramavtal måste fastställa samtliga villkor för avrop som görs under en viss period och till sitt uttalande år 1998 om att ramavtal inte får användas som endast en lista på godkända leverantörer. Vidare har  nämnden byggt sin bedömning på vissa domstolsavgöranden, bl.a. en dom i juni 2000 från Ka</w:t>
            </w:r>
            <w:r w:rsidRPr="001B4EC1">
              <w:t>m</w:t>
            </w:r>
            <w:r w:rsidRPr="001B4EC1">
              <w:t>marrätten i Sundsvall, rättspraxis i andra nordiska länder och uttalande från EFTA:s övervakning</w:t>
            </w:r>
            <w:r w:rsidRPr="001B4EC1">
              <w:t>s</w:t>
            </w:r>
            <w:r w:rsidRPr="001B4EC1">
              <w:t xml:space="preserve">organ. </w:t>
            </w:r>
          </w:p>
          <w:p w:rsidR="00252869" w:rsidRPr="001B4EC1" w:rsidRDefault="00252869">
            <w:pPr>
              <w:pStyle w:val="Normaltindrag"/>
            </w:pPr>
            <w:r w:rsidRPr="001B4EC1">
              <w:t xml:space="preserve">Statskontoret har framfört en </w:t>
            </w:r>
            <w:r w:rsidRPr="001B4EC1">
              <w:t>annan uppfattning om rättsläget men har oc</w:t>
            </w:r>
            <w:r w:rsidRPr="001B4EC1">
              <w:t>k</w:t>
            </w:r>
            <w:r w:rsidRPr="001B4EC1">
              <w:t>så anfört att rättsläget som sin helhet är oklart.</w:t>
            </w:r>
          </w:p>
          <w:p w:rsidR="00252869" w:rsidRPr="001B4EC1" w:rsidRDefault="00252869">
            <w:pPr>
              <w:pStyle w:val="Normaltindrag"/>
            </w:pPr>
            <w:r w:rsidRPr="001B4EC1">
              <w:t>Det är enligt utskottets mening tydligt att det råder en osäkerhet kring ti</w:t>
            </w:r>
            <w:r w:rsidRPr="001B4EC1">
              <w:t>l</w:t>
            </w:r>
            <w:r w:rsidRPr="001B4EC1">
              <w:t>lämpningen av LOU såvitt gäller ramavtalens utformning och utrymmet för avrop från ramavtalen. Utskottet förutsätter därför att den nuvarande osäke</w:t>
            </w:r>
            <w:r w:rsidRPr="001B4EC1">
              <w:t>r</w:t>
            </w:r>
            <w:r w:rsidRPr="001B4EC1">
              <w:t>heten undanröjs i samband med implementering av det nya upphandlingsd</w:t>
            </w:r>
            <w:r w:rsidRPr="001B4EC1">
              <w:t>i</w:t>
            </w:r>
            <w:r w:rsidRPr="001B4EC1">
              <w:t>rektivet. Mot bakgrund av vikten av att Regeringskansliet framstår som ett föredöme i tillämpningen av LOU, borde enligt utskottets mening förutsät</w:t>
            </w:r>
            <w:r w:rsidRPr="001B4EC1">
              <w:t>t</w:t>
            </w:r>
            <w:r w:rsidRPr="001B4EC1">
              <w:t>ningarna för utformningen av ramavtalen ha undersökts mer noggrant och åtgärder i syfte att undanröja osäkerheten ha genomförts långt tidigare oc</w:t>
            </w:r>
            <w:r w:rsidRPr="001B4EC1">
              <w:t xml:space="preserve">h i vart fall före tecknandet av nya ramavtal våren 2003. </w:t>
            </w:r>
          </w:p>
          <w:p w:rsidR="00252869" w:rsidRPr="001B4EC1" w:rsidRDefault="00252869">
            <w:pPr>
              <w:pStyle w:val="Normaltindrag"/>
            </w:pPr>
            <w:r w:rsidRPr="001B4EC1">
              <w:t>Granskningen föranleder inte något uttalande i övrigt.</w:t>
            </w:r>
          </w:p>
          <w:p w:rsidR="00252869" w:rsidRPr="001B4EC1" w:rsidRDefault="00252869">
            <w:pPr>
              <w:pStyle w:val="Reservationspunkt"/>
              <w:numPr>
                <w:ilvl w:val="0"/>
                <w:numId w:val="34"/>
              </w:numPr>
              <w:rPr>
                <w:noProof w:val="0"/>
              </w:rPr>
            </w:pPr>
            <w:bookmarkStart w:id="178" w:name="_Toc72648604"/>
            <w:r w:rsidRPr="001B4EC1">
              <w:rPr>
                <w:noProof w:val="0"/>
              </w:rPr>
              <w:t>Regeringens förfarande vid utnämningar till högre statliga tjänster (avsnitt 3.4)</w:t>
            </w:r>
            <w:bookmarkEnd w:id="178"/>
          </w:p>
          <w:p w:rsidR="00252869" w:rsidRPr="001B4EC1" w:rsidRDefault="00252869">
            <w:pPr>
              <w:pStyle w:val="Reservanter"/>
            </w:pPr>
            <w:r w:rsidRPr="001B4EC1">
              <w:t>av Gunnar Hökmark (m), Helena Bargholtz (fp), Ingvar Svensson (kd), Henrik S Järrel (m), Tobias Krantz (fp), Kerstin Lundgren (c), Nils Fre</w:t>
            </w:r>
            <w:r w:rsidRPr="001B4EC1">
              <w:t>d</w:t>
            </w:r>
            <w:r w:rsidRPr="001B4EC1">
              <w:t>rik Aurelius (m) och Gustav Fridolin (mp).</w:t>
            </w:r>
          </w:p>
          <w:p w:rsidR="00252869" w:rsidRPr="001B4EC1" w:rsidRDefault="00252869">
            <w:pPr>
              <w:rPr>
                <w:snapToGrid w:val="0"/>
                <w:lang w:eastAsia="sv-SE"/>
              </w:rPr>
            </w:pPr>
            <w:r w:rsidRPr="001B4EC1">
              <w:rPr>
                <w:snapToGrid w:val="0"/>
                <w:lang w:eastAsia="sv-SE"/>
              </w:rPr>
              <w:t>Enligt 11 kap. 9 § regeringsformen får vid tillsättning av statlig tjänst avsee</w:t>
            </w:r>
            <w:r w:rsidRPr="001B4EC1">
              <w:rPr>
                <w:snapToGrid w:val="0"/>
                <w:lang w:eastAsia="sv-SE"/>
              </w:rPr>
              <w:t>n</w:t>
            </w:r>
            <w:r w:rsidRPr="001B4EC1">
              <w:rPr>
                <w:snapToGrid w:val="0"/>
                <w:lang w:eastAsia="sv-SE"/>
              </w:rPr>
              <w:t>de fästas endast vid sakliga grunder såsom förtjänst och skicklighet. Grans</w:t>
            </w:r>
            <w:r w:rsidRPr="001B4EC1">
              <w:rPr>
                <w:snapToGrid w:val="0"/>
                <w:lang w:eastAsia="sv-SE"/>
              </w:rPr>
              <w:t>k</w:t>
            </w:r>
            <w:r w:rsidRPr="001B4EC1">
              <w:rPr>
                <w:snapToGrid w:val="0"/>
                <w:lang w:eastAsia="sv-SE"/>
              </w:rPr>
              <w:t>ningen av hur regeringen utövar utnämningsmakten ger vid handen att en stor del av dem som utses till högre statliga tjänster har politisk bakgrund inom regeringspartiet.</w:t>
            </w:r>
          </w:p>
          <w:p w:rsidR="00252869" w:rsidRPr="001B4EC1" w:rsidRDefault="00252869">
            <w:pPr>
              <w:pStyle w:val="Normaltindrag"/>
              <w:rPr>
                <w:snapToGrid w:val="0"/>
                <w:lang w:eastAsia="sv-SE"/>
              </w:rPr>
            </w:pPr>
            <w:r w:rsidRPr="001B4EC1">
              <w:rPr>
                <w:snapToGrid w:val="0"/>
                <w:lang w:eastAsia="sv-SE"/>
              </w:rPr>
              <w:t>Utskottet har tidigare gjort bedömningen att den omständigheten att en person har politisk bakgrund inte skall vara diskvalificerande vid tillsättning av till exempel en generaldirektörstjänst, så länge endast sakliga grunder som förtjänst och skicklighet tillämpa</w:t>
            </w:r>
            <w:r w:rsidRPr="001B4EC1">
              <w:rPr>
                <w:snapToGrid w:val="0"/>
                <w:lang w:eastAsia="sv-SE"/>
              </w:rPr>
              <w:t>s vid tillsättningen. Utskottet har i stället velat framhålla att politisk erfarenhet kan vara en viktig erfarenhet när det gäller att leda offentliga verksamheter.</w:t>
            </w:r>
          </w:p>
          <w:p w:rsidR="00252869" w:rsidRPr="001B4EC1" w:rsidRDefault="00252869">
            <w:pPr>
              <w:pStyle w:val="Normaltindrag"/>
              <w:rPr>
                <w:snapToGrid w:val="0"/>
                <w:lang w:eastAsia="sv-SE"/>
              </w:rPr>
            </w:pPr>
            <w:r w:rsidRPr="001B4EC1">
              <w:rPr>
                <w:snapToGrid w:val="0"/>
                <w:lang w:eastAsia="sv-SE"/>
              </w:rPr>
              <w:t>Vi vidhåller denna bedömning. Enligt vår mening är emellertid tendensen vid utnämningar sådan att misstanke kan uppstå om att vid tillsättning inte enbart – såsom grundlagen föreskriver – avseende fästs vid sakliga grunder. Varje sådan misstanke riskerar att rubba förtroendet för regeringens oväld och vilja eller förmåga att leva upp till grundl</w:t>
            </w:r>
            <w:r w:rsidRPr="001B4EC1">
              <w:rPr>
                <w:snapToGrid w:val="0"/>
                <w:lang w:eastAsia="sv-SE"/>
              </w:rPr>
              <w:t>agens föreskrift.</w:t>
            </w:r>
          </w:p>
          <w:p w:rsidR="00252869" w:rsidRPr="001B4EC1" w:rsidRDefault="00252869">
            <w:pPr>
              <w:pStyle w:val="Normaltindrag"/>
            </w:pPr>
            <w:r w:rsidRPr="001B4EC1">
              <w:rPr>
                <w:snapToGrid w:val="0"/>
                <w:lang w:eastAsia="sv-SE"/>
              </w:rPr>
              <w:t>Vidare innebär regeringens sätt att bereda utnämningsärenden att de u</w:t>
            </w:r>
            <w:r w:rsidRPr="001B4EC1">
              <w:rPr>
                <w:snapToGrid w:val="0"/>
                <w:lang w:eastAsia="sv-SE"/>
              </w:rPr>
              <w:t>t</w:t>
            </w:r>
            <w:r w:rsidRPr="001B4EC1">
              <w:rPr>
                <w:snapToGrid w:val="0"/>
                <w:lang w:eastAsia="sv-SE"/>
              </w:rPr>
              <w:t>nämningar som görs är svåra att granska i efterhand, till exempel med avs</w:t>
            </w:r>
            <w:r w:rsidRPr="001B4EC1">
              <w:rPr>
                <w:snapToGrid w:val="0"/>
                <w:lang w:eastAsia="sv-SE"/>
              </w:rPr>
              <w:t>e</w:t>
            </w:r>
            <w:r w:rsidRPr="001B4EC1">
              <w:rPr>
                <w:snapToGrid w:val="0"/>
                <w:lang w:eastAsia="sv-SE"/>
              </w:rPr>
              <w:t>ende på vilka grunder som tillämpats vid utnämningen. De kravprofiler som tas fram innan sökandet av kandidater påbörjas arkiveras inte och därigenom blir de inte heller allmänna handlingar. Enligt vår mening bör regeringen överväga att ändra denna praxis. Genom att behandla kravprofiler så att de blir allmänna handlingar skulle möjligheten att granska regeringens sätt att hantera utnämningar underlättas.</w:t>
            </w:r>
          </w:p>
          <w:p w:rsidR="00252869" w:rsidRPr="001B4EC1" w:rsidRDefault="00252869">
            <w:pPr>
              <w:pStyle w:val="Reservationspunkt"/>
              <w:numPr>
                <w:ilvl w:val="0"/>
                <w:numId w:val="34"/>
              </w:numPr>
              <w:rPr>
                <w:noProof w:val="0"/>
              </w:rPr>
            </w:pPr>
            <w:bookmarkStart w:id="179" w:name="_Toc72648605"/>
            <w:r w:rsidRPr="001B4EC1">
              <w:rPr>
                <w:noProof w:val="0"/>
              </w:rPr>
              <w:t xml:space="preserve">Statsråds uttalanden om den </w:t>
            </w:r>
            <w:r w:rsidRPr="001B4EC1">
              <w:rPr>
                <w:noProof w:val="0"/>
              </w:rPr>
              <w:t>svenska räntenivån (avsnitt 5.1)</w:t>
            </w:r>
            <w:bookmarkEnd w:id="179"/>
          </w:p>
          <w:p w:rsidR="00252869" w:rsidRPr="001B4EC1" w:rsidRDefault="00252869">
            <w:pPr>
              <w:pStyle w:val="Reservanter"/>
            </w:pPr>
            <w:r w:rsidRPr="001B4EC1">
              <w:t>av Gunnar Hökmark (m), Helena Bargholtz (fp), Ingvar Svensson (kd), Henrik S Järrel (m), Tobias Krantz (fp), Kerstin Lundgren (c) och Nils Fredrik Aurelius (m).</w:t>
            </w:r>
          </w:p>
          <w:p w:rsidR="00252869" w:rsidRPr="001B4EC1" w:rsidRDefault="00252869">
            <w:r w:rsidRPr="001B4EC1">
              <w:t>Både statsministern och näringsministern har i skilda sammanhang fällt li</w:t>
            </w:r>
            <w:r w:rsidRPr="001B4EC1">
              <w:t>k</w:t>
            </w:r>
            <w:r w:rsidRPr="001B4EC1">
              <w:t xml:space="preserve">artade uttalanden om behovet av att Riksbanken sänker räntan. Uttalandena kan ge intryck av att ha gjorts i syfte att utöva påverkan på Riksbanken. </w:t>
            </w:r>
          </w:p>
          <w:p w:rsidR="00252869" w:rsidRPr="001B4EC1" w:rsidRDefault="00252869">
            <w:pPr>
              <w:pStyle w:val="Normaltindrag"/>
            </w:pPr>
            <w:r w:rsidRPr="001B4EC1">
              <w:t>Liksom vid tidigare granskningar som rört uttalanden av statsråd konstat</w:t>
            </w:r>
            <w:r w:rsidRPr="001B4EC1">
              <w:t>e</w:t>
            </w:r>
            <w:r w:rsidRPr="001B4EC1">
              <w:t>rar utskottet som en utgångspunkt att statsråd i likhet med andra medborgare har rätt att göra uttalanden i olika sammanhang. Utskottet har dock också ansett att vissa särskilda hänsyn kan behöva tas, bl.a. kan auktoritativa utt</w:t>
            </w:r>
            <w:r w:rsidRPr="001B4EC1">
              <w:t>a</w:t>
            </w:r>
            <w:r w:rsidRPr="001B4EC1">
              <w:t>landen av statsråd i enskilda fall skapa risk för att den självständighet som enligt regeringsformen skall tillkomma domstolar och förvaltningsmyndi</w:t>
            </w:r>
            <w:r w:rsidRPr="001B4EC1">
              <w:t>g</w:t>
            </w:r>
            <w:r w:rsidRPr="001B4EC1">
              <w:t>heter äventyras. Regeringsformen innehåller numera en särskild bestämmelse som skall tillförsäkra Riksbanken ett liknande oberoende i</w:t>
            </w:r>
            <w:r w:rsidRPr="001B4EC1">
              <w:t xml:space="preserve"> fråga om bankens utövande av penningpolitiken. Som utskottet tidigare anfört ger detta anle</w:t>
            </w:r>
            <w:r w:rsidRPr="001B4EC1">
              <w:t>d</w:t>
            </w:r>
            <w:r w:rsidRPr="001B4EC1">
              <w:t xml:space="preserve">ning för statsråd att ta särskilda hänsyn även i fråga om uttalanden som berör detta ämne. </w:t>
            </w:r>
          </w:p>
          <w:p w:rsidR="00252869" w:rsidRPr="001B4EC1" w:rsidRDefault="00252869">
            <w:pPr>
              <w:pStyle w:val="Normaltindrag"/>
            </w:pPr>
            <w:r w:rsidRPr="001B4EC1">
              <w:t>Utskottet vill åter understryka behovet av särskild hänsyn när det gäller statsråds uttalanden om penningpolitiken. Behovet av hänsynstagande är särskilt angeläget när flera statsråd vill göra uttalanden om räntesatsen. Det är enligt utskottets mening angeläget att ledamöter av regeringen med god ma</w:t>
            </w:r>
            <w:r w:rsidRPr="001B4EC1">
              <w:t>r</w:t>
            </w:r>
            <w:r w:rsidRPr="001B4EC1">
              <w:t>ginal beaktar instruktionsförbudet om de gör uttalanden om penningpol</w:t>
            </w:r>
            <w:r w:rsidRPr="001B4EC1">
              <w:t>i</w:t>
            </w:r>
            <w:r w:rsidRPr="001B4EC1">
              <w:t xml:space="preserve">tiken. </w:t>
            </w:r>
          </w:p>
          <w:p w:rsidR="00252869" w:rsidRPr="001B4EC1" w:rsidRDefault="00252869">
            <w:pPr>
              <w:pStyle w:val="Reservationspunkt"/>
              <w:numPr>
                <w:ilvl w:val="0"/>
                <w:numId w:val="34"/>
              </w:numPr>
              <w:rPr>
                <w:noProof w:val="0"/>
              </w:rPr>
            </w:pPr>
            <w:bookmarkStart w:id="180" w:name="_Toc72648606"/>
            <w:r w:rsidRPr="001B4EC1">
              <w:rPr>
                <w:noProof w:val="0"/>
              </w:rPr>
              <w:t>Fråga om ministerstyre i ett asylärende (avsnitt 5.2)</w:t>
            </w:r>
            <w:bookmarkEnd w:id="180"/>
          </w:p>
          <w:p w:rsidR="00252869" w:rsidRPr="001B4EC1" w:rsidRDefault="00252869">
            <w:pPr>
              <w:pStyle w:val="Reservanter"/>
            </w:pPr>
            <w:r w:rsidRPr="001B4EC1">
              <w:t>av Gustav Fridolin (mp).</w:t>
            </w:r>
          </w:p>
          <w:p w:rsidR="00252869" w:rsidRPr="001B4EC1" w:rsidRDefault="00252869">
            <w:r w:rsidRPr="001B4EC1">
              <w:t>Som konstitutionsutskottet tidigare anfört har ett statsråd i likhet med alla andra medborgare självfallet rätt att göra uttalanden i olika sammanhang. Med hänsyn till ett statsråds speciella ställning i förening med det förhålla</w:t>
            </w:r>
            <w:r w:rsidRPr="001B4EC1">
              <w:t>n</w:t>
            </w:r>
            <w:r w:rsidRPr="001B4EC1">
              <w:t>det att regeringsformen uppställt vissa regler för myndigheternas självstä</w:t>
            </w:r>
            <w:r w:rsidRPr="001B4EC1">
              <w:t>n</w:t>
            </w:r>
            <w:r w:rsidRPr="001B4EC1">
              <w:t>dighet i förhållande till regeringen måste dock återhållsamhet iakttas när det gäller uttalanden som rör myndighetsutövning mot enskild eller tillämpning av lag. Det nu aktuella uttalandet har fällts hos Utlänningsnämnden och där av i vart fall en beslutsfattare uppfattas som påtryckning. Mot denna bakgrund anser jag att Jan O. Karlsson inte visat tillräcklig återhållsamhet vid det akt</w:t>
            </w:r>
            <w:r w:rsidRPr="001B4EC1">
              <w:t>u</w:t>
            </w:r>
            <w:r w:rsidRPr="001B4EC1">
              <w:t>ella tillfället.</w:t>
            </w:r>
          </w:p>
          <w:p w:rsidR="00252869" w:rsidRPr="001B4EC1" w:rsidRDefault="00252869">
            <w:pPr>
              <w:pStyle w:val="Reservationspunkt"/>
              <w:numPr>
                <w:ilvl w:val="0"/>
                <w:numId w:val="34"/>
              </w:numPr>
              <w:rPr>
                <w:noProof w:val="0"/>
              </w:rPr>
            </w:pPr>
            <w:bookmarkStart w:id="181" w:name="_Toc72648607"/>
            <w:r w:rsidRPr="001B4EC1">
              <w:rPr>
                <w:noProof w:val="0"/>
              </w:rPr>
              <w:t>Svensk vapenexport i förhållan</w:t>
            </w:r>
            <w:r w:rsidRPr="001B4EC1">
              <w:rPr>
                <w:noProof w:val="0"/>
              </w:rPr>
              <w:t>de till folkrätten och FN-stadgan (avsnitt 6.1)</w:t>
            </w:r>
            <w:bookmarkEnd w:id="181"/>
          </w:p>
          <w:p w:rsidR="00252869" w:rsidRPr="001B4EC1" w:rsidRDefault="00252869">
            <w:pPr>
              <w:pStyle w:val="Reservanter"/>
            </w:pPr>
            <w:r w:rsidRPr="001B4EC1">
              <w:t xml:space="preserve">av Mats Einarsson (v) och Gustav Fridolin (mp). </w:t>
            </w:r>
          </w:p>
        </w:tc>
      </w:tr>
    </w:tbl>
    <w:p w:rsidR="00252869" w:rsidRPr="001B4EC1" w:rsidRDefault="00252869">
      <w:r w:rsidRPr="001B4EC1">
        <w:t>Av granskningsanmälan i ärendet framgår att Sverige under de senaste tre åren har exporterat krigsmateriel för 2 300 000 000 kr till de länder som de</w:t>
      </w:r>
      <w:r w:rsidRPr="001B4EC1">
        <w:t>l</w:t>
      </w:r>
      <w:r w:rsidRPr="001B4EC1">
        <w:t>tagit i anfallskriget mot Irak, nämligen USA, Storbritannien, Australien, Sp</w:t>
      </w:r>
      <w:r w:rsidRPr="001B4EC1">
        <w:t>a</w:t>
      </w:r>
      <w:r w:rsidRPr="001B4EC1">
        <w:t xml:space="preserve">nien, Polen och Danmark. </w:t>
      </w:r>
    </w:p>
    <w:p w:rsidR="00252869" w:rsidRPr="001B4EC1" w:rsidRDefault="00252869">
      <w:pPr>
        <w:pStyle w:val="Normaltindrag"/>
        <w:rPr>
          <w:snapToGrid w:val="0"/>
          <w:lang w:eastAsia="sv-SE"/>
        </w:rPr>
      </w:pPr>
      <w:r w:rsidRPr="001B4EC1">
        <w:rPr>
          <w:snapToGrid w:val="0"/>
          <w:lang w:eastAsia="sv-SE"/>
        </w:rPr>
        <w:t>Enligt 1 a § lagen (1992:1300) om krigsmateriel och 4 § lagen (2000:1064) om kontroll av produkter med dubbla användningsområden och av tekniskt bistånd prövar regeringen ärenden om tillstånd till utförsel ur landet av krigsmateriel som har principiell betydelse eller annars är av särskild vikt. Vidare får regeringen enligt dessa lagrum meddela ytterligare föreskrifter om överlämnande till regeringen. I s</w:t>
      </w:r>
      <w:r w:rsidRPr="001B4EC1">
        <w:rPr>
          <w:snapToGrid w:val="0"/>
          <w:lang w:eastAsia="sv-SE"/>
        </w:rPr>
        <w:t>ammanhanget bör därvid beaktas de svenska riktlinjerna för krigsmaterielexport och annan utlandssamverkan (se skr. 2003/04:114 bilaga 3). Av riktlinjerna framgår bl.a. att tillstånd till utförsel av krigsmateriel för strid, eller annan utlandssamverkan som avser krigsmateriel för strid eller övrig krigsmateriel, inte bör beviljas om det avser stat som befinner sig i väpnad konflikt med annan stat, oavsett om krigsförklaring har avgetts eller ej, stat som är invecklad i internationell konflikt som kan befara</w:t>
      </w:r>
      <w:r w:rsidRPr="001B4EC1">
        <w:rPr>
          <w:snapToGrid w:val="0"/>
          <w:lang w:eastAsia="sv-SE"/>
        </w:rPr>
        <w:t xml:space="preserve">s leda till väpnad konflikt eller stat som har inre väpnade oroligheter. </w:t>
      </w:r>
    </w:p>
    <w:p w:rsidR="00252869" w:rsidRPr="001B4EC1" w:rsidRDefault="00252869">
      <w:pPr>
        <w:pStyle w:val="Normaltindrag"/>
      </w:pPr>
      <w:r w:rsidRPr="001B4EC1">
        <w:rPr>
          <w:snapToGrid w:val="0"/>
          <w:lang w:eastAsia="sv-SE"/>
        </w:rPr>
        <w:t>Mot denna bakgrund borde regeringen med anledning av den konfliktfyl</w:t>
      </w:r>
      <w:r w:rsidRPr="001B4EC1">
        <w:rPr>
          <w:snapToGrid w:val="0"/>
          <w:lang w:eastAsia="sv-SE"/>
        </w:rPr>
        <w:t>l</w:t>
      </w:r>
      <w:r w:rsidRPr="001B4EC1">
        <w:rPr>
          <w:snapToGrid w:val="0"/>
          <w:lang w:eastAsia="sv-SE"/>
        </w:rPr>
        <w:t>da utrikespolitiska situation som rådde före Irakkrigets utbrott enligt vår mening ha utnyttjat möjligheten att föreskriva att ärenden som avser export av krigsmateriel till de nu aktuella länderna skall överlämnas till regeringen för prövning. Regeringen har dock underlåtit att göra detta. Därmed har regerin</w:t>
      </w:r>
      <w:r w:rsidRPr="001B4EC1">
        <w:rPr>
          <w:snapToGrid w:val="0"/>
          <w:lang w:eastAsia="sv-SE"/>
        </w:rPr>
        <w:t>g</w:t>
      </w:r>
      <w:r w:rsidRPr="001B4EC1">
        <w:rPr>
          <w:snapToGrid w:val="0"/>
          <w:lang w:eastAsia="sv-SE"/>
        </w:rPr>
        <w:t>en också blockerat möjligheten att utkräva politiskt ansvar för svensk export av krigsmateriel till de länder som deltog i Irakkriget.</w:t>
      </w:r>
    </w:p>
    <w:tbl>
      <w:tblPr>
        <w:tblW w:w="0" w:type="auto"/>
        <w:tblInd w:w="-113" w:type="dxa"/>
        <w:tblLayout w:type="fixed"/>
        <w:tblCellMar>
          <w:left w:w="113" w:type="dxa"/>
          <w:right w:w="113" w:type="dxa"/>
        </w:tblCellMar>
        <w:tblLook w:val="0000" w:firstRow="0" w:lastRow="0" w:firstColumn="0" w:lastColumn="0" w:noHBand="0" w:noVBand="0"/>
      </w:tblPr>
      <w:tblGrid>
        <w:gridCol w:w="6180"/>
      </w:tblGrid>
      <w:tr w:rsidR="00000000" w:rsidRPr="001B4EC1">
        <w:tblPrEx>
          <w:tblCellMar>
            <w:top w:w="0" w:type="dxa"/>
            <w:bottom w:w="0" w:type="dxa"/>
          </w:tblCellMar>
        </w:tblPrEx>
        <w:tc>
          <w:tcPr>
            <w:tcW w:w="6180" w:type="dxa"/>
          </w:tcPr>
          <w:p w:rsidR="00252869" w:rsidRPr="001B4EC1" w:rsidRDefault="00252869">
            <w:pPr>
              <w:pStyle w:val="Reservationspunkt"/>
              <w:numPr>
                <w:ilvl w:val="0"/>
                <w:numId w:val="34"/>
              </w:numPr>
              <w:rPr>
                <w:noProof w:val="0"/>
              </w:rPr>
            </w:pPr>
            <w:bookmarkStart w:id="182" w:name="_Toc72648608"/>
            <w:r w:rsidRPr="001B4EC1">
              <w:rPr>
                <w:noProof w:val="0"/>
              </w:rPr>
              <w:t>Regeringens ansvar för uthyrningen av den svenska försvarsmaktens krig</w:t>
            </w:r>
            <w:r w:rsidRPr="001B4EC1">
              <w:rPr>
                <w:noProof w:val="0"/>
              </w:rPr>
              <w:t>s</w:t>
            </w:r>
            <w:r w:rsidRPr="001B4EC1">
              <w:rPr>
                <w:noProof w:val="0"/>
              </w:rPr>
              <w:t>materiel till Storbritannien (avsnitt 6.2)</w:t>
            </w:r>
            <w:bookmarkEnd w:id="182"/>
          </w:p>
          <w:p w:rsidR="00252869" w:rsidRPr="001B4EC1" w:rsidRDefault="00252869">
            <w:pPr>
              <w:pStyle w:val="Reservanter"/>
            </w:pPr>
            <w:r w:rsidRPr="001B4EC1">
              <w:t>av Mats Einarsson (v) och Gustav Fridolin (mp).</w:t>
            </w:r>
          </w:p>
        </w:tc>
      </w:tr>
    </w:tbl>
    <w:p w:rsidR="00252869" w:rsidRPr="001B4EC1" w:rsidRDefault="00252869">
      <w:r w:rsidRPr="001B4EC1">
        <w:t>Den nu aktuella granskningsanmälan avser utförsel till Storbritannien av Försvarsmakten tillhörig krigsmateriel i den konfliktfyllda utrikespolitiska situation som rådde strax före Irakkrigets utbrott. Storbritannien är ett av de länder som deltagit i anfallskriget mot Irak.</w:t>
      </w:r>
    </w:p>
    <w:p w:rsidR="00252869" w:rsidRPr="001B4EC1" w:rsidRDefault="00252869">
      <w:pPr>
        <w:pStyle w:val="Normaltindrag"/>
        <w:rPr>
          <w:snapToGrid w:val="0"/>
          <w:lang w:eastAsia="sv-SE"/>
        </w:rPr>
      </w:pPr>
      <w:r w:rsidRPr="001B4EC1">
        <w:rPr>
          <w:snapToGrid w:val="0"/>
          <w:lang w:eastAsia="sv-SE"/>
        </w:rPr>
        <w:t>Enligt 1 a § lagen (1992:1300) om krigsmateriel och 4 § lagen (2000:1064) om kontroll av produkter med dubbla användningsområden och av tekniskt bistånd prövar regeringen ärenden om tillstånd till utförsel ur landet av krigsmateriel som har principiell betydelse eller annars är av särskild vikt. Vidare får regeringen enligt dessa lagrum meddela ytterligare föreskrifter om överlämnande till regeringen. I sammanhanget bör därvid beaktas de svenska riktlinjerna för krigsmaterielexport och annan utlandssamverk</w:t>
      </w:r>
      <w:r w:rsidRPr="001B4EC1">
        <w:rPr>
          <w:snapToGrid w:val="0"/>
          <w:lang w:eastAsia="sv-SE"/>
        </w:rPr>
        <w:t xml:space="preserve">an (se skr. 2003/04:114 bilaga 3). Av riktlinjerna framgår bl.a. att tillstånd till utförsel av krigsmateriel för strid, eller annan utlandssamverkan som avser krigsmateriel för strid eller övrig krigsmateriel, inte bör beviljas om det avser stat som befinner sig i väpnad konflikt med annan stat, oavsett om krigsförklaring har avgetts eller ej, stat som är invecklad i internationell konflikt som kan befaras leda till väpnad konflikt eller stat som har inre väpnade oroligheter. </w:t>
      </w:r>
    </w:p>
    <w:p w:rsidR="00252869" w:rsidRPr="001B4EC1" w:rsidRDefault="00252869">
      <w:pPr>
        <w:pStyle w:val="Normaltindrag"/>
        <w:rPr>
          <w:snapToGrid w:val="0"/>
          <w:lang w:eastAsia="sv-SE"/>
        </w:rPr>
      </w:pPr>
      <w:r w:rsidRPr="001B4EC1">
        <w:rPr>
          <w:snapToGrid w:val="0"/>
          <w:lang w:eastAsia="sv-SE"/>
        </w:rPr>
        <w:t>Mot denna bakgrund borde rege</w:t>
      </w:r>
      <w:r w:rsidRPr="001B4EC1">
        <w:rPr>
          <w:snapToGrid w:val="0"/>
          <w:lang w:eastAsia="sv-SE"/>
        </w:rPr>
        <w:t>ringen med anledning av den konfliktfyl</w:t>
      </w:r>
      <w:r w:rsidRPr="001B4EC1">
        <w:rPr>
          <w:snapToGrid w:val="0"/>
          <w:lang w:eastAsia="sv-SE"/>
        </w:rPr>
        <w:t>l</w:t>
      </w:r>
      <w:r w:rsidRPr="001B4EC1">
        <w:rPr>
          <w:snapToGrid w:val="0"/>
          <w:lang w:eastAsia="sv-SE"/>
        </w:rPr>
        <w:t>da situation som rådde före Irakkrigets utbrott enligt vår mening ha utnyttjat möjligheten att föreskriva att ärenden som avser export av krigsmateriel till  Storbritannien skall överlämnas till regeringen för prövning. Regeringen har dock underlåtit att göra detta. Därmed har regeringen också blockerat möjli</w:t>
      </w:r>
      <w:r w:rsidRPr="001B4EC1">
        <w:rPr>
          <w:snapToGrid w:val="0"/>
          <w:lang w:eastAsia="sv-SE"/>
        </w:rPr>
        <w:t>g</w:t>
      </w:r>
      <w:r w:rsidRPr="001B4EC1">
        <w:rPr>
          <w:snapToGrid w:val="0"/>
          <w:lang w:eastAsia="sv-SE"/>
        </w:rPr>
        <w:t>heten att utkräva politiskt ansvar för svensk export av krigsmateriel till ett av de länder som deltog i Irakkriget.</w:t>
      </w:r>
    </w:p>
    <w:p w:rsidR="00252869" w:rsidRPr="001B4EC1" w:rsidRDefault="00252869">
      <w:pPr>
        <w:pStyle w:val="Tryckort"/>
        <w:framePr w:wrap="around"/>
      </w:pPr>
      <w:r w:rsidRPr="001B4EC1">
        <w:t>Elanders Gotab, Stockholm  2004</w:t>
      </w:r>
    </w:p>
    <w:p w:rsidR="00252869" w:rsidRPr="001B4EC1" w:rsidRDefault="00252869">
      <w:pPr>
        <w:pStyle w:val="Normaltindrag"/>
      </w:pPr>
    </w:p>
    <w:sectPr w:rsidR="00252869" w:rsidRPr="001B4EC1">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2869" w:rsidRPr="001B4EC1" w:rsidRDefault="00252869">
      <w:pPr>
        <w:spacing w:before="0" w:line="240" w:lineRule="auto"/>
      </w:pPr>
      <w:r w:rsidRPr="001B4EC1">
        <w:separator/>
      </w:r>
    </w:p>
  </w:endnote>
  <w:endnote w:type="continuationSeparator" w:id="0">
    <w:p w:rsidR="00252869" w:rsidRPr="001B4EC1" w:rsidRDefault="00252869">
      <w:pPr>
        <w:spacing w:before="0" w:line="240" w:lineRule="auto"/>
      </w:pPr>
      <w:r w:rsidRPr="001B4E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4</w:t>
    </w:r>
    <w:r w:rsidRPr="001B4EC1">
      <w:fldChar w:fldCharType="end"/>
    </w:r>
  </w:p>
  <w:p w:rsidR="00252869" w:rsidRPr="001B4EC1" w:rsidRDefault="0025286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90</w:t>
    </w:r>
    <w:r w:rsidRPr="001B4EC1">
      <w:fldChar w:fldCharType="end"/>
    </w:r>
  </w:p>
  <w:p w:rsidR="00252869" w:rsidRPr="001B4EC1" w:rsidRDefault="0025286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H"/>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89</w:t>
    </w:r>
    <w:r w:rsidRPr="001B4EC1">
      <w:fldChar w:fldCharType="end"/>
    </w:r>
  </w:p>
  <w:p w:rsidR="00252869" w:rsidRPr="001B4EC1" w:rsidRDefault="0025286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if </w:instrText>
    </w:r>
    <w:r w:rsidRPr="001B4EC1">
      <w:fldChar w:fldCharType="begin" w:fldLock="1"/>
    </w:r>
    <w:r w:rsidRPr="001B4EC1">
      <w:instrText xml:space="preserve"> = </w:instrText>
    </w:r>
    <w:r w:rsidRPr="001B4EC1">
      <w:fldChar w:fldCharType="begin" w:fldLock="1"/>
    </w:r>
    <w:r w:rsidRPr="001B4EC1">
      <w:instrText xml:space="preserve"> = </w:instrText>
    </w:r>
    <w:r w:rsidRPr="001B4EC1">
      <w:fldChar w:fldCharType="begin" w:fldLock="1"/>
    </w:r>
    <w:r w:rsidRPr="001B4EC1">
      <w:instrText xml:space="preserve"> page</w:instrText>
    </w:r>
    <w:r w:rsidRPr="001B4EC1">
      <w:fldChar w:fldCharType="separate"/>
    </w:r>
    <w:r w:rsidRPr="001B4EC1">
      <w:instrText>11</w:instrText>
    </w:r>
    <w:r w:rsidRPr="001B4EC1">
      <w:fldChar w:fldCharType="end"/>
    </w:r>
    <w:r w:rsidRPr="001B4EC1">
      <w:instrText xml:space="preserve">/2 </w:instrText>
    </w:r>
    <w:r w:rsidRPr="001B4EC1">
      <w:fldChar w:fldCharType="separate"/>
    </w:r>
    <w:r w:rsidRPr="001B4EC1">
      <w:instrText>5,5</w:instrText>
    </w:r>
    <w:r w:rsidRPr="001B4EC1">
      <w:fldChar w:fldCharType="end"/>
    </w:r>
    <w:r w:rsidRPr="001B4EC1">
      <w:instrText xml:space="preserve"> - </w:instrText>
    </w:r>
    <w:r w:rsidRPr="001B4EC1">
      <w:fldChar w:fldCharType="begin" w:fldLock="1"/>
    </w:r>
    <w:r w:rsidRPr="001B4EC1">
      <w:instrText xml:space="preserve"> = int(</w:instrText>
    </w:r>
    <w:r w:rsidRPr="001B4EC1">
      <w:fldChar w:fldCharType="begin" w:fldLock="1"/>
    </w:r>
    <w:r w:rsidRPr="001B4EC1">
      <w:instrText xml:space="preserve"> page</w:instrText>
    </w:r>
    <w:r w:rsidRPr="001B4EC1">
      <w:fldChar w:fldCharType="separate"/>
    </w:r>
    <w:r w:rsidRPr="001B4EC1">
      <w:instrText>11</w:instrText>
    </w:r>
    <w:r w:rsidRPr="001B4EC1">
      <w:fldChar w:fldCharType="end"/>
    </w:r>
    <w:r w:rsidRPr="001B4EC1">
      <w:instrText xml:space="preserve">/2) </w:instrText>
    </w:r>
    <w:r w:rsidRPr="001B4EC1">
      <w:fldChar w:fldCharType="separate"/>
    </w:r>
    <w:r w:rsidRPr="001B4EC1">
      <w:instrText>5</w:instrText>
    </w:r>
    <w:r w:rsidRPr="001B4EC1">
      <w:fldChar w:fldCharType="end"/>
    </w:r>
    <w:r w:rsidRPr="001B4EC1">
      <w:fldChar w:fldCharType="separate"/>
    </w:r>
    <w:r w:rsidRPr="001B4EC1">
      <w:instrText>0,5</w:instrText>
    </w:r>
    <w:r w:rsidRPr="001B4EC1">
      <w:fldChar w:fldCharType="end"/>
    </w:r>
    <w:r w:rsidRPr="001B4EC1">
      <w:instrText xml:space="preserve"> = 0 "</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instrText>12</w:instrText>
    </w:r>
    <w:r w:rsidRPr="001B4EC1">
      <w:fldChar w:fldCharType="end"/>
    </w:r>
  </w:p>
  <w:p w:rsidR="00252869" w:rsidRPr="001B4EC1" w:rsidRDefault="00252869">
    <w:pPr>
      <w:pStyle w:val="SidfotH"/>
      <w:framePr w:w="8732" w:h="284" w:hRule="exact" w:hSpace="0" w:vSpace="0" w:wrap="around" w:xAlign="inside" w:y="13042" w:anchorLock="0"/>
    </w:pPr>
    <w:r w:rsidRPr="001B4EC1">
      <w:instrText>""</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instrText>11</w:instrText>
    </w:r>
    <w:r w:rsidRPr="001B4EC1">
      <w:fldChar w:fldCharType="end"/>
    </w:r>
    <w:r w:rsidRPr="001B4EC1">
      <w:instrText>"</w:instrText>
    </w:r>
    <w:r w:rsidRPr="001B4EC1">
      <w:fldChar w:fldCharType="separate"/>
    </w:r>
    <w:r w:rsidRPr="001B4EC1">
      <w:t>11</w:t>
    </w:r>
    <w:r w:rsidRPr="001B4EC1">
      <w:fldChar w:fldCharType="end"/>
    </w:r>
  </w:p>
  <w:p w:rsidR="00252869" w:rsidRPr="001B4EC1" w:rsidRDefault="0025286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112</w:t>
    </w:r>
    <w:r w:rsidRPr="001B4EC1">
      <w:fldChar w:fldCharType="end"/>
    </w:r>
  </w:p>
  <w:p w:rsidR="00252869" w:rsidRPr="001B4EC1" w:rsidRDefault="0025286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H"/>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113</w:t>
    </w:r>
    <w:r w:rsidRPr="001B4EC1">
      <w:fldChar w:fldCharType="end"/>
    </w:r>
  </w:p>
  <w:p w:rsidR="00252869" w:rsidRPr="001B4EC1" w:rsidRDefault="0025286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if </w:instrText>
    </w:r>
    <w:r w:rsidRPr="001B4EC1">
      <w:fldChar w:fldCharType="begin" w:fldLock="1"/>
    </w:r>
    <w:r w:rsidRPr="001B4EC1">
      <w:instrText xml:space="preserve"> = </w:instrText>
    </w:r>
    <w:r w:rsidRPr="001B4EC1">
      <w:fldChar w:fldCharType="begin" w:fldLock="1"/>
    </w:r>
    <w:r w:rsidRPr="001B4EC1">
      <w:instrText xml:space="preserve"> = </w:instrText>
    </w:r>
    <w:r w:rsidRPr="001B4EC1">
      <w:fldChar w:fldCharType="begin" w:fldLock="1"/>
    </w:r>
    <w:r w:rsidRPr="001B4EC1">
      <w:instrText xml:space="preserve"> page</w:instrText>
    </w:r>
    <w:r w:rsidRPr="001B4EC1">
      <w:fldChar w:fldCharType="separate"/>
    </w:r>
    <w:r w:rsidRPr="001B4EC1">
      <w:instrText>91</w:instrText>
    </w:r>
    <w:r w:rsidRPr="001B4EC1">
      <w:fldChar w:fldCharType="end"/>
    </w:r>
    <w:r w:rsidRPr="001B4EC1">
      <w:instrText xml:space="preserve">/2 </w:instrText>
    </w:r>
    <w:r w:rsidRPr="001B4EC1">
      <w:fldChar w:fldCharType="separate"/>
    </w:r>
    <w:r w:rsidRPr="001B4EC1">
      <w:instrText>45,5</w:instrText>
    </w:r>
    <w:r w:rsidRPr="001B4EC1">
      <w:fldChar w:fldCharType="end"/>
    </w:r>
    <w:r w:rsidRPr="001B4EC1">
      <w:instrText xml:space="preserve"> - </w:instrText>
    </w:r>
    <w:r w:rsidRPr="001B4EC1">
      <w:fldChar w:fldCharType="begin" w:fldLock="1"/>
    </w:r>
    <w:r w:rsidRPr="001B4EC1">
      <w:instrText xml:space="preserve"> = int(</w:instrText>
    </w:r>
    <w:r w:rsidRPr="001B4EC1">
      <w:fldChar w:fldCharType="begin" w:fldLock="1"/>
    </w:r>
    <w:r w:rsidRPr="001B4EC1">
      <w:instrText xml:space="preserve"> page</w:instrText>
    </w:r>
    <w:r w:rsidRPr="001B4EC1">
      <w:fldChar w:fldCharType="separate"/>
    </w:r>
    <w:r w:rsidRPr="001B4EC1">
      <w:instrText>91</w:instrText>
    </w:r>
    <w:r w:rsidRPr="001B4EC1">
      <w:fldChar w:fldCharType="end"/>
    </w:r>
    <w:r w:rsidRPr="001B4EC1">
      <w:instrText xml:space="preserve">/2) </w:instrText>
    </w:r>
    <w:r w:rsidRPr="001B4EC1">
      <w:fldChar w:fldCharType="separate"/>
    </w:r>
    <w:r w:rsidRPr="001B4EC1">
      <w:instrText>45</w:instrText>
    </w:r>
    <w:r w:rsidRPr="001B4EC1">
      <w:fldChar w:fldCharType="end"/>
    </w:r>
    <w:r w:rsidRPr="001B4EC1">
      <w:fldChar w:fldCharType="separate"/>
    </w:r>
    <w:r w:rsidRPr="001B4EC1">
      <w:instrText>0,5</w:instrText>
    </w:r>
    <w:r w:rsidRPr="001B4EC1">
      <w:fldChar w:fldCharType="end"/>
    </w:r>
    <w:r w:rsidRPr="001B4EC1">
      <w:instrText xml:space="preserve"> = 0 "</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instrText>92</w:instrText>
    </w:r>
    <w:r w:rsidRPr="001B4EC1">
      <w:fldChar w:fldCharType="end"/>
    </w:r>
  </w:p>
  <w:p w:rsidR="00252869" w:rsidRPr="001B4EC1" w:rsidRDefault="00252869">
    <w:pPr>
      <w:pStyle w:val="SidfotH"/>
      <w:framePr w:w="8732" w:h="284" w:hRule="exact" w:hSpace="0" w:vSpace="0" w:wrap="around" w:xAlign="inside" w:y="13042" w:anchorLock="0"/>
    </w:pPr>
    <w:r w:rsidRPr="001B4EC1">
      <w:instrText>""</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instrText>91</w:instrText>
    </w:r>
    <w:r w:rsidRPr="001B4EC1">
      <w:fldChar w:fldCharType="end"/>
    </w:r>
    <w:r w:rsidRPr="001B4EC1">
      <w:instrText>"</w:instrText>
    </w:r>
    <w:r w:rsidRPr="001B4EC1">
      <w:fldChar w:fldCharType="separate"/>
    </w:r>
    <w:r w:rsidRPr="001B4EC1">
      <w:t>91</w:t>
    </w:r>
    <w:r w:rsidRPr="001B4EC1">
      <w:fldChar w:fldCharType="end"/>
    </w:r>
  </w:p>
  <w:p w:rsidR="00252869" w:rsidRPr="001B4EC1" w:rsidRDefault="0025286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168</w:t>
    </w:r>
    <w:r w:rsidRPr="001B4EC1">
      <w:fldChar w:fldCharType="end"/>
    </w:r>
  </w:p>
  <w:p w:rsidR="00252869" w:rsidRPr="001B4EC1" w:rsidRDefault="0025286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H"/>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167</w:t>
    </w:r>
    <w:r w:rsidRPr="001B4EC1">
      <w:fldChar w:fldCharType="end"/>
    </w:r>
  </w:p>
  <w:p w:rsidR="00252869" w:rsidRPr="001B4EC1" w:rsidRDefault="0025286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if </w:instrText>
    </w:r>
    <w:r w:rsidRPr="001B4EC1">
      <w:fldChar w:fldCharType="begin" w:fldLock="1"/>
    </w:r>
    <w:r w:rsidRPr="001B4EC1">
      <w:instrText xml:space="preserve"> = </w:instrText>
    </w:r>
    <w:r w:rsidRPr="001B4EC1">
      <w:fldChar w:fldCharType="begin" w:fldLock="1"/>
    </w:r>
    <w:r w:rsidRPr="001B4EC1">
      <w:instrText xml:space="preserve"> = </w:instrText>
    </w:r>
    <w:r w:rsidRPr="001B4EC1">
      <w:fldChar w:fldCharType="begin" w:fldLock="1"/>
    </w:r>
    <w:r w:rsidRPr="001B4EC1">
      <w:instrText xml:space="preserve"> page</w:instrText>
    </w:r>
    <w:r w:rsidRPr="001B4EC1">
      <w:fldChar w:fldCharType="separate"/>
    </w:r>
    <w:r w:rsidRPr="001B4EC1">
      <w:instrText>114</w:instrText>
    </w:r>
    <w:r w:rsidRPr="001B4EC1">
      <w:fldChar w:fldCharType="end"/>
    </w:r>
    <w:r w:rsidRPr="001B4EC1">
      <w:instrText xml:space="preserve">/2 </w:instrText>
    </w:r>
    <w:r w:rsidRPr="001B4EC1">
      <w:fldChar w:fldCharType="separate"/>
    </w:r>
    <w:r w:rsidRPr="001B4EC1">
      <w:instrText>57</w:instrText>
    </w:r>
    <w:r w:rsidRPr="001B4EC1">
      <w:fldChar w:fldCharType="end"/>
    </w:r>
    <w:r w:rsidRPr="001B4EC1">
      <w:instrText xml:space="preserve"> - </w:instrText>
    </w:r>
    <w:r w:rsidRPr="001B4EC1">
      <w:fldChar w:fldCharType="begin" w:fldLock="1"/>
    </w:r>
    <w:r w:rsidRPr="001B4EC1">
      <w:instrText xml:space="preserve"> = int(</w:instrText>
    </w:r>
    <w:r w:rsidRPr="001B4EC1">
      <w:fldChar w:fldCharType="begin" w:fldLock="1"/>
    </w:r>
    <w:r w:rsidRPr="001B4EC1">
      <w:instrText xml:space="preserve"> page</w:instrText>
    </w:r>
    <w:r w:rsidRPr="001B4EC1">
      <w:fldChar w:fldCharType="separate"/>
    </w:r>
    <w:r w:rsidRPr="001B4EC1">
      <w:instrText>114</w:instrText>
    </w:r>
    <w:r w:rsidRPr="001B4EC1">
      <w:fldChar w:fldCharType="end"/>
    </w:r>
    <w:r w:rsidRPr="001B4EC1">
      <w:instrText xml:space="preserve">/2) </w:instrText>
    </w:r>
    <w:r w:rsidRPr="001B4EC1">
      <w:fldChar w:fldCharType="separate"/>
    </w:r>
    <w:r w:rsidRPr="001B4EC1">
      <w:instrText>57</w:instrText>
    </w:r>
    <w:r w:rsidRPr="001B4EC1">
      <w:fldChar w:fldCharType="end"/>
    </w:r>
    <w:r w:rsidRPr="001B4EC1">
      <w:fldChar w:fldCharType="separate"/>
    </w:r>
    <w:r w:rsidRPr="001B4EC1">
      <w:instrText>0</w:instrText>
    </w:r>
    <w:r w:rsidRPr="001B4EC1">
      <w:fldChar w:fldCharType="end"/>
    </w:r>
    <w:r w:rsidRPr="001B4EC1">
      <w:instrText xml:space="preserve"> = 0 "</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instrText>114</w:instrText>
    </w:r>
    <w:r w:rsidRPr="001B4EC1">
      <w:fldChar w:fldCharType="end"/>
    </w:r>
  </w:p>
  <w:p w:rsidR="00252869" w:rsidRPr="001B4EC1" w:rsidRDefault="00252869">
    <w:pPr>
      <w:pStyle w:val="SidfotV"/>
      <w:framePr w:w="8732" w:h="284" w:hRule="exact" w:hSpace="0" w:vSpace="0" w:wrap="around" w:xAlign="inside" w:y="13042" w:anchorLock="0"/>
    </w:pPr>
    <w:r w:rsidRPr="001B4EC1">
      <w:instrText>""</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instrText>115</w:instrText>
    </w:r>
    <w:r w:rsidRPr="001B4EC1">
      <w:fldChar w:fldCharType="end"/>
    </w:r>
    <w:r w:rsidRPr="001B4EC1">
      <w:instrText>"</w:instrText>
    </w:r>
    <w:r w:rsidRPr="001B4EC1">
      <w:fldChar w:fldCharType="separate"/>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114</w:t>
    </w:r>
    <w:r w:rsidRPr="001B4EC1">
      <w:fldChar w:fldCharType="end"/>
    </w:r>
  </w:p>
  <w:p w:rsidR="00252869" w:rsidRPr="001B4EC1" w:rsidRDefault="00252869">
    <w:pPr>
      <w:pStyle w:val="SidfotH"/>
      <w:framePr w:w="8732" w:h="284" w:hRule="exact" w:hSpace="0" w:vSpace="0" w:wrap="around" w:xAlign="inside" w:y="13042" w:anchorLock="0"/>
    </w:pPr>
    <w:r w:rsidRPr="001B4EC1">
      <w:fldChar w:fldCharType="end"/>
    </w:r>
  </w:p>
  <w:p w:rsidR="00252869" w:rsidRPr="001B4EC1" w:rsidRDefault="0025286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186</w:t>
    </w:r>
    <w:r w:rsidRPr="001B4EC1">
      <w:fldChar w:fldCharType="end"/>
    </w:r>
  </w:p>
  <w:p w:rsidR="00252869" w:rsidRPr="001B4EC1" w:rsidRDefault="0025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H"/>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3</w:t>
    </w:r>
    <w:r w:rsidRPr="001B4EC1">
      <w:fldChar w:fldCharType="end"/>
    </w:r>
  </w:p>
  <w:p w:rsidR="00252869" w:rsidRPr="001B4EC1" w:rsidRDefault="0025286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H"/>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185</w:t>
    </w:r>
    <w:r w:rsidRPr="001B4EC1">
      <w:fldChar w:fldCharType="end"/>
    </w:r>
  </w:p>
  <w:p w:rsidR="00252869" w:rsidRPr="001B4EC1" w:rsidRDefault="0025286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if </w:instrText>
    </w:r>
    <w:r w:rsidRPr="001B4EC1">
      <w:fldChar w:fldCharType="begin" w:fldLock="1"/>
    </w:r>
    <w:r w:rsidRPr="001B4EC1">
      <w:instrText xml:space="preserve"> = </w:instrText>
    </w:r>
    <w:r w:rsidRPr="001B4EC1">
      <w:fldChar w:fldCharType="begin" w:fldLock="1"/>
    </w:r>
    <w:r w:rsidRPr="001B4EC1">
      <w:instrText xml:space="preserve"> = </w:instrText>
    </w:r>
    <w:r w:rsidRPr="001B4EC1">
      <w:fldChar w:fldCharType="begin" w:fldLock="1"/>
    </w:r>
    <w:r w:rsidRPr="001B4EC1">
      <w:instrText xml:space="preserve"> page</w:instrText>
    </w:r>
    <w:r w:rsidRPr="001B4EC1">
      <w:fldChar w:fldCharType="separate"/>
    </w:r>
    <w:r w:rsidRPr="001B4EC1">
      <w:instrText>169</w:instrText>
    </w:r>
    <w:r w:rsidRPr="001B4EC1">
      <w:fldChar w:fldCharType="end"/>
    </w:r>
    <w:r w:rsidRPr="001B4EC1">
      <w:instrText xml:space="preserve">/2 </w:instrText>
    </w:r>
    <w:r w:rsidRPr="001B4EC1">
      <w:fldChar w:fldCharType="separate"/>
    </w:r>
    <w:r w:rsidRPr="001B4EC1">
      <w:instrText>84,5</w:instrText>
    </w:r>
    <w:r w:rsidRPr="001B4EC1">
      <w:fldChar w:fldCharType="end"/>
    </w:r>
    <w:r w:rsidRPr="001B4EC1">
      <w:instrText xml:space="preserve"> - </w:instrText>
    </w:r>
    <w:r w:rsidRPr="001B4EC1">
      <w:fldChar w:fldCharType="begin" w:fldLock="1"/>
    </w:r>
    <w:r w:rsidRPr="001B4EC1">
      <w:instrText xml:space="preserve"> = int(</w:instrText>
    </w:r>
    <w:r w:rsidRPr="001B4EC1">
      <w:fldChar w:fldCharType="begin" w:fldLock="1"/>
    </w:r>
    <w:r w:rsidRPr="001B4EC1">
      <w:instrText xml:space="preserve"> page</w:instrText>
    </w:r>
    <w:r w:rsidRPr="001B4EC1">
      <w:fldChar w:fldCharType="separate"/>
    </w:r>
    <w:r w:rsidRPr="001B4EC1">
      <w:instrText>169</w:instrText>
    </w:r>
    <w:r w:rsidRPr="001B4EC1">
      <w:fldChar w:fldCharType="end"/>
    </w:r>
    <w:r w:rsidRPr="001B4EC1">
      <w:instrText xml:space="preserve">/2) </w:instrText>
    </w:r>
    <w:r w:rsidRPr="001B4EC1">
      <w:fldChar w:fldCharType="separate"/>
    </w:r>
    <w:r w:rsidRPr="001B4EC1">
      <w:instrText>84</w:instrText>
    </w:r>
    <w:r w:rsidRPr="001B4EC1">
      <w:fldChar w:fldCharType="end"/>
    </w:r>
    <w:r w:rsidRPr="001B4EC1">
      <w:fldChar w:fldCharType="separate"/>
    </w:r>
    <w:r w:rsidRPr="001B4EC1">
      <w:instrText>0,5</w:instrText>
    </w:r>
    <w:r w:rsidRPr="001B4EC1">
      <w:fldChar w:fldCharType="end"/>
    </w:r>
    <w:r w:rsidRPr="001B4EC1">
      <w:instrText xml:space="preserve"> = 0 "</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instrText>170</w:instrText>
    </w:r>
    <w:r w:rsidRPr="001B4EC1">
      <w:fldChar w:fldCharType="end"/>
    </w:r>
  </w:p>
  <w:p w:rsidR="00252869" w:rsidRPr="001B4EC1" w:rsidRDefault="00252869">
    <w:pPr>
      <w:pStyle w:val="SidfotH"/>
      <w:framePr w:w="8732" w:h="284" w:hRule="exact" w:hSpace="0" w:vSpace="0" w:wrap="around" w:xAlign="inside" w:y="13042" w:anchorLock="0"/>
    </w:pPr>
    <w:r w:rsidRPr="001B4EC1">
      <w:instrText>""</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instrText>169</w:instrText>
    </w:r>
    <w:r w:rsidRPr="001B4EC1">
      <w:fldChar w:fldCharType="end"/>
    </w:r>
    <w:r w:rsidRPr="001B4EC1">
      <w:instrText>"</w:instrText>
    </w:r>
    <w:r w:rsidRPr="001B4EC1">
      <w:fldChar w:fldCharType="separate"/>
    </w:r>
    <w:r w:rsidRPr="001B4EC1">
      <w:t>169</w:t>
    </w:r>
    <w:r w:rsidRPr="001B4EC1">
      <w:fldChar w:fldCharType="end"/>
    </w:r>
  </w:p>
  <w:p w:rsidR="00252869" w:rsidRPr="001B4EC1" w:rsidRDefault="0025286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202</w:t>
    </w:r>
    <w:r w:rsidRPr="001B4EC1">
      <w:fldChar w:fldCharType="end"/>
    </w:r>
  </w:p>
  <w:p w:rsidR="00252869" w:rsidRPr="001B4EC1" w:rsidRDefault="0025286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H"/>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203</w:t>
    </w:r>
    <w:r w:rsidRPr="001B4EC1">
      <w:fldChar w:fldCharType="end"/>
    </w:r>
  </w:p>
  <w:p w:rsidR="00252869" w:rsidRPr="001B4EC1" w:rsidRDefault="0025286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if </w:instrText>
    </w:r>
    <w:r w:rsidRPr="001B4EC1">
      <w:fldChar w:fldCharType="begin" w:fldLock="1"/>
    </w:r>
    <w:r w:rsidRPr="001B4EC1">
      <w:instrText xml:space="preserve"> = </w:instrText>
    </w:r>
    <w:r w:rsidRPr="001B4EC1">
      <w:fldChar w:fldCharType="begin" w:fldLock="1"/>
    </w:r>
    <w:r w:rsidRPr="001B4EC1">
      <w:instrText xml:space="preserve"> = </w:instrText>
    </w:r>
    <w:r w:rsidRPr="001B4EC1">
      <w:fldChar w:fldCharType="begin" w:fldLock="1"/>
    </w:r>
    <w:r w:rsidRPr="001B4EC1">
      <w:instrText xml:space="preserve"> page</w:instrText>
    </w:r>
    <w:r w:rsidRPr="001B4EC1">
      <w:fldChar w:fldCharType="separate"/>
    </w:r>
    <w:r w:rsidRPr="001B4EC1">
      <w:instrText>187</w:instrText>
    </w:r>
    <w:r w:rsidRPr="001B4EC1">
      <w:fldChar w:fldCharType="end"/>
    </w:r>
    <w:r w:rsidRPr="001B4EC1">
      <w:instrText xml:space="preserve">/2 </w:instrText>
    </w:r>
    <w:r w:rsidRPr="001B4EC1">
      <w:fldChar w:fldCharType="separate"/>
    </w:r>
    <w:r w:rsidRPr="001B4EC1">
      <w:instrText>93,5</w:instrText>
    </w:r>
    <w:r w:rsidRPr="001B4EC1">
      <w:fldChar w:fldCharType="end"/>
    </w:r>
    <w:r w:rsidRPr="001B4EC1">
      <w:instrText xml:space="preserve"> - </w:instrText>
    </w:r>
    <w:r w:rsidRPr="001B4EC1">
      <w:fldChar w:fldCharType="begin" w:fldLock="1"/>
    </w:r>
    <w:r w:rsidRPr="001B4EC1">
      <w:instrText xml:space="preserve"> = int(</w:instrText>
    </w:r>
    <w:r w:rsidRPr="001B4EC1">
      <w:fldChar w:fldCharType="begin" w:fldLock="1"/>
    </w:r>
    <w:r w:rsidRPr="001B4EC1">
      <w:instrText xml:space="preserve"> page</w:instrText>
    </w:r>
    <w:r w:rsidRPr="001B4EC1">
      <w:fldChar w:fldCharType="separate"/>
    </w:r>
    <w:r w:rsidRPr="001B4EC1">
      <w:instrText>187</w:instrText>
    </w:r>
    <w:r w:rsidRPr="001B4EC1">
      <w:fldChar w:fldCharType="end"/>
    </w:r>
    <w:r w:rsidRPr="001B4EC1">
      <w:instrText xml:space="preserve">/2) </w:instrText>
    </w:r>
    <w:r w:rsidRPr="001B4EC1">
      <w:fldChar w:fldCharType="separate"/>
    </w:r>
    <w:r w:rsidRPr="001B4EC1">
      <w:instrText>93</w:instrText>
    </w:r>
    <w:r w:rsidRPr="001B4EC1">
      <w:fldChar w:fldCharType="end"/>
    </w:r>
    <w:r w:rsidRPr="001B4EC1">
      <w:fldChar w:fldCharType="separate"/>
    </w:r>
    <w:r w:rsidRPr="001B4EC1">
      <w:instrText>0,5</w:instrText>
    </w:r>
    <w:r w:rsidRPr="001B4EC1">
      <w:fldChar w:fldCharType="end"/>
    </w:r>
    <w:r w:rsidRPr="001B4EC1">
      <w:instrText xml:space="preserve"> = 0 "</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instrText>188</w:instrText>
    </w:r>
    <w:r w:rsidRPr="001B4EC1">
      <w:fldChar w:fldCharType="end"/>
    </w:r>
  </w:p>
  <w:p w:rsidR="00252869" w:rsidRPr="001B4EC1" w:rsidRDefault="00252869">
    <w:pPr>
      <w:pStyle w:val="SidfotH"/>
      <w:framePr w:w="8732" w:h="284" w:hRule="exact" w:hSpace="0" w:vSpace="0" w:wrap="around" w:xAlign="inside" w:y="13042" w:anchorLock="0"/>
    </w:pPr>
    <w:r w:rsidRPr="001B4EC1">
      <w:instrText>""</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instrText>187</w:instrText>
    </w:r>
    <w:r w:rsidRPr="001B4EC1">
      <w:fldChar w:fldCharType="end"/>
    </w:r>
    <w:r w:rsidRPr="001B4EC1">
      <w:instrText>"</w:instrText>
    </w:r>
    <w:r w:rsidRPr="001B4EC1">
      <w:fldChar w:fldCharType="separate"/>
    </w:r>
    <w:r w:rsidRPr="001B4EC1">
      <w:t>187</w:t>
    </w:r>
    <w:r w:rsidRPr="001B4EC1">
      <w:fldChar w:fldCharType="end"/>
    </w:r>
  </w:p>
  <w:p w:rsidR="00252869" w:rsidRPr="001B4EC1" w:rsidRDefault="00252869">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216</w:t>
    </w:r>
    <w:r w:rsidRPr="001B4EC1">
      <w:fldChar w:fldCharType="end"/>
    </w:r>
  </w:p>
  <w:p w:rsidR="00252869" w:rsidRPr="001B4EC1" w:rsidRDefault="00252869">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H"/>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217</w:t>
    </w:r>
    <w:r w:rsidRPr="001B4EC1">
      <w:fldChar w:fldCharType="end"/>
    </w:r>
  </w:p>
  <w:p w:rsidR="00252869" w:rsidRPr="001B4EC1" w:rsidRDefault="00252869">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if </w:instrText>
    </w:r>
    <w:r w:rsidRPr="001B4EC1">
      <w:fldChar w:fldCharType="begin" w:fldLock="1"/>
    </w:r>
    <w:r w:rsidRPr="001B4EC1">
      <w:instrText xml:space="preserve"> = </w:instrText>
    </w:r>
    <w:r w:rsidRPr="001B4EC1">
      <w:fldChar w:fldCharType="begin" w:fldLock="1"/>
    </w:r>
    <w:r w:rsidRPr="001B4EC1">
      <w:instrText xml:space="preserve"> = </w:instrText>
    </w:r>
    <w:r w:rsidRPr="001B4EC1">
      <w:fldChar w:fldCharType="begin" w:fldLock="1"/>
    </w:r>
    <w:r w:rsidRPr="001B4EC1">
      <w:instrText xml:space="preserve"> page</w:instrText>
    </w:r>
    <w:r w:rsidRPr="001B4EC1">
      <w:fldChar w:fldCharType="separate"/>
    </w:r>
    <w:r w:rsidRPr="001B4EC1">
      <w:instrText>204</w:instrText>
    </w:r>
    <w:r w:rsidRPr="001B4EC1">
      <w:fldChar w:fldCharType="end"/>
    </w:r>
    <w:r w:rsidRPr="001B4EC1">
      <w:instrText xml:space="preserve">/2 </w:instrText>
    </w:r>
    <w:r w:rsidRPr="001B4EC1">
      <w:fldChar w:fldCharType="separate"/>
    </w:r>
    <w:r w:rsidRPr="001B4EC1">
      <w:instrText>102</w:instrText>
    </w:r>
    <w:r w:rsidRPr="001B4EC1">
      <w:fldChar w:fldCharType="end"/>
    </w:r>
    <w:r w:rsidRPr="001B4EC1">
      <w:instrText xml:space="preserve"> - </w:instrText>
    </w:r>
    <w:r w:rsidRPr="001B4EC1">
      <w:fldChar w:fldCharType="begin" w:fldLock="1"/>
    </w:r>
    <w:r w:rsidRPr="001B4EC1">
      <w:instrText xml:space="preserve"> = int(</w:instrText>
    </w:r>
    <w:r w:rsidRPr="001B4EC1">
      <w:fldChar w:fldCharType="begin" w:fldLock="1"/>
    </w:r>
    <w:r w:rsidRPr="001B4EC1">
      <w:instrText xml:space="preserve"> page</w:instrText>
    </w:r>
    <w:r w:rsidRPr="001B4EC1">
      <w:fldChar w:fldCharType="separate"/>
    </w:r>
    <w:r w:rsidRPr="001B4EC1">
      <w:instrText>204</w:instrText>
    </w:r>
    <w:r w:rsidRPr="001B4EC1">
      <w:fldChar w:fldCharType="end"/>
    </w:r>
    <w:r w:rsidRPr="001B4EC1">
      <w:instrText xml:space="preserve">/2) </w:instrText>
    </w:r>
    <w:r w:rsidRPr="001B4EC1">
      <w:fldChar w:fldCharType="separate"/>
    </w:r>
    <w:r w:rsidRPr="001B4EC1">
      <w:instrText>102</w:instrText>
    </w:r>
    <w:r w:rsidRPr="001B4EC1">
      <w:fldChar w:fldCharType="end"/>
    </w:r>
    <w:r w:rsidRPr="001B4EC1">
      <w:fldChar w:fldCharType="separate"/>
    </w:r>
    <w:r w:rsidRPr="001B4EC1">
      <w:instrText>0</w:instrText>
    </w:r>
    <w:r w:rsidRPr="001B4EC1">
      <w:fldChar w:fldCharType="end"/>
    </w:r>
    <w:r w:rsidRPr="001B4EC1">
      <w:instrText xml:space="preserve"> = 0 "</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instrText>204</w:instrText>
    </w:r>
    <w:r w:rsidRPr="001B4EC1">
      <w:fldChar w:fldCharType="end"/>
    </w:r>
  </w:p>
  <w:p w:rsidR="00252869" w:rsidRPr="001B4EC1" w:rsidRDefault="00252869">
    <w:pPr>
      <w:pStyle w:val="SidfotV"/>
      <w:framePr w:w="8732" w:h="284" w:hRule="exact" w:hSpace="0" w:vSpace="0" w:wrap="around" w:xAlign="inside" w:y="13042" w:anchorLock="0"/>
    </w:pPr>
    <w:r w:rsidRPr="001B4EC1">
      <w:instrText>""</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instrText>205</w:instrText>
    </w:r>
    <w:r w:rsidRPr="001B4EC1">
      <w:fldChar w:fldCharType="end"/>
    </w:r>
    <w:r w:rsidRPr="001B4EC1">
      <w:instrText>"</w:instrText>
    </w:r>
    <w:r w:rsidRPr="001B4EC1">
      <w:fldChar w:fldCharType="separate"/>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204</w:t>
    </w:r>
    <w:r w:rsidRPr="001B4EC1">
      <w:fldChar w:fldCharType="end"/>
    </w:r>
  </w:p>
  <w:p w:rsidR="00252869" w:rsidRPr="001B4EC1" w:rsidRDefault="00252869">
    <w:pPr>
      <w:pStyle w:val="SidfotH"/>
      <w:framePr w:w="8732" w:h="284" w:hRule="exact" w:hSpace="0" w:vSpace="0" w:wrap="around" w:xAlign="inside" w:y="13042" w:anchorLock="0"/>
    </w:pPr>
    <w:r w:rsidRPr="001B4EC1">
      <w:fldChar w:fldCharType="end"/>
    </w:r>
  </w:p>
  <w:p w:rsidR="00252869" w:rsidRPr="001B4EC1" w:rsidRDefault="00252869">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220</w:t>
    </w:r>
    <w:r w:rsidRPr="001B4EC1">
      <w:fldChar w:fldCharType="end"/>
    </w:r>
  </w:p>
  <w:p w:rsidR="00252869" w:rsidRPr="001B4EC1" w:rsidRDefault="00252869">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H"/>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219</w:t>
    </w:r>
    <w:r w:rsidRPr="001B4EC1">
      <w:fldChar w:fldCharType="end"/>
    </w:r>
  </w:p>
  <w:p w:rsidR="00252869" w:rsidRPr="001B4EC1" w:rsidRDefault="0025286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if </w:instrText>
    </w:r>
    <w:r w:rsidRPr="001B4EC1">
      <w:fldChar w:fldCharType="begin" w:fldLock="1"/>
    </w:r>
    <w:r w:rsidRPr="001B4EC1">
      <w:instrText xml:space="preserve"> = </w:instrText>
    </w:r>
    <w:r w:rsidRPr="001B4EC1">
      <w:fldChar w:fldCharType="begin" w:fldLock="1"/>
    </w:r>
    <w:r w:rsidRPr="001B4EC1">
      <w:instrText xml:space="preserve"> = </w:instrText>
    </w:r>
    <w:r w:rsidRPr="001B4EC1">
      <w:fldChar w:fldCharType="begin" w:fldLock="1"/>
    </w:r>
    <w:r w:rsidRPr="001B4EC1">
      <w:instrText xml:space="preserve"> page</w:instrText>
    </w:r>
    <w:r w:rsidRPr="001B4EC1">
      <w:fldChar w:fldCharType="separate"/>
    </w:r>
    <w:r w:rsidR="001B4EC1">
      <w:rPr>
        <w:noProof/>
      </w:rPr>
      <w:instrText>1</w:instrText>
    </w:r>
    <w:r w:rsidRPr="001B4EC1">
      <w:fldChar w:fldCharType="end"/>
    </w:r>
    <w:r w:rsidRPr="001B4EC1">
      <w:instrText xml:space="preserve">/2 </w:instrText>
    </w:r>
    <w:r w:rsidRPr="001B4EC1">
      <w:fldChar w:fldCharType="separate"/>
    </w:r>
    <w:r w:rsidR="001B4EC1">
      <w:rPr>
        <w:noProof/>
      </w:rPr>
      <w:instrText>0,5</w:instrText>
    </w:r>
    <w:r w:rsidRPr="001B4EC1">
      <w:fldChar w:fldCharType="end"/>
    </w:r>
    <w:r w:rsidRPr="001B4EC1">
      <w:instrText xml:space="preserve"> - </w:instrText>
    </w:r>
    <w:r w:rsidRPr="001B4EC1">
      <w:fldChar w:fldCharType="begin" w:fldLock="1"/>
    </w:r>
    <w:r w:rsidRPr="001B4EC1">
      <w:instrText xml:space="preserve"> = int(</w:instrText>
    </w:r>
    <w:r w:rsidRPr="001B4EC1">
      <w:fldChar w:fldCharType="begin" w:fldLock="1"/>
    </w:r>
    <w:r w:rsidRPr="001B4EC1">
      <w:instrText xml:space="preserve"> page</w:instrText>
    </w:r>
    <w:r w:rsidRPr="001B4EC1">
      <w:fldChar w:fldCharType="separate"/>
    </w:r>
    <w:r w:rsidR="001B4EC1">
      <w:rPr>
        <w:noProof/>
      </w:rPr>
      <w:instrText>1</w:instrText>
    </w:r>
    <w:r w:rsidRPr="001B4EC1">
      <w:fldChar w:fldCharType="end"/>
    </w:r>
    <w:r w:rsidRPr="001B4EC1">
      <w:instrText xml:space="preserve">/2) </w:instrText>
    </w:r>
    <w:r w:rsidRPr="001B4EC1">
      <w:fldChar w:fldCharType="separate"/>
    </w:r>
    <w:r w:rsidR="001B4EC1">
      <w:rPr>
        <w:noProof/>
      </w:rPr>
      <w:instrText>0</w:instrText>
    </w:r>
    <w:r w:rsidRPr="001B4EC1">
      <w:fldChar w:fldCharType="end"/>
    </w:r>
    <w:r w:rsidRPr="001B4EC1">
      <w:fldChar w:fldCharType="separate"/>
    </w:r>
    <w:r w:rsidR="001B4EC1">
      <w:rPr>
        <w:noProof/>
      </w:rPr>
      <w:instrText>0,5</w:instrText>
    </w:r>
    <w:r w:rsidRPr="001B4EC1">
      <w:fldChar w:fldCharType="end"/>
    </w:r>
    <w:r w:rsidRPr="001B4EC1">
      <w:instrText xml:space="preserve"> = 0 "</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instrText>14</w:instrText>
    </w:r>
    <w:r w:rsidRPr="001B4EC1">
      <w:fldChar w:fldCharType="end"/>
    </w:r>
  </w:p>
  <w:p w:rsidR="00252869" w:rsidRPr="001B4EC1" w:rsidRDefault="00252869">
    <w:pPr>
      <w:pStyle w:val="SidfotH"/>
      <w:framePr w:w="8732" w:h="284" w:hRule="exact" w:hSpace="0" w:vSpace="0" w:wrap="around" w:xAlign="inside" w:y="13042" w:anchorLock="0"/>
    </w:pPr>
    <w:r w:rsidRPr="001B4EC1">
      <w:instrText>""</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001B4EC1">
      <w:rPr>
        <w:noProof/>
      </w:rPr>
      <w:instrText>1</w:instrText>
    </w:r>
    <w:r w:rsidRPr="001B4EC1">
      <w:fldChar w:fldCharType="end"/>
    </w:r>
    <w:r w:rsidRPr="001B4EC1">
      <w:instrText>"</w:instrText>
    </w:r>
    <w:r w:rsidRPr="001B4EC1">
      <w:fldChar w:fldCharType="separate"/>
    </w:r>
    <w:r w:rsidR="001B4EC1">
      <w:rPr>
        <w:noProof/>
      </w:rPr>
      <w:t>1</w:t>
    </w:r>
    <w:r w:rsidRPr="001B4EC1">
      <w:fldChar w:fldCharType="end"/>
    </w:r>
  </w:p>
  <w:p w:rsidR="00252869" w:rsidRPr="001B4EC1" w:rsidRDefault="00252869">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if </w:instrText>
    </w:r>
    <w:r w:rsidRPr="001B4EC1">
      <w:fldChar w:fldCharType="begin" w:fldLock="1"/>
    </w:r>
    <w:r w:rsidRPr="001B4EC1">
      <w:instrText xml:space="preserve"> = </w:instrText>
    </w:r>
    <w:r w:rsidRPr="001B4EC1">
      <w:fldChar w:fldCharType="begin" w:fldLock="1"/>
    </w:r>
    <w:r w:rsidRPr="001B4EC1">
      <w:instrText xml:space="preserve"> = </w:instrText>
    </w:r>
    <w:r w:rsidRPr="001B4EC1">
      <w:fldChar w:fldCharType="begin" w:fldLock="1"/>
    </w:r>
    <w:r w:rsidRPr="001B4EC1">
      <w:instrText xml:space="preserve"> page</w:instrText>
    </w:r>
    <w:r w:rsidRPr="001B4EC1">
      <w:fldChar w:fldCharType="separate"/>
    </w:r>
    <w:r w:rsidRPr="001B4EC1">
      <w:instrText>218</w:instrText>
    </w:r>
    <w:r w:rsidRPr="001B4EC1">
      <w:fldChar w:fldCharType="end"/>
    </w:r>
    <w:r w:rsidRPr="001B4EC1">
      <w:instrText xml:space="preserve">/2 </w:instrText>
    </w:r>
    <w:r w:rsidRPr="001B4EC1">
      <w:fldChar w:fldCharType="separate"/>
    </w:r>
    <w:r w:rsidRPr="001B4EC1">
      <w:instrText>109</w:instrText>
    </w:r>
    <w:r w:rsidRPr="001B4EC1">
      <w:fldChar w:fldCharType="end"/>
    </w:r>
    <w:r w:rsidRPr="001B4EC1">
      <w:instrText xml:space="preserve"> - </w:instrText>
    </w:r>
    <w:r w:rsidRPr="001B4EC1">
      <w:fldChar w:fldCharType="begin" w:fldLock="1"/>
    </w:r>
    <w:r w:rsidRPr="001B4EC1">
      <w:instrText xml:space="preserve"> = int(</w:instrText>
    </w:r>
    <w:r w:rsidRPr="001B4EC1">
      <w:fldChar w:fldCharType="begin" w:fldLock="1"/>
    </w:r>
    <w:r w:rsidRPr="001B4EC1">
      <w:instrText xml:space="preserve"> page</w:instrText>
    </w:r>
    <w:r w:rsidRPr="001B4EC1">
      <w:fldChar w:fldCharType="separate"/>
    </w:r>
    <w:r w:rsidRPr="001B4EC1">
      <w:instrText>218</w:instrText>
    </w:r>
    <w:r w:rsidRPr="001B4EC1">
      <w:fldChar w:fldCharType="end"/>
    </w:r>
    <w:r w:rsidRPr="001B4EC1">
      <w:instrText xml:space="preserve">/2) </w:instrText>
    </w:r>
    <w:r w:rsidRPr="001B4EC1">
      <w:fldChar w:fldCharType="separate"/>
    </w:r>
    <w:r w:rsidRPr="001B4EC1">
      <w:instrText>109</w:instrText>
    </w:r>
    <w:r w:rsidRPr="001B4EC1">
      <w:fldChar w:fldCharType="end"/>
    </w:r>
    <w:r w:rsidRPr="001B4EC1">
      <w:fldChar w:fldCharType="separate"/>
    </w:r>
    <w:r w:rsidRPr="001B4EC1">
      <w:instrText>0</w:instrText>
    </w:r>
    <w:r w:rsidRPr="001B4EC1">
      <w:fldChar w:fldCharType="end"/>
    </w:r>
    <w:r w:rsidRPr="001B4EC1">
      <w:instrText xml:space="preserve"> = 0 "</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instrText>218</w:instrText>
    </w:r>
    <w:r w:rsidRPr="001B4EC1">
      <w:fldChar w:fldCharType="end"/>
    </w:r>
  </w:p>
  <w:p w:rsidR="00252869" w:rsidRPr="001B4EC1" w:rsidRDefault="00252869">
    <w:pPr>
      <w:pStyle w:val="SidfotV"/>
      <w:framePr w:w="8732" w:h="284" w:hRule="exact" w:hSpace="0" w:vSpace="0" w:wrap="around" w:xAlign="inside" w:y="13042" w:anchorLock="0"/>
    </w:pPr>
    <w:r w:rsidRPr="001B4EC1">
      <w:instrText>""</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instrText>219</w:instrText>
    </w:r>
    <w:r w:rsidRPr="001B4EC1">
      <w:fldChar w:fldCharType="end"/>
    </w:r>
    <w:r w:rsidRPr="001B4EC1">
      <w:instrText>"</w:instrText>
    </w:r>
    <w:r w:rsidRPr="001B4EC1">
      <w:fldChar w:fldCharType="separate"/>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218</w:t>
    </w:r>
    <w:r w:rsidRPr="001B4EC1">
      <w:fldChar w:fldCharType="end"/>
    </w:r>
  </w:p>
  <w:p w:rsidR="00252869" w:rsidRPr="001B4EC1" w:rsidRDefault="00252869">
    <w:pPr>
      <w:pStyle w:val="SidfotH"/>
      <w:framePr w:w="8732" w:h="284" w:hRule="exact" w:hSpace="0" w:vSpace="0" w:wrap="around" w:xAlign="inside" w:y="13042" w:anchorLock="0"/>
    </w:pPr>
    <w:r w:rsidRPr="001B4EC1">
      <w:fldChar w:fldCharType="end"/>
    </w:r>
  </w:p>
  <w:p w:rsidR="00252869" w:rsidRPr="001B4EC1" w:rsidRDefault="0025286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8</w:t>
    </w:r>
    <w:r w:rsidRPr="001B4EC1">
      <w:fldChar w:fldCharType="end"/>
    </w:r>
  </w:p>
  <w:p w:rsidR="00252869" w:rsidRPr="001B4EC1" w:rsidRDefault="0025286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H"/>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9</w:t>
    </w:r>
    <w:r w:rsidRPr="001B4EC1">
      <w:fldChar w:fldCharType="end"/>
    </w:r>
  </w:p>
  <w:p w:rsidR="00252869" w:rsidRPr="001B4EC1" w:rsidRDefault="0025286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if </w:instrText>
    </w:r>
    <w:r w:rsidRPr="001B4EC1">
      <w:fldChar w:fldCharType="begin" w:fldLock="1"/>
    </w:r>
    <w:r w:rsidRPr="001B4EC1">
      <w:instrText xml:space="preserve"> = </w:instrText>
    </w:r>
    <w:r w:rsidRPr="001B4EC1">
      <w:fldChar w:fldCharType="begin" w:fldLock="1"/>
    </w:r>
    <w:r w:rsidRPr="001B4EC1">
      <w:instrText xml:space="preserve"> = </w:instrText>
    </w:r>
    <w:r w:rsidRPr="001B4EC1">
      <w:fldChar w:fldCharType="begin" w:fldLock="1"/>
    </w:r>
    <w:r w:rsidRPr="001B4EC1">
      <w:instrText xml:space="preserve"> page</w:instrText>
    </w:r>
    <w:r w:rsidRPr="001B4EC1">
      <w:fldChar w:fldCharType="separate"/>
    </w:r>
    <w:r w:rsidRPr="001B4EC1">
      <w:instrText>5</w:instrText>
    </w:r>
    <w:r w:rsidRPr="001B4EC1">
      <w:fldChar w:fldCharType="end"/>
    </w:r>
    <w:r w:rsidRPr="001B4EC1">
      <w:instrText xml:space="preserve">/2 </w:instrText>
    </w:r>
    <w:r w:rsidRPr="001B4EC1">
      <w:fldChar w:fldCharType="separate"/>
    </w:r>
    <w:r w:rsidRPr="001B4EC1">
      <w:instrText>2,5</w:instrText>
    </w:r>
    <w:r w:rsidRPr="001B4EC1">
      <w:fldChar w:fldCharType="end"/>
    </w:r>
    <w:r w:rsidRPr="001B4EC1">
      <w:instrText xml:space="preserve"> - </w:instrText>
    </w:r>
    <w:r w:rsidRPr="001B4EC1">
      <w:fldChar w:fldCharType="begin" w:fldLock="1"/>
    </w:r>
    <w:r w:rsidRPr="001B4EC1">
      <w:instrText xml:space="preserve"> = int(</w:instrText>
    </w:r>
    <w:r w:rsidRPr="001B4EC1">
      <w:fldChar w:fldCharType="begin" w:fldLock="1"/>
    </w:r>
    <w:r w:rsidRPr="001B4EC1">
      <w:instrText xml:space="preserve"> page</w:instrText>
    </w:r>
    <w:r w:rsidRPr="001B4EC1">
      <w:fldChar w:fldCharType="separate"/>
    </w:r>
    <w:r w:rsidRPr="001B4EC1">
      <w:instrText>5</w:instrText>
    </w:r>
    <w:r w:rsidRPr="001B4EC1">
      <w:fldChar w:fldCharType="end"/>
    </w:r>
    <w:r w:rsidRPr="001B4EC1">
      <w:instrText xml:space="preserve">/2) </w:instrText>
    </w:r>
    <w:r w:rsidRPr="001B4EC1">
      <w:fldChar w:fldCharType="separate"/>
    </w:r>
    <w:r w:rsidRPr="001B4EC1">
      <w:instrText>2</w:instrText>
    </w:r>
    <w:r w:rsidRPr="001B4EC1">
      <w:fldChar w:fldCharType="end"/>
    </w:r>
    <w:r w:rsidRPr="001B4EC1">
      <w:fldChar w:fldCharType="separate"/>
    </w:r>
    <w:r w:rsidRPr="001B4EC1">
      <w:instrText>0,5</w:instrText>
    </w:r>
    <w:r w:rsidRPr="001B4EC1">
      <w:fldChar w:fldCharType="end"/>
    </w:r>
    <w:r w:rsidRPr="001B4EC1">
      <w:instrText xml:space="preserve"> = 0 "</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instrText>2</w:instrText>
    </w:r>
    <w:r w:rsidRPr="001B4EC1">
      <w:fldChar w:fldCharType="end"/>
    </w:r>
  </w:p>
  <w:p w:rsidR="00252869" w:rsidRPr="001B4EC1" w:rsidRDefault="00252869">
    <w:pPr>
      <w:pStyle w:val="SidfotH"/>
      <w:framePr w:w="8732" w:h="284" w:hRule="exact" w:hSpace="0" w:vSpace="0" w:wrap="around" w:xAlign="inside" w:y="13042" w:anchorLock="0"/>
    </w:pPr>
    <w:r w:rsidRPr="001B4EC1">
      <w:instrText>""</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instrText>5</w:instrText>
    </w:r>
    <w:r w:rsidRPr="001B4EC1">
      <w:fldChar w:fldCharType="end"/>
    </w:r>
    <w:r w:rsidRPr="001B4EC1">
      <w:instrText>"</w:instrText>
    </w:r>
    <w:r w:rsidRPr="001B4EC1">
      <w:fldChar w:fldCharType="separate"/>
    </w:r>
    <w:r w:rsidRPr="001B4EC1">
      <w:t>5</w:t>
    </w:r>
    <w:r w:rsidRPr="001B4EC1">
      <w:fldChar w:fldCharType="end"/>
    </w:r>
  </w:p>
  <w:p w:rsidR="00252869" w:rsidRPr="001B4EC1" w:rsidRDefault="0025286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2</w:t>
    </w:r>
    <w:r w:rsidRPr="001B4EC1">
      <w:fldChar w:fldCharType="end"/>
    </w:r>
  </w:p>
  <w:p w:rsidR="00252869" w:rsidRPr="001B4EC1" w:rsidRDefault="0025286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H"/>
      <w:framePr w:w="8732" w:h="284" w:hRule="exact" w:hSpace="0" w:vSpace="0" w:wrap="around" w:xAlign="inside" w:y="13042" w:anchorLock="0"/>
    </w:pP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3</w:t>
    </w:r>
    <w:r w:rsidRPr="001B4EC1">
      <w:fldChar w:fldCharType="end"/>
    </w:r>
  </w:p>
  <w:p w:rsidR="00252869" w:rsidRPr="001B4EC1" w:rsidRDefault="0025286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fotV"/>
      <w:framePr w:w="8732" w:h="284" w:hRule="exact" w:hSpace="0" w:vSpace="0" w:wrap="around" w:xAlign="inside" w:y="13042" w:anchorLock="0"/>
    </w:pPr>
    <w:r w:rsidRPr="001B4EC1">
      <w:fldChar w:fldCharType="begin" w:fldLock="1"/>
    </w:r>
    <w:r w:rsidRPr="001B4EC1">
      <w:instrText xml:space="preserve"> if </w:instrText>
    </w:r>
    <w:r w:rsidRPr="001B4EC1">
      <w:fldChar w:fldCharType="begin" w:fldLock="1"/>
    </w:r>
    <w:r w:rsidRPr="001B4EC1">
      <w:instrText xml:space="preserve"> = </w:instrText>
    </w:r>
    <w:r w:rsidRPr="001B4EC1">
      <w:fldChar w:fldCharType="begin" w:fldLock="1"/>
    </w:r>
    <w:r w:rsidRPr="001B4EC1">
      <w:instrText xml:space="preserve"> = </w:instrText>
    </w:r>
    <w:r w:rsidRPr="001B4EC1">
      <w:fldChar w:fldCharType="begin" w:fldLock="1"/>
    </w:r>
    <w:r w:rsidRPr="001B4EC1">
      <w:instrText xml:space="preserve"> page</w:instrText>
    </w:r>
    <w:r w:rsidRPr="001B4EC1">
      <w:fldChar w:fldCharType="separate"/>
    </w:r>
    <w:r w:rsidRPr="001B4EC1">
      <w:instrText>10</w:instrText>
    </w:r>
    <w:r w:rsidRPr="001B4EC1">
      <w:fldChar w:fldCharType="end"/>
    </w:r>
    <w:r w:rsidRPr="001B4EC1">
      <w:instrText xml:space="preserve">/2 </w:instrText>
    </w:r>
    <w:r w:rsidRPr="001B4EC1">
      <w:fldChar w:fldCharType="separate"/>
    </w:r>
    <w:r w:rsidRPr="001B4EC1">
      <w:instrText>5</w:instrText>
    </w:r>
    <w:r w:rsidRPr="001B4EC1">
      <w:fldChar w:fldCharType="end"/>
    </w:r>
    <w:r w:rsidRPr="001B4EC1">
      <w:instrText xml:space="preserve"> - </w:instrText>
    </w:r>
    <w:r w:rsidRPr="001B4EC1">
      <w:fldChar w:fldCharType="begin" w:fldLock="1"/>
    </w:r>
    <w:r w:rsidRPr="001B4EC1">
      <w:instrText xml:space="preserve"> = int(</w:instrText>
    </w:r>
    <w:r w:rsidRPr="001B4EC1">
      <w:fldChar w:fldCharType="begin" w:fldLock="1"/>
    </w:r>
    <w:r w:rsidRPr="001B4EC1">
      <w:instrText xml:space="preserve"> page</w:instrText>
    </w:r>
    <w:r w:rsidRPr="001B4EC1">
      <w:fldChar w:fldCharType="separate"/>
    </w:r>
    <w:r w:rsidRPr="001B4EC1">
      <w:instrText>10</w:instrText>
    </w:r>
    <w:r w:rsidRPr="001B4EC1">
      <w:fldChar w:fldCharType="end"/>
    </w:r>
    <w:r w:rsidRPr="001B4EC1">
      <w:instrText xml:space="preserve">/2) </w:instrText>
    </w:r>
    <w:r w:rsidRPr="001B4EC1">
      <w:fldChar w:fldCharType="separate"/>
    </w:r>
    <w:r w:rsidRPr="001B4EC1">
      <w:instrText>5</w:instrText>
    </w:r>
    <w:r w:rsidRPr="001B4EC1">
      <w:fldChar w:fldCharType="end"/>
    </w:r>
    <w:r w:rsidRPr="001B4EC1">
      <w:fldChar w:fldCharType="separate"/>
    </w:r>
    <w:r w:rsidRPr="001B4EC1">
      <w:instrText>0</w:instrText>
    </w:r>
    <w:r w:rsidRPr="001B4EC1">
      <w:fldChar w:fldCharType="end"/>
    </w:r>
    <w:r w:rsidRPr="001B4EC1">
      <w:instrText xml:space="preserve"> = 0 "</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instrText>10</w:instrText>
    </w:r>
    <w:r w:rsidRPr="001B4EC1">
      <w:fldChar w:fldCharType="end"/>
    </w:r>
  </w:p>
  <w:p w:rsidR="00252869" w:rsidRPr="001B4EC1" w:rsidRDefault="00252869">
    <w:pPr>
      <w:pStyle w:val="SidfotV"/>
      <w:framePr w:w="8732" w:h="284" w:hRule="exact" w:hSpace="0" w:vSpace="0" w:wrap="around" w:xAlign="inside" w:y="13042" w:anchorLock="0"/>
    </w:pPr>
    <w:r w:rsidRPr="001B4EC1">
      <w:instrText>""</w:instrText>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instrText>11</w:instrText>
    </w:r>
    <w:r w:rsidRPr="001B4EC1">
      <w:fldChar w:fldCharType="end"/>
    </w:r>
    <w:r w:rsidRPr="001B4EC1">
      <w:instrText>"</w:instrText>
    </w:r>
    <w:r w:rsidRPr="001B4EC1">
      <w:fldChar w:fldCharType="separate"/>
    </w:r>
    <w:r w:rsidRPr="001B4EC1">
      <w:fldChar w:fldCharType="begin" w:fldLock="1"/>
    </w:r>
    <w:r w:rsidRPr="001B4EC1">
      <w:instrText xml:space="preserve"> P</w:instrText>
    </w:r>
    <w:r w:rsidRPr="001B4EC1">
      <w:instrText>A</w:instrText>
    </w:r>
    <w:r w:rsidRPr="001B4EC1">
      <w:instrText xml:space="preserve">GE </w:instrText>
    </w:r>
    <w:r w:rsidRPr="001B4EC1">
      <w:fldChar w:fldCharType="separate"/>
    </w:r>
    <w:r w:rsidRPr="001B4EC1">
      <w:t>10</w:t>
    </w:r>
    <w:r w:rsidRPr="001B4EC1">
      <w:fldChar w:fldCharType="end"/>
    </w:r>
  </w:p>
  <w:p w:rsidR="00252869" w:rsidRPr="001B4EC1" w:rsidRDefault="00252869">
    <w:pPr>
      <w:pStyle w:val="SidfotH"/>
      <w:framePr w:w="8732" w:h="284" w:hRule="exact" w:hSpace="0" w:vSpace="0" w:wrap="around" w:xAlign="inside" w:y="13042" w:anchorLock="0"/>
    </w:pPr>
    <w:r w:rsidRPr="001B4EC1">
      <w:fldChar w:fldCharType="end"/>
    </w:r>
  </w:p>
  <w:p w:rsidR="00252869" w:rsidRPr="001B4EC1" w:rsidRDefault="0025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2869" w:rsidRPr="001B4EC1" w:rsidRDefault="00252869">
      <w:pPr>
        <w:pStyle w:val="Sidfot"/>
      </w:pPr>
    </w:p>
  </w:footnote>
  <w:footnote w:type="continuationSeparator" w:id="0">
    <w:p w:rsidR="00252869" w:rsidRPr="001B4EC1" w:rsidRDefault="00252869">
      <w:pPr>
        <w:spacing w:before="0" w:line="240" w:lineRule="auto"/>
      </w:pPr>
      <w:r w:rsidRPr="001B4EC1">
        <w:continuationSeparator/>
      </w:r>
    </w:p>
  </w:footnote>
  <w:footnote w:id="1">
    <w:p w:rsidR="00252869" w:rsidRPr="001B4EC1" w:rsidRDefault="00252869">
      <w:pPr>
        <w:pStyle w:val="Fotnotstext"/>
      </w:pPr>
      <w:r w:rsidRPr="001B4EC1">
        <w:rPr>
          <w:rStyle w:val="Fotnotsreferens"/>
        </w:rPr>
        <w:footnoteRef/>
      </w:r>
      <w:r w:rsidRPr="001B4EC1">
        <w:t xml:space="preserve"> Bet. 1994/95:KU22 s. 14. </w:t>
      </w:r>
    </w:p>
  </w:footnote>
  <w:footnote w:id="2">
    <w:p w:rsidR="00252869" w:rsidRPr="001B4EC1" w:rsidRDefault="00252869">
      <w:pPr>
        <w:pStyle w:val="Fotnotstext"/>
      </w:pPr>
      <w:r w:rsidRPr="001B4EC1">
        <w:rPr>
          <w:rStyle w:val="Fotnotsreferens"/>
        </w:rPr>
        <w:footnoteRef/>
      </w:r>
      <w:r w:rsidRPr="001B4EC1">
        <w:t xml:space="preserve"> Bet. 2002/03:KU30 avsnitt 1.4.</w:t>
      </w:r>
    </w:p>
  </w:footnote>
  <w:footnote w:id="3">
    <w:p w:rsidR="00252869" w:rsidRPr="001B4EC1" w:rsidRDefault="00252869">
      <w:pPr>
        <w:pStyle w:val="Fotnotstext"/>
      </w:pPr>
      <w:r w:rsidRPr="001B4EC1">
        <w:rPr>
          <w:rStyle w:val="Fotnotsreferens"/>
        </w:rPr>
        <w:footnoteRef/>
      </w:r>
      <w:r w:rsidRPr="001B4EC1">
        <w:t xml:space="preserve"> Majoriteten = m, fp, kd, v, c, mp.</w:t>
      </w:r>
    </w:p>
  </w:footnote>
  <w:footnote w:id="4">
    <w:p w:rsidR="00252869" w:rsidRPr="001B4EC1" w:rsidRDefault="00252869">
      <w:pPr>
        <w:pStyle w:val="Fotnotstext"/>
      </w:pPr>
      <w:r w:rsidRPr="001B4EC1">
        <w:rPr>
          <w:rStyle w:val="Fotnotsreferens"/>
        </w:rPr>
        <w:footnoteRef/>
      </w:r>
      <w:r w:rsidRPr="001B4EC1">
        <w:t xml:space="preserve"> Bet. 2002/03:KUU1 s. 21.</w:t>
      </w:r>
    </w:p>
  </w:footnote>
  <w:footnote w:id="5">
    <w:p w:rsidR="00252869" w:rsidRPr="001B4EC1" w:rsidRDefault="00252869">
      <w:pPr>
        <w:pStyle w:val="Fotnotstext"/>
      </w:pPr>
      <w:r w:rsidRPr="001B4EC1">
        <w:rPr>
          <w:rStyle w:val="Fotnotsreferens"/>
        </w:rPr>
        <w:footnoteRef/>
      </w:r>
      <w:r w:rsidRPr="001B4EC1">
        <w:t xml:space="preserve"> Rskr. 2002/03:140. </w:t>
      </w:r>
    </w:p>
  </w:footnote>
  <w:footnote w:id="6">
    <w:p w:rsidR="00252869" w:rsidRPr="001B4EC1" w:rsidRDefault="00252869">
      <w:pPr>
        <w:pStyle w:val="Fotnotstext"/>
      </w:pPr>
      <w:r w:rsidRPr="001B4EC1">
        <w:rPr>
          <w:rStyle w:val="Fotnotsreferens"/>
        </w:rPr>
        <w:footnoteRef/>
      </w:r>
      <w:r w:rsidRPr="001B4EC1">
        <w:t xml:space="preserve"> Skr. 2003/04:13 s. 33 f. </w:t>
      </w:r>
    </w:p>
  </w:footnote>
  <w:footnote w:id="7">
    <w:p w:rsidR="00252869" w:rsidRPr="001B4EC1" w:rsidRDefault="00252869">
      <w:pPr>
        <w:pStyle w:val="Fotnotstext"/>
      </w:pPr>
      <w:r w:rsidRPr="001B4EC1">
        <w:rPr>
          <w:rStyle w:val="Fotnotsreferens"/>
        </w:rPr>
        <w:footnoteRef/>
      </w:r>
      <w:r w:rsidRPr="001B4EC1">
        <w:t xml:space="preserve"> Se bet. 2003/04:KUU1 s. 88.</w:t>
      </w:r>
    </w:p>
  </w:footnote>
  <w:footnote w:id="8">
    <w:p w:rsidR="00252869" w:rsidRPr="001B4EC1" w:rsidRDefault="00252869">
      <w:pPr>
        <w:pStyle w:val="Fotnotstext"/>
      </w:pPr>
      <w:r w:rsidRPr="001B4EC1">
        <w:rPr>
          <w:rStyle w:val="Fotnotsreferens"/>
        </w:rPr>
        <w:footnoteRef/>
      </w:r>
      <w:r w:rsidRPr="001B4EC1">
        <w:t xml:space="preserve"> Snabbprot. 2003/04:32, anf. 111.</w:t>
      </w:r>
    </w:p>
  </w:footnote>
  <w:footnote w:id="9">
    <w:p w:rsidR="00252869" w:rsidRPr="001B4EC1" w:rsidRDefault="00252869">
      <w:pPr>
        <w:pStyle w:val="Fotnotstext"/>
      </w:pPr>
      <w:r w:rsidRPr="001B4EC1">
        <w:rPr>
          <w:rStyle w:val="Fotnotsreferens"/>
        </w:rPr>
        <w:footnoteRef/>
      </w:r>
      <w:r w:rsidRPr="001B4EC1">
        <w:t xml:space="preserve"> Rskr. 2003/04:57.</w:t>
      </w:r>
    </w:p>
  </w:footnote>
  <w:footnote w:id="10">
    <w:p w:rsidR="00252869" w:rsidRPr="001B4EC1" w:rsidRDefault="00252869">
      <w:pPr>
        <w:pStyle w:val="Fotnotstext"/>
      </w:pPr>
      <w:r w:rsidRPr="001B4EC1">
        <w:rPr>
          <w:rStyle w:val="Fotnotsreferens"/>
        </w:rPr>
        <w:footnoteRef/>
      </w:r>
      <w:r w:rsidRPr="001B4EC1">
        <w:t xml:space="preserve"> EUN 2002/03:22 1 §. </w:t>
      </w:r>
    </w:p>
  </w:footnote>
  <w:footnote w:id="11">
    <w:p w:rsidR="00252869" w:rsidRPr="001B4EC1" w:rsidRDefault="00252869">
      <w:pPr>
        <w:pStyle w:val="Fotnotstext"/>
      </w:pPr>
      <w:r w:rsidRPr="001B4EC1">
        <w:rPr>
          <w:rStyle w:val="Fotnotsreferens"/>
        </w:rPr>
        <w:footnoteRef/>
      </w:r>
      <w:r w:rsidRPr="001B4EC1">
        <w:t xml:space="preserve"> EUN 2002/03:30.</w:t>
      </w:r>
    </w:p>
  </w:footnote>
  <w:footnote w:id="12">
    <w:p w:rsidR="00252869" w:rsidRPr="001B4EC1" w:rsidRDefault="00252869">
      <w:pPr>
        <w:pStyle w:val="Fotnotstext"/>
      </w:pPr>
      <w:r w:rsidRPr="001B4EC1">
        <w:rPr>
          <w:rStyle w:val="Fotnotsreferens"/>
        </w:rPr>
        <w:footnoteRef/>
      </w:r>
      <w:r w:rsidRPr="001B4EC1">
        <w:t xml:space="preserve"> EUN 2003/04:4 2 §.</w:t>
      </w:r>
    </w:p>
  </w:footnote>
  <w:footnote w:id="13">
    <w:p w:rsidR="00252869" w:rsidRPr="001B4EC1" w:rsidRDefault="00252869">
      <w:pPr>
        <w:pStyle w:val="Fotnotstext"/>
      </w:pPr>
      <w:r w:rsidRPr="001B4EC1">
        <w:rPr>
          <w:rStyle w:val="Fotnotsreferens"/>
        </w:rPr>
        <w:footnoteRef/>
      </w:r>
      <w:r w:rsidRPr="001B4EC1">
        <w:t xml:space="preserve"> EUN 2003/04:6. </w:t>
      </w:r>
    </w:p>
  </w:footnote>
  <w:footnote w:id="14">
    <w:p w:rsidR="00252869" w:rsidRPr="001B4EC1" w:rsidRDefault="00252869">
      <w:pPr>
        <w:pStyle w:val="Fotnotstext"/>
      </w:pPr>
      <w:r w:rsidRPr="001B4EC1">
        <w:rPr>
          <w:rStyle w:val="Fotnotsreferens"/>
        </w:rPr>
        <w:footnoteRef/>
      </w:r>
      <w:r w:rsidRPr="001B4EC1">
        <w:t xml:space="preserve"> Bet. 1994/95:KU22 s. 14.</w:t>
      </w:r>
    </w:p>
  </w:footnote>
  <w:footnote w:id="15">
    <w:p w:rsidR="00252869" w:rsidRPr="001B4EC1" w:rsidRDefault="00252869">
      <w:pPr>
        <w:pStyle w:val="Fotnotstext"/>
      </w:pPr>
      <w:r w:rsidRPr="001B4EC1">
        <w:rPr>
          <w:rStyle w:val="Fotnotsreferens"/>
        </w:rPr>
        <w:footnoteRef/>
      </w:r>
      <w:r w:rsidRPr="001B4EC1">
        <w:t xml:space="preserve"> Förslag 2000/01:RS1, bet. 2000/01:KU23, rskr. 2000/01:273–276. </w:t>
      </w:r>
    </w:p>
  </w:footnote>
  <w:footnote w:id="16">
    <w:p w:rsidR="00252869" w:rsidRPr="001B4EC1" w:rsidRDefault="00252869">
      <w:pPr>
        <w:pStyle w:val="Fotnotstext"/>
      </w:pPr>
      <w:r w:rsidRPr="001B4EC1">
        <w:rPr>
          <w:rStyle w:val="Fotnotsreferens"/>
        </w:rPr>
        <w:footnoteRef/>
      </w:r>
      <w:r w:rsidRPr="001B4EC1">
        <w:t xml:space="preserve"> SOU 1994:10 s. 96 f. och 107, prop. 1994/95:19 s. 538, bet. 1994/95:KU22 s. 19.</w:t>
      </w:r>
    </w:p>
  </w:footnote>
  <w:footnote w:id="17">
    <w:p w:rsidR="00252869" w:rsidRPr="001B4EC1" w:rsidRDefault="00252869">
      <w:pPr>
        <w:pStyle w:val="Fotnotstext"/>
      </w:pPr>
      <w:r w:rsidRPr="001B4EC1">
        <w:rPr>
          <w:rStyle w:val="Fotnotsreferens"/>
        </w:rPr>
        <w:footnoteRef/>
      </w:r>
      <w:r w:rsidRPr="001B4EC1">
        <w:t xml:space="preserve"> Bilaga 6 till förslag 2000/01:RS1.</w:t>
      </w:r>
    </w:p>
  </w:footnote>
  <w:footnote w:id="18">
    <w:p w:rsidR="00252869" w:rsidRPr="001B4EC1" w:rsidRDefault="00252869">
      <w:pPr>
        <w:pStyle w:val="Fotnotstext"/>
        <w:jc w:val="left"/>
      </w:pPr>
      <w:r w:rsidRPr="001B4EC1">
        <w:rPr>
          <w:rStyle w:val="Fotnotsreferens"/>
        </w:rPr>
        <w:footnoteRef/>
      </w:r>
      <w:r w:rsidRPr="001B4EC1">
        <w:t xml:space="preserve"> Cirkulären återfinns på Regeringskansliets webbplats: http://www.utrikes.regeringen.se/eu/europeiska_un/regering_eu/cirkular.htm. </w:t>
      </w:r>
    </w:p>
  </w:footnote>
  <w:footnote w:id="19">
    <w:p w:rsidR="00252869" w:rsidRPr="001B4EC1" w:rsidRDefault="00252869">
      <w:pPr>
        <w:pStyle w:val="Fotnotstext"/>
      </w:pPr>
      <w:r w:rsidRPr="001B4EC1">
        <w:rPr>
          <w:rStyle w:val="Fotnotsreferens"/>
        </w:rPr>
        <w:footnoteRef/>
      </w:r>
      <w:r w:rsidRPr="001B4EC1">
        <w:t xml:space="preserve"> Artikelns lydelse (intagen här): Nothing in the present Charter shall impair the inh</w:t>
      </w:r>
      <w:r w:rsidRPr="001B4EC1">
        <w:t>e</w:t>
      </w:r>
      <w:r w:rsidRPr="001B4EC1">
        <w:t>rent right of individual or collective self-defence if an armed attack occurs against a Member of the United Nations, until the Security Council has taken measures necess</w:t>
      </w:r>
      <w:r w:rsidRPr="001B4EC1">
        <w:t>a</w:t>
      </w:r>
      <w:r w:rsidRPr="001B4EC1">
        <w:t>ry to maintain international peace and security. Measures taken by Members in the exercise of this right of self-defence shall be immediately reported to the Security Council and shall not in any way affect the authority and responsibility of the Security</w:t>
      </w:r>
      <w:r w:rsidRPr="001B4EC1">
        <w:t xml:space="preserve"> Council under the present Charter to take at any time such action as it deems necessary in order to maintain or restore international peace and security.</w:t>
      </w:r>
    </w:p>
  </w:footnote>
  <w:footnote w:id="20">
    <w:p w:rsidR="00252869" w:rsidRPr="001B4EC1" w:rsidRDefault="00252869">
      <w:pPr>
        <w:pStyle w:val="Fotnotstext"/>
      </w:pPr>
      <w:r w:rsidRPr="001B4EC1">
        <w:rPr>
          <w:rStyle w:val="Fotnotsreferens"/>
        </w:rPr>
        <w:footnoteRef/>
      </w:r>
      <w:r w:rsidRPr="001B4EC1">
        <w:t xml:space="preserve"> CIG 52/03 Add 1. Kansliets översättning från engelska.</w:t>
      </w:r>
    </w:p>
  </w:footnote>
  <w:footnote w:id="21">
    <w:p w:rsidR="00252869" w:rsidRPr="001B4EC1" w:rsidRDefault="00252869">
      <w:pPr>
        <w:pStyle w:val="Fotnotstext"/>
      </w:pPr>
      <w:r w:rsidRPr="001B4EC1">
        <w:rPr>
          <w:rStyle w:val="Fotnotsreferens"/>
        </w:rPr>
        <w:footnoteRef/>
      </w:r>
      <w:r w:rsidRPr="001B4EC1">
        <w:t xml:space="preserve"> I bilaga A 1.6.3. Se även CIG 62/03. Kansliets översättning från engelska. </w:t>
      </w:r>
    </w:p>
  </w:footnote>
  <w:footnote w:id="22">
    <w:p w:rsidR="00252869" w:rsidRPr="001B4EC1" w:rsidRDefault="00252869">
      <w:pPr>
        <w:pStyle w:val="Fotnotstext"/>
      </w:pPr>
      <w:r w:rsidRPr="001B4EC1">
        <w:rPr>
          <w:rStyle w:val="Fotnotsreferens"/>
        </w:rPr>
        <w:footnoteRef/>
      </w:r>
      <w:r w:rsidRPr="001B4EC1">
        <w:t xml:space="preserve"> CIG 60/03 Add 1. </w:t>
      </w:r>
    </w:p>
  </w:footnote>
  <w:footnote w:id="23">
    <w:p w:rsidR="00252869" w:rsidRPr="001B4EC1" w:rsidRDefault="00252869">
      <w:pPr>
        <w:pStyle w:val="Fotnotstext"/>
      </w:pPr>
      <w:r w:rsidRPr="001B4EC1">
        <w:rPr>
          <w:rStyle w:val="Fotnotsreferens"/>
        </w:rPr>
        <w:footnoteRef/>
      </w:r>
      <w:r w:rsidRPr="001B4EC1">
        <w:t xml:space="preserve"> Skr. 2003/04:13.</w:t>
      </w:r>
    </w:p>
  </w:footnote>
  <w:footnote w:id="24">
    <w:p w:rsidR="00252869" w:rsidRPr="001B4EC1" w:rsidRDefault="00252869">
      <w:pPr>
        <w:pStyle w:val="Fotnotstext"/>
      </w:pPr>
      <w:r w:rsidRPr="001B4EC1">
        <w:rPr>
          <w:rStyle w:val="Fotnotsreferens"/>
        </w:rPr>
        <w:footnoteRef/>
      </w:r>
      <w:r w:rsidRPr="001B4EC1">
        <w:t xml:space="preserve"> Bet. 2003/04:KUU1.</w:t>
      </w:r>
    </w:p>
  </w:footnote>
  <w:footnote w:id="25">
    <w:p w:rsidR="00252869" w:rsidRPr="001B4EC1" w:rsidRDefault="00252869">
      <w:pPr>
        <w:pStyle w:val="Fotnotstext"/>
      </w:pPr>
      <w:r w:rsidRPr="001B4EC1">
        <w:rPr>
          <w:rStyle w:val="Fotnotsreferens"/>
        </w:rPr>
        <w:footnoteRef/>
      </w:r>
      <w:r w:rsidRPr="001B4EC1">
        <w:t xml:space="preserve"> Yttr. 2003/04:FöU3y. </w:t>
      </w:r>
    </w:p>
  </w:footnote>
  <w:footnote w:id="26">
    <w:p w:rsidR="00252869" w:rsidRPr="001B4EC1" w:rsidRDefault="00252869">
      <w:pPr>
        <w:pStyle w:val="Fotnotstext"/>
      </w:pPr>
      <w:r w:rsidRPr="001B4EC1">
        <w:rPr>
          <w:rStyle w:val="Fotnotsreferens"/>
        </w:rPr>
        <w:footnoteRef/>
      </w:r>
      <w:r w:rsidRPr="001B4EC1">
        <w:t xml:space="preserve"> A.bet. s. 157.</w:t>
      </w:r>
    </w:p>
  </w:footnote>
  <w:footnote w:id="27">
    <w:p w:rsidR="00252869" w:rsidRPr="001B4EC1" w:rsidRDefault="00252869">
      <w:pPr>
        <w:pStyle w:val="Fotnotstext"/>
      </w:pPr>
      <w:r w:rsidRPr="001B4EC1">
        <w:rPr>
          <w:rStyle w:val="Fotnotsreferens"/>
        </w:rPr>
        <w:footnoteRef/>
      </w:r>
      <w:r w:rsidRPr="001B4EC1">
        <w:t xml:space="preserve"> A.bet. s. 167. </w:t>
      </w:r>
    </w:p>
  </w:footnote>
  <w:footnote w:id="28">
    <w:p w:rsidR="00252869" w:rsidRPr="001B4EC1" w:rsidRDefault="00252869">
      <w:pPr>
        <w:pStyle w:val="Fotnotstext"/>
      </w:pPr>
      <w:r w:rsidRPr="001B4EC1">
        <w:rPr>
          <w:rStyle w:val="Fotnotsreferens"/>
        </w:rPr>
        <w:footnoteRef/>
      </w:r>
      <w:r w:rsidRPr="001B4EC1">
        <w:t xml:space="preserve"> EUN 2003/04:13 1 §.</w:t>
      </w:r>
    </w:p>
  </w:footnote>
  <w:footnote w:id="29">
    <w:p w:rsidR="00252869" w:rsidRPr="001B4EC1" w:rsidRDefault="00252869">
      <w:pPr>
        <w:pStyle w:val="Fotnotstext"/>
      </w:pPr>
      <w:r w:rsidRPr="001B4EC1">
        <w:rPr>
          <w:rStyle w:val="Fotnotsreferens"/>
        </w:rPr>
        <w:footnoteRef/>
      </w:r>
      <w:r w:rsidRPr="001B4EC1">
        <w:t xml:space="preserve"> EUN 2003/04:14 1 §.</w:t>
      </w:r>
    </w:p>
  </w:footnote>
  <w:footnote w:id="30">
    <w:p w:rsidR="00252869" w:rsidRPr="001B4EC1" w:rsidRDefault="00252869">
      <w:pPr>
        <w:pStyle w:val="Fotnotstext"/>
      </w:pPr>
      <w:r w:rsidRPr="001B4EC1">
        <w:rPr>
          <w:rStyle w:val="Fotnotsreferens"/>
        </w:rPr>
        <w:footnoteRef/>
      </w:r>
      <w:r w:rsidRPr="001B4EC1">
        <w:t xml:space="preserve"> EUN 2002/03:33 1 §.</w:t>
      </w:r>
    </w:p>
  </w:footnote>
  <w:footnote w:id="31">
    <w:p w:rsidR="00252869" w:rsidRPr="001B4EC1" w:rsidRDefault="00252869">
      <w:pPr>
        <w:pStyle w:val="Fotnotstext"/>
      </w:pPr>
      <w:r w:rsidRPr="001B4EC1">
        <w:rPr>
          <w:rStyle w:val="Fotnotsreferens"/>
        </w:rPr>
        <w:footnoteRef/>
      </w:r>
      <w:r w:rsidRPr="001B4EC1">
        <w:t xml:space="preserve"> EUN 2003/04:4 1 §.</w:t>
      </w:r>
    </w:p>
  </w:footnote>
  <w:footnote w:id="32">
    <w:p w:rsidR="00252869" w:rsidRPr="001B4EC1" w:rsidRDefault="00252869">
      <w:pPr>
        <w:pStyle w:val="Fotnotstext"/>
      </w:pPr>
      <w:r w:rsidRPr="001B4EC1">
        <w:rPr>
          <w:rStyle w:val="Fotnotsreferens"/>
        </w:rPr>
        <w:footnoteRef/>
      </w:r>
      <w:r w:rsidRPr="001B4EC1">
        <w:t xml:space="preserve"> CIG 37/03. </w:t>
      </w:r>
    </w:p>
  </w:footnote>
  <w:footnote w:id="33">
    <w:p w:rsidR="00252869" w:rsidRPr="001B4EC1" w:rsidRDefault="00252869">
      <w:pPr>
        <w:pStyle w:val="Fotnotstext"/>
      </w:pPr>
      <w:r w:rsidRPr="001B4EC1">
        <w:rPr>
          <w:rStyle w:val="Fotnotsreferens"/>
        </w:rPr>
        <w:footnoteRef/>
      </w:r>
      <w:r w:rsidRPr="001B4EC1">
        <w:t xml:space="preserve"> 2516:e mötet, jordbruk och fiske (10272/03 [Presse 164]). Den italienska delegati</w:t>
      </w:r>
      <w:r w:rsidRPr="001B4EC1">
        <w:t>o</w:t>
      </w:r>
      <w:r w:rsidRPr="001B4EC1">
        <w:t xml:space="preserve">nen röstade emot rekommendationen. </w:t>
      </w:r>
    </w:p>
  </w:footnote>
  <w:footnote w:id="34">
    <w:p w:rsidR="00252869" w:rsidRPr="001B4EC1" w:rsidRDefault="00252869">
      <w:pPr>
        <w:pStyle w:val="Fotnotstext"/>
      </w:pPr>
      <w:r w:rsidRPr="001B4EC1">
        <w:rPr>
          <w:rStyle w:val="Fotnotsreferens"/>
        </w:rPr>
        <w:footnoteRef/>
      </w:r>
      <w:r w:rsidRPr="001B4EC1">
        <w:t xml:space="preserve"> 2470:e mötet, sysselsättning och socialpolitik, hälso- och sjukvård, konsumentfrågor (14892/02 [Presse 376]). Den italienska delegationen antecknades inte kunna stödja riktlinjen. De tyska, luxemburgska och nederländska delegationerna gjorde ett separat uttalande till rådets protokoll om användningen av injektionsrum för att kroniskt sjuka narkotikamissbrukare skulle kunna nås av hälsovårdsinrättningar och för att det skall kunna inledas en rehabiliteringsprocess. </w:t>
      </w:r>
    </w:p>
  </w:footnote>
  <w:footnote w:id="35">
    <w:p w:rsidR="00252869" w:rsidRPr="001B4EC1" w:rsidRDefault="00252869">
      <w:pPr>
        <w:pStyle w:val="Fotnotstext"/>
      </w:pPr>
      <w:r w:rsidRPr="001B4EC1">
        <w:rPr>
          <w:rStyle w:val="Fotnotsreferens"/>
        </w:rPr>
        <w:footnoteRef/>
      </w:r>
      <w:r w:rsidRPr="001B4EC1">
        <w:t xml:space="preserve"> KOM(2002) 201 slutlig.</w:t>
      </w:r>
    </w:p>
  </w:footnote>
  <w:footnote w:id="36">
    <w:p w:rsidR="00252869" w:rsidRPr="001B4EC1" w:rsidRDefault="00252869">
      <w:pPr>
        <w:pStyle w:val="Fotnotstext"/>
      </w:pPr>
      <w:r w:rsidRPr="001B4EC1">
        <w:rPr>
          <w:rStyle w:val="Fotnotsreferens"/>
        </w:rPr>
        <w:footnoteRef/>
      </w:r>
      <w:r w:rsidRPr="001B4EC1">
        <w:t xml:space="preserve"> Rådets rekommendation av den 18 juni 2003 om förebyggande och begränsning av hälsorelaterade skador i samband med narkotikamissbruk, EUT L 165, 3.7.2003, s. 31.</w:t>
      </w:r>
    </w:p>
  </w:footnote>
  <w:footnote w:id="37">
    <w:p w:rsidR="00252869" w:rsidRPr="001B4EC1" w:rsidRDefault="00252869">
      <w:pPr>
        <w:pStyle w:val="Fotnotstext"/>
      </w:pPr>
      <w:r w:rsidRPr="001B4EC1">
        <w:rPr>
          <w:rStyle w:val="Fotnotsreferens"/>
        </w:rPr>
        <w:footnoteRef/>
      </w:r>
      <w:r w:rsidRPr="001B4EC1">
        <w:t xml:space="preserve"> Dvs. det s.k. medbeslutandeförfarandet. </w:t>
      </w:r>
    </w:p>
  </w:footnote>
  <w:footnote w:id="38">
    <w:p w:rsidR="00252869" w:rsidRPr="001B4EC1" w:rsidRDefault="00252869">
      <w:pPr>
        <w:pStyle w:val="Fotnotstext"/>
      </w:pPr>
      <w:r w:rsidRPr="001B4EC1">
        <w:rPr>
          <w:rStyle w:val="Fotnotsreferens"/>
        </w:rPr>
        <w:footnoteRef/>
      </w:r>
      <w:r w:rsidRPr="001B4EC1">
        <w:t xml:space="preserve"> EUN 2001/02:38 3 § (anf. 123). </w:t>
      </w:r>
    </w:p>
  </w:footnote>
  <w:footnote w:id="39">
    <w:p w:rsidR="00252869" w:rsidRPr="001B4EC1" w:rsidRDefault="00252869">
      <w:pPr>
        <w:pStyle w:val="Fotnotstext"/>
      </w:pPr>
      <w:r w:rsidRPr="001B4EC1">
        <w:rPr>
          <w:rStyle w:val="Fotnotsreferens"/>
        </w:rPr>
        <w:footnoteRef/>
      </w:r>
      <w:r w:rsidRPr="001B4EC1">
        <w:t xml:space="preserve"> EUN 2002/03:8 3 § (anf. 289–301).</w:t>
      </w:r>
    </w:p>
  </w:footnote>
  <w:footnote w:id="40">
    <w:p w:rsidR="00252869" w:rsidRPr="001B4EC1" w:rsidRDefault="00252869">
      <w:pPr>
        <w:pStyle w:val="Fotnotstext"/>
      </w:pPr>
      <w:r w:rsidRPr="001B4EC1">
        <w:rPr>
          <w:rStyle w:val="Fotnotsreferens"/>
        </w:rPr>
        <w:footnoteRef/>
      </w:r>
      <w:r w:rsidRPr="001B4EC1">
        <w:t xml:space="preserve"> Uppgifterna hämtade från kommissionens meddelande 3.6.2003, KOM (2003) 315.</w:t>
      </w:r>
    </w:p>
  </w:footnote>
  <w:footnote w:id="41">
    <w:p w:rsidR="00252869" w:rsidRPr="001B4EC1" w:rsidRDefault="00252869">
      <w:pPr>
        <w:pStyle w:val="Fotnotstext"/>
      </w:pPr>
      <w:r w:rsidRPr="001B4EC1">
        <w:rPr>
          <w:rStyle w:val="Fotnotsreferens"/>
        </w:rPr>
        <w:footnoteRef/>
      </w:r>
      <w:r w:rsidRPr="001B4EC1">
        <w:t xml:space="preserve"> PreLex. </w:t>
      </w:r>
    </w:p>
  </w:footnote>
  <w:footnote w:id="42">
    <w:p w:rsidR="00252869" w:rsidRPr="001B4EC1" w:rsidRDefault="00252869">
      <w:pPr>
        <w:pStyle w:val="Fotnotstext"/>
      </w:pPr>
      <w:r w:rsidRPr="001B4EC1">
        <w:rPr>
          <w:rStyle w:val="Fotnotsreferens"/>
        </w:rPr>
        <w:footnoteRef/>
      </w:r>
      <w:r w:rsidRPr="001B4EC1">
        <w:t xml:space="preserve"> Pres/03/150.</w:t>
      </w:r>
    </w:p>
  </w:footnote>
  <w:footnote w:id="43">
    <w:p w:rsidR="00252869" w:rsidRPr="001B4EC1" w:rsidRDefault="00252869">
      <w:pPr>
        <w:pStyle w:val="Fotnotstext"/>
      </w:pPr>
      <w:r w:rsidRPr="001B4EC1">
        <w:rPr>
          <w:rStyle w:val="Fotnotsreferens"/>
        </w:rPr>
        <w:footnoteRef/>
      </w:r>
      <w:r w:rsidRPr="001B4EC1">
        <w:t xml:space="preserve"> Båda initiativen från UNHCR. </w:t>
      </w:r>
    </w:p>
  </w:footnote>
  <w:footnote w:id="44">
    <w:p w:rsidR="00252869" w:rsidRPr="001B4EC1" w:rsidRDefault="00252869">
      <w:pPr>
        <w:pStyle w:val="Fotnotstext"/>
      </w:pPr>
      <w:r w:rsidRPr="001B4EC1">
        <w:rPr>
          <w:rStyle w:val="Fotnotsreferens"/>
        </w:rPr>
        <w:footnoteRef/>
      </w:r>
      <w:r w:rsidRPr="001B4EC1">
        <w:t xml:space="preserve"> Se slutsatserna från mötet, p. 26.</w:t>
      </w:r>
    </w:p>
  </w:footnote>
  <w:footnote w:id="45">
    <w:p w:rsidR="00252869" w:rsidRPr="001B4EC1" w:rsidRDefault="00252869">
      <w:pPr>
        <w:pStyle w:val="Fotnotstext"/>
      </w:pPr>
      <w:r w:rsidRPr="001B4EC1">
        <w:rPr>
          <w:rStyle w:val="Fotnotsreferens"/>
        </w:rPr>
        <w:footnoteRef/>
      </w:r>
      <w:r w:rsidRPr="001B4EC1">
        <w:t xml:space="preserve"> EUN 2002/03:23 6 § (anf. 156).</w:t>
      </w:r>
    </w:p>
  </w:footnote>
  <w:footnote w:id="46">
    <w:p w:rsidR="00252869" w:rsidRPr="001B4EC1" w:rsidRDefault="00252869">
      <w:pPr>
        <w:pStyle w:val="Fotnotstext"/>
      </w:pPr>
      <w:r w:rsidRPr="001B4EC1">
        <w:rPr>
          <w:rStyle w:val="Fotnotsreferens"/>
        </w:rPr>
        <w:footnoteRef/>
      </w:r>
      <w:r w:rsidRPr="001B4EC1">
        <w:t xml:space="preserve"> Snabbprot. 2002/03:88, 6 § (anf. 86–89). </w:t>
      </w:r>
    </w:p>
  </w:footnote>
  <w:footnote w:id="47">
    <w:p w:rsidR="00252869" w:rsidRPr="001B4EC1" w:rsidRDefault="00252869">
      <w:pPr>
        <w:pStyle w:val="Fotnotstext"/>
      </w:pPr>
      <w:r w:rsidRPr="001B4EC1">
        <w:rPr>
          <w:rStyle w:val="Fotnotsreferens"/>
        </w:rPr>
        <w:footnoteRef/>
      </w:r>
      <w:r w:rsidRPr="001B4EC1">
        <w:t xml:space="preserve"> Snabbprot. 2002/03:112, 24 § anf. 124–130.</w:t>
      </w:r>
    </w:p>
  </w:footnote>
  <w:footnote w:id="48">
    <w:p w:rsidR="00252869" w:rsidRPr="001B4EC1" w:rsidRDefault="00252869">
      <w:pPr>
        <w:pStyle w:val="Fotnotstext"/>
      </w:pPr>
      <w:r w:rsidRPr="001B4EC1">
        <w:rPr>
          <w:rStyle w:val="Fotnotsreferens"/>
        </w:rPr>
        <w:footnoteRef/>
      </w:r>
      <w:r w:rsidRPr="001B4EC1">
        <w:t xml:space="preserve"> EUN 2002/03:27, anf. 81–89.</w:t>
      </w:r>
    </w:p>
  </w:footnote>
  <w:footnote w:id="49">
    <w:p w:rsidR="00252869" w:rsidRPr="001B4EC1" w:rsidRDefault="00252869">
      <w:pPr>
        <w:pStyle w:val="Fotnotstext"/>
      </w:pPr>
      <w:r w:rsidRPr="001B4EC1">
        <w:rPr>
          <w:rStyle w:val="Fotnotsreferens"/>
        </w:rPr>
        <w:footnoteRef/>
      </w:r>
      <w:r w:rsidRPr="001B4EC1">
        <w:t xml:space="preserve"> EUN 2002/03:29, anf. 94 och 108. </w:t>
      </w:r>
    </w:p>
  </w:footnote>
  <w:footnote w:id="50">
    <w:p w:rsidR="00252869" w:rsidRPr="001B4EC1" w:rsidRDefault="00252869">
      <w:pPr>
        <w:pStyle w:val="Fotnotstext"/>
      </w:pPr>
      <w:r w:rsidRPr="001B4EC1">
        <w:rPr>
          <w:rStyle w:val="Fotnotsreferens"/>
        </w:rPr>
        <w:footnoteRef/>
      </w:r>
      <w:r w:rsidRPr="001B4EC1">
        <w:t xml:space="preserve"> EUN 2002/03:30, anf. 2 och 18. </w:t>
      </w:r>
    </w:p>
  </w:footnote>
  <w:footnote w:id="51">
    <w:p w:rsidR="00252869" w:rsidRPr="001B4EC1" w:rsidRDefault="00252869">
      <w:pPr>
        <w:pStyle w:val="Fotnotstext"/>
      </w:pPr>
      <w:r w:rsidRPr="001B4EC1">
        <w:rPr>
          <w:rStyle w:val="Fotnotsreferens"/>
        </w:rPr>
        <w:footnoteRef/>
      </w:r>
      <w:r w:rsidRPr="001B4EC1">
        <w:t xml:space="preserve"> Statsinkomster som beräknas av riksdagen skall redovisas mot inkomsttitlar (9 §).</w:t>
      </w:r>
    </w:p>
  </w:footnote>
  <w:footnote w:id="52">
    <w:p w:rsidR="00252869" w:rsidRPr="001B4EC1" w:rsidRDefault="00252869">
      <w:pPr>
        <w:pStyle w:val="Fotnotstext"/>
      </w:pPr>
      <w:r w:rsidRPr="001B4EC1">
        <w:rPr>
          <w:rStyle w:val="Fotnotsreferens"/>
        </w:rPr>
        <w:footnoteRef/>
      </w:r>
      <w:r w:rsidRPr="001B4EC1">
        <w:t xml:space="preserve"> </w:t>
      </w:r>
      <w:r w:rsidRPr="001B4EC1">
        <w:rPr>
          <w:snapToGrid w:val="0"/>
        </w:rPr>
        <w:t>Avgiften består av tullar, särskilda tullar på jordbruksprodukter och sockeravgifter, mervärdesskattebaserad avgift, avgift beräknad på bruttonationalinkomsten samt avgift för att täcka Storbritanniens budgetreduktion.</w:t>
      </w:r>
    </w:p>
  </w:footnote>
  <w:footnote w:id="53">
    <w:p w:rsidR="00252869" w:rsidRPr="001B4EC1" w:rsidRDefault="00252869">
      <w:pPr>
        <w:pStyle w:val="Fotnotstext"/>
      </w:pPr>
      <w:r w:rsidRPr="001B4EC1">
        <w:rPr>
          <w:rStyle w:val="Fotnotsreferens"/>
        </w:rPr>
        <w:footnoteRef/>
      </w:r>
      <w:r w:rsidRPr="001B4EC1">
        <w:t xml:space="preserve"> För ytterligare diskussion om förhållandet mellan unionsrättens företräde framför nationell rätt, se skrivelse 2003/04:13 (s. 15) och betänkande 2003/04:KUU1 (s. 50 f.).</w:t>
      </w:r>
    </w:p>
  </w:footnote>
  <w:footnote w:id="54">
    <w:p w:rsidR="00252869" w:rsidRPr="001B4EC1" w:rsidRDefault="00252869">
      <w:pPr>
        <w:pStyle w:val="Fotnotstext"/>
      </w:pPr>
      <w:r w:rsidRPr="001B4EC1">
        <w:rPr>
          <w:rStyle w:val="Fotnotsreferens"/>
        </w:rPr>
        <w:footnoteRef/>
      </w:r>
      <w:r w:rsidRPr="001B4EC1">
        <w:t xml:space="preserve"> Mål 70/86 </w:t>
      </w:r>
      <w:r w:rsidRPr="001B4EC1">
        <w:rPr>
          <w:i/>
        </w:rPr>
        <w:t>Commission v. Greece</w:t>
      </w:r>
      <w:r w:rsidRPr="001B4EC1">
        <w:t xml:space="preserve"> ECR [1987] 3545, där Grekland inte betalade BNI-avgiften och senare dröjsmålsränta i tid. Domstolen gick på kommissionens linje och ansåg att strejken vid grekiska nationalbanken inte var ett tillräckligt skäl för att Gre</w:t>
      </w:r>
      <w:r w:rsidRPr="001B4EC1">
        <w:t>k</w:t>
      </w:r>
      <w:r w:rsidRPr="001B4EC1">
        <w:t>land skulle kunna åsidosätta sina skyldigheter gentemot gemenskapen.</w:t>
      </w:r>
    </w:p>
  </w:footnote>
  <w:footnote w:id="55">
    <w:p w:rsidR="00252869" w:rsidRPr="001B4EC1" w:rsidRDefault="00252869">
      <w:pPr>
        <w:pStyle w:val="Fotnotstext"/>
      </w:pPr>
      <w:r w:rsidRPr="001B4EC1">
        <w:rPr>
          <w:rStyle w:val="Fotnotsreferens"/>
        </w:rPr>
        <w:footnoteRef/>
      </w:r>
      <w:r w:rsidRPr="001B4EC1">
        <w:t xml:space="preserve"> </w:t>
      </w:r>
      <w:r w:rsidRPr="001B4EC1">
        <w:rPr>
          <w:snapToGrid w:val="0"/>
        </w:rPr>
        <w:t xml:space="preserve"> </w:t>
      </w:r>
      <w:r w:rsidRPr="001B4EC1">
        <w:t xml:space="preserve">Eftersom det finns </w:t>
      </w:r>
      <w:r w:rsidRPr="001B4EC1">
        <w:rPr>
          <w:snapToGrid w:val="0"/>
        </w:rPr>
        <w:t>ett antal praktiska svårigheter med denna beräkningsmetod och för att få till stånd en mer samordnad tillämpning av dröjsmålsräntor inom euroområdet har kommissionen föreslagit att de 12 medlemsstater som redan deltar i EMU liksom de som kan komma att delta i ett senare skede alla skall utgå från den ränta som Eur</w:t>
      </w:r>
      <w:r w:rsidRPr="001B4EC1">
        <w:rPr>
          <w:snapToGrid w:val="0"/>
        </w:rPr>
        <w:t>o</w:t>
      </w:r>
      <w:r w:rsidRPr="001B4EC1">
        <w:rPr>
          <w:snapToGrid w:val="0"/>
        </w:rPr>
        <w:t>peiska centralbanken tillämpar vid sina huvudsakliga refinansieringstransaktioner (KOM (2003) 366). Denna räntesats offentliggörs månatligen i C-serien i EU:s offic</w:t>
      </w:r>
      <w:r w:rsidRPr="001B4EC1">
        <w:rPr>
          <w:snapToGrid w:val="0"/>
        </w:rPr>
        <w:t>i</w:t>
      </w:r>
      <w:r w:rsidRPr="001B4EC1">
        <w:rPr>
          <w:snapToGrid w:val="0"/>
        </w:rPr>
        <w:t>ella tidni</w:t>
      </w:r>
      <w:r w:rsidRPr="001B4EC1">
        <w:rPr>
          <w:snapToGrid w:val="0"/>
        </w:rPr>
        <w:t>ng. För de medlemsstater som inte deltar i EMU föreslås att den räntesats som den nationella centralbanken tillämpar vid sina huvudsakliga refinansieringstransakti</w:t>
      </w:r>
      <w:r w:rsidRPr="001B4EC1">
        <w:rPr>
          <w:snapToGrid w:val="0"/>
        </w:rPr>
        <w:t>o</w:t>
      </w:r>
      <w:r w:rsidRPr="001B4EC1">
        <w:rPr>
          <w:snapToGrid w:val="0"/>
        </w:rPr>
        <w:t>ner skall användas som basräntesats.</w:t>
      </w:r>
    </w:p>
  </w:footnote>
  <w:footnote w:id="56">
    <w:p w:rsidR="00252869" w:rsidRPr="001B4EC1" w:rsidRDefault="00252869">
      <w:pPr>
        <w:pStyle w:val="Fotnotstext"/>
      </w:pPr>
      <w:r w:rsidRPr="001B4EC1">
        <w:rPr>
          <w:rStyle w:val="Fotnotsreferens"/>
        </w:rPr>
        <w:footnoteRef/>
      </w:r>
      <w:r w:rsidRPr="001B4EC1">
        <w:t xml:space="preserve"> </w:t>
      </w:r>
      <w:r w:rsidRPr="001B4EC1">
        <w:rPr>
          <w:spacing w:val="-2"/>
          <w:kern w:val="2"/>
        </w:rPr>
        <w:t>Frågor om statens upplåning regleras i</w:t>
      </w:r>
      <w:r w:rsidRPr="001B4EC1">
        <w:t xml:space="preserve"> lagen (1988:1387) om statens upplåning och skuldförvaltning. Enligt 1 § får regeringen eller, efter regeringens bestämmande, Rik</w:t>
      </w:r>
      <w:r w:rsidRPr="001B4EC1">
        <w:t>s</w:t>
      </w:r>
      <w:r w:rsidRPr="001B4EC1">
        <w:t>gäldskontoret efter särskilt bemyndigande som lämnas för ett budgetår i sänder ta upp lån till staten för att finansiera löpande underskott i statsbudgeten och andra utgifter som grundar sig på riksdagens beslut, tillhandahålla sådana krediter och fullgöra såd</w:t>
      </w:r>
      <w:r w:rsidRPr="001B4EC1">
        <w:t>a</w:t>
      </w:r>
      <w:r w:rsidRPr="001B4EC1">
        <w:t>na garantier som riksdagen beslutat om, amortera, lösa in och köpa upp statslån, s</w:t>
      </w:r>
      <w:r w:rsidRPr="001B4EC1">
        <w:t>amt tillgodose Riksbankens behov av valutareserv.</w:t>
      </w:r>
    </w:p>
  </w:footnote>
  <w:footnote w:id="57">
    <w:p w:rsidR="00252869" w:rsidRPr="001B4EC1" w:rsidRDefault="00252869">
      <w:pPr>
        <w:pStyle w:val="Fotnotstext"/>
      </w:pPr>
      <w:r w:rsidRPr="001B4EC1">
        <w:rPr>
          <w:rStyle w:val="Fotnotsreferens"/>
        </w:rPr>
        <w:footnoteRef/>
      </w:r>
      <w:r w:rsidRPr="001B4EC1">
        <w:t xml:space="preserve"> Offentlig upphandling – En handbok, (s. 6:2 f. ) av Lena Hellgren och Ulf Palm, Norstedt Juridik AB.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Jmn"/>
      <w:framePr w:w="8732" w:h="567" w:hRule="exact" w:vSpace="0" w:wrap="around" w:vAnchor="page" w:y="341" w:anchorLock="0"/>
    </w:pPr>
    <w:r w:rsidRPr="001B4EC1">
      <w:rPr>
        <w:rStyle w:val="SidhuvudUtskott"/>
      </w:rPr>
      <w:t>2003/04:KU20</w:t>
    </w:r>
    <w:r w:rsidRPr="001B4EC1">
      <w:t xml:space="preserve">     </w:t>
    </w:r>
    <w:r w:rsidRPr="001B4EC1">
      <w:rPr>
        <w:rStyle w:val="SidhuvudBilaga"/>
      </w:rPr>
      <w:t xml:space="preserve"> </w:t>
    </w:r>
    <w:r w:rsidRPr="001B4EC1">
      <w:rPr>
        <w:rStyle w:val="SidhuvudRubrikReferens"/>
      </w:rPr>
      <w:t>Sammanfattning</w:t>
    </w:r>
  </w:p>
  <w:p w:rsidR="00252869" w:rsidRPr="001B4EC1" w:rsidRDefault="00252869">
    <w:pPr>
      <w:pStyle w:val="SidhuvudKantJmn"/>
      <w:framePr w:w="8732" w:h="567" w:hRule="exact" w:vSpace="0" w:wrap="around" w:vAnchor="page" w:y="341" w:anchorLock="0"/>
    </w:pPr>
  </w:p>
  <w:p w:rsidR="00252869" w:rsidRPr="001B4EC1" w:rsidRDefault="0025286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Jmn"/>
      <w:framePr w:w="8732" w:h="567" w:hRule="exact" w:vSpace="0" w:wrap="around" w:vAnchor="page" w:y="341" w:anchorLock="0"/>
    </w:pPr>
    <w:r w:rsidRPr="001B4EC1">
      <w:rPr>
        <w:rStyle w:val="SidhuvudUtskott"/>
      </w:rPr>
      <w:t>2003/04:KU20</w:t>
    </w:r>
    <w:r w:rsidRPr="001B4EC1">
      <w:t xml:space="preserve">     </w:t>
    </w:r>
    <w:r w:rsidRPr="001B4EC1">
      <w:rPr>
        <w:rStyle w:val="SidhuvudBilaga"/>
      </w:rPr>
      <w:t xml:space="preserve"> </w:t>
    </w:r>
    <w:r w:rsidRPr="001B4EC1">
      <w:rPr>
        <w:rStyle w:val="SidhuvudRubrikReferens"/>
      </w:rPr>
      <w:t>1 Regeringens förhållande till riksdagen</w:t>
    </w:r>
  </w:p>
  <w:p w:rsidR="00252869" w:rsidRPr="001B4EC1" w:rsidRDefault="00252869">
    <w:pPr>
      <w:pStyle w:val="SidhuvudKantJmn"/>
      <w:framePr w:w="8732" w:h="567" w:hRule="exact" w:vSpace="0" w:wrap="around" w:vAnchor="page" w:y="341" w:anchorLock="0"/>
    </w:pPr>
  </w:p>
  <w:p w:rsidR="00252869" w:rsidRPr="001B4EC1" w:rsidRDefault="0025286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Udda"/>
      <w:framePr w:w="8732" w:h="567" w:hRule="exact" w:vSpace="0" w:wrap="around" w:vAnchor="page" w:y="341" w:anchorLock="0"/>
    </w:pPr>
    <w:r w:rsidRPr="001B4EC1">
      <w:rPr>
        <w:rStyle w:val="SidhuvudRubrikReferens"/>
      </w:rPr>
      <w:t>1 Regeringens förhållande till riksdagen</w:t>
    </w:r>
    <w:r w:rsidRPr="001B4EC1">
      <w:rPr>
        <w:rStyle w:val="SidhuvudBilaga"/>
      </w:rPr>
      <w:t xml:space="preserve"> </w:t>
    </w:r>
    <w:r w:rsidRPr="001B4EC1">
      <w:t xml:space="preserve">     </w:t>
    </w:r>
    <w:r w:rsidRPr="001B4EC1">
      <w:rPr>
        <w:rStyle w:val="SidhuvudUtskott"/>
      </w:rPr>
      <w:t>2003/04:KU20</w:t>
    </w:r>
  </w:p>
  <w:p w:rsidR="00252869" w:rsidRPr="001B4EC1" w:rsidRDefault="00252869">
    <w:pPr>
      <w:pStyle w:val="SidhuvudKantUdda"/>
      <w:framePr w:w="8732" w:h="567" w:hRule="exact" w:vSpace="0" w:wrap="around" w:vAnchor="page" w:y="341" w:anchorLock="0"/>
    </w:pPr>
  </w:p>
  <w:p w:rsidR="00252869" w:rsidRPr="001B4EC1" w:rsidRDefault="0025286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Udda"/>
      <w:framePr w:w="8732" w:h="567" w:hRule="exact" w:vSpace="0" w:wrap="around" w:vAnchor="page" w:y="341" w:anchorLock="0"/>
    </w:pPr>
    <w:r w:rsidRPr="001B4EC1">
      <w:t xml:space="preserve">  </w:t>
    </w:r>
    <w:r w:rsidRPr="001B4EC1">
      <w:rPr>
        <w:rStyle w:val="SidhuvudUtskott"/>
      </w:rPr>
      <w:t>2003/04:KU20</w:t>
    </w:r>
  </w:p>
  <w:p w:rsidR="00252869" w:rsidRPr="001B4EC1" w:rsidRDefault="00252869">
    <w:pPr>
      <w:pStyle w:val="SidhuvudKantUdda"/>
      <w:framePr w:w="8732" w:h="567" w:hRule="exact" w:vSpace="0" w:wrap="around" w:vAnchor="page" w:y="341" w:anchorLock="0"/>
    </w:pPr>
  </w:p>
  <w:p w:rsidR="00252869" w:rsidRPr="001B4EC1" w:rsidRDefault="0025286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Jmn"/>
      <w:framePr w:w="8732" w:h="567" w:hRule="exact" w:vSpace="0" w:wrap="around" w:vAnchor="page" w:y="341" w:anchorLock="0"/>
    </w:pPr>
    <w:r w:rsidRPr="001B4EC1">
      <w:rPr>
        <w:rStyle w:val="SidhuvudUtskott"/>
      </w:rPr>
      <w:t>2003/04:KU20</w:t>
    </w:r>
    <w:r w:rsidRPr="001B4EC1">
      <w:t xml:space="preserve">     </w:t>
    </w:r>
    <w:r w:rsidRPr="001B4EC1">
      <w:rPr>
        <w:rStyle w:val="SidhuvudBilaga"/>
      </w:rPr>
      <w:t xml:space="preserve"> </w:t>
    </w:r>
    <w:r w:rsidRPr="001B4EC1">
      <w:rPr>
        <w:rStyle w:val="SidhuvudRubrikReferens"/>
      </w:rPr>
      <w:t>2 Vissa frågor med anknytning till statsbudgeten</w:t>
    </w:r>
  </w:p>
  <w:p w:rsidR="00252869" w:rsidRPr="001B4EC1" w:rsidRDefault="00252869">
    <w:pPr>
      <w:pStyle w:val="SidhuvudKantJmn"/>
      <w:framePr w:w="8732" w:h="567" w:hRule="exact" w:vSpace="0" w:wrap="around" w:vAnchor="page" w:y="341" w:anchorLock="0"/>
    </w:pPr>
  </w:p>
  <w:p w:rsidR="00252869" w:rsidRPr="001B4EC1" w:rsidRDefault="0025286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Udda"/>
      <w:framePr w:w="8732" w:h="567" w:hRule="exact" w:vSpace="0" w:wrap="around" w:vAnchor="page" w:y="341" w:anchorLock="0"/>
    </w:pPr>
    <w:r w:rsidRPr="001B4EC1">
      <w:rPr>
        <w:rStyle w:val="SidhuvudRubrikReferens"/>
      </w:rPr>
      <w:t>2 Vissa frågor med anknytning till statsbudgeten</w:t>
    </w:r>
    <w:r w:rsidRPr="001B4EC1">
      <w:rPr>
        <w:rStyle w:val="SidhuvudBilaga"/>
      </w:rPr>
      <w:t xml:space="preserve"> </w:t>
    </w:r>
    <w:r w:rsidRPr="001B4EC1">
      <w:t xml:space="preserve">     </w:t>
    </w:r>
    <w:r w:rsidRPr="001B4EC1">
      <w:rPr>
        <w:rStyle w:val="SidhuvudUtskott"/>
      </w:rPr>
      <w:t>2003/04:KU20</w:t>
    </w:r>
  </w:p>
  <w:p w:rsidR="00252869" w:rsidRPr="001B4EC1" w:rsidRDefault="00252869">
    <w:pPr>
      <w:pStyle w:val="SidhuvudKantUdda"/>
      <w:framePr w:w="8732" w:h="567" w:hRule="exact" w:vSpace="0" w:wrap="around" w:vAnchor="page" w:y="341" w:anchorLock="0"/>
    </w:pPr>
  </w:p>
  <w:p w:rsidR="00252869" w:rsidRPr="001B4EC1" w:rsidRDefault="0025286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Udda"/>
      <w:framePr w:w="8732" w:h="567" w:hRule="exact" w:vSpace="0" w:wrap="around" w:vAnchor="page" w:y="341" w:anchorLock="0"/>
    </w:pPr>
    <w:r w:rsidRPr="001B4EC1">
      <w:t xml:space="preserve">  </w:t>
    </w:r>
    <w:r w:rsidRPr="001B4EC1">
      <w:rPr>
        <w:rStyle w:val="SidhuvudUtskott"/>
      </w:rPr>
      <w:t>2003/04:KU20</w:t>
    </w:r>
  </w:p>
  <w:p w:rsidR="00252869" w:rsidRPr="001B4EC1" w:rsidRDefault="00252869">
    <w:pPr>
      <w:pStyle w:val="SidhuvudKantUdda"/>
      <w:framePr w:w="8732" w:h="567" w:hRule="exact" w:vSpace="0" w:wrap="around" w:vAnchor="page" w:y="341" w:anchorLock="0"/>
    </w:pPr>
  </w:p>
  <w:p w:rsidR="00252869" w:rsidRPr="001B4EC1" w:rsidRDefault="0025286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Jmn"/>
      <w:framePr w:w="8732" w:h="567" w:hRule="exact" w:vSpace="0" w:wrap="around" w:vAnchor="page" w:y="341" w:anchorLock="0"/>
    </w:pPr>
    <w:r w:rsidRPr="001B4EC1">
      <w:rPr>
        <w:rStyle w:val="SidhuvudUtskott"/>
      </w:rPr>
      <w:t>2003/04:KU20</w:t>
    </w:r>
    <w:r w:rsidRPr="001B4EC1">
      <w:t xml:space="preserve">     </w:t>
    </w:r>
    <w:r w:rsidRPr="001B4EC1">
      <w:rPr>
        <w:rStyle w:val="SidhuvudBilaga"/>
      </w:rPr>
      <w:t xml:space="preserve"> </w:t>
    </w:r>
    <w:r w:rsidRPr="001B4EC1">
      <w:rPr>
        <w:rStyle w:val="SidhuvudRubrikReferens"/>
      </w:rPr>
      <w:t>3 Handläggningen av vissa regeringsärenden m.m.</w:t>
    </w:r>
  </w:p>
  <w:p w:rsidR="00252869" w:rsidRPr="001B4EC1" w:rsidRDefault="00252869">
    <w:pPr>
      <w:pStyle w:val="SidhuvudKantJmn"/>
      <w:framePr w:w="8732" w:h="567" w:hRule="exact" w:vSpace="0" w:wrap="around" w:vAnchor="page" w:y="341" w:anchorLock="0"/>
    </w:pPr>
  </w:p>
  <w:p w:rsidR="00252869" w:rsidRPr="001B4EC1" w:rsidRDefault="0025286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Udda"/>
      <w:framePr w:w="8732" w:h="567" w:hRule="exact" w:vSpace="0" w:wrap="around" w:vAnchor="page" w:y="341" w:anchorLock="0"/>
    </w:pPr>
    <w:r w:rsidRPr="001B4EC1">
      <w:rPr>
        <w:rStyle w:val="SidhuvudRubrikReferens"/>
      </w:rPr>
      <w:t>3 Handläggningen av vissa regeringsärenden m.m.</w:t>
    </w:r>
    <w:r w:rsidRPr="001B4EC1">
      <w:rPr>
        <w:rStyle w:val="SidhuvudBilaga"/>
      </w:rPr>
      <w:t xml:space="preserve"> </w:t>
    </w:r>
    <w:r w:rsidRPr="001B4EC1">
      <w:t xml:space="preserve">     </w:t>
    </w:r>
    <w:r w:rsidRPr="001B4EC1">
      <w:rPr>
        <w:rStyle w:val="SidhuvudUtskott"/>
      </w:rPr>
      <w:t>2003/04:KU20</w:t>
    </w:r>
  </w:p>
  <w:p w:rsidR="00252869" w:rsidRPr="001B4EC1" w:rsidRDefault="00252869">
    <w:pPr>
      <w:pStyle w:val="SidhuvudKantUdda"/>
      <w:framePr w:w="8732" w:h="567" w:hRule="exact" w:vSpace="0" w:wrap="around" w:vAnchor="page" w:y="341" w:anchorLock="0"/>
    </w:pPr>
  </w:p>
  <w:p w:rsidR="00252869" w:rsidRPr="001B4EC1" w:rsidRDefault="0025286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Jmn"/>
      <w:framePr w:w="8732" w:h="567" w:hRule="exact" w:vSpace="0" w:wrap="around" w:vAnchor="page" w:y="341" w:anchorLock="0"/>
    </w:pPr>
    <w:r w:rsidRPr="001B4EC1">
      <w:rPr>
        <w:rStyle w:val="SidhuvudUtskott"/>
      </w:rPr>
      <w:t>2003/04:KU20</w:t>
    </w:r>
    <w:r w:rsidRPr="001B4EC1">
      <w:t xml:space="preserve">    </w:t>
    </w:r>
  </w:p>
  <w:p w:rsidR="00252869" w:rsidRPr="001B4EC1" w:rsidRDefault="00252869">
    <w:pPr>
      <w:pStyle w:val="SidhuvudKantJmn"/>
      <w:framePr w:w="8732" w:h="567" w:hRule="exact" w:vSpace="0" w:wrap="around" w:vAnchor="page" w:y="341" w:anchorLock="0"/>
    </w:pPr>
  </w:p>
  <w:p w:rsidR="00252869" w:rsidRPr="001B4EC1" w:rsidRDefault="00252869">
    <w:pPr>
      <w:pStyle w:val="SidhuvudKantUdda"/>
      <w:framePr w:w="8732" w:h="567" w:hRule="exact" w:vSpace="0" w:wrap="around" w:vAnchor="page" w:y="341" w:anchorLock="0"/>
    </w:pPr>
    <w:r w:rsidRPr="001B4EC1">
      <w:rPr>
        <w:rStyle w:val="SidhuvudRubrikReferens"/>
        <w:smallCaps w:val="0"/>
        <w:spacing w:val="0"/>
        <w:sz w:val="19"/>
      </w:rPr>
      <w:t xml:space="preserve"> </w:t>
    </w:r>
  </w:p>
  <w:p w:rsidR="00252869" w:rsidRPr="001B4EC1" w:rsidRDefault="0025286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Jmn"/>
      <w:framePr w:w="8732" w:h="567" w:hRule="exact" w:vSpace="0" w:wrap="around" w:vAnchor="page" w:y="341" w:anchorLock="0"/>
    </w:pPr>
    <w:r w:rsidRPr="001B4EC1">
      <w:rPr>
        <w:rStyle w:val="SidhuvudUtskott"/>
      </w:rPr>
      <w:t>2003/04:KU20</w:t>
    </w:r>
    <w:r w:rsidRPr="001B4EC1">
      <w:t xml:space="preserve">     </w:t>
    </w:r>
    <w:r w:rsidRPr="001B4EC1">
      <w:rPr>
        <w:rStyle w:val="SidhuvudBilaga"/>
      </w:rPr>
      <w:t xml:space="preserve"> </w:t>
    </w:r>
    <w:r w:rsidRPr="001B4EC1">
      <w:rPr>
        <w:rStyle w:val="SidhuvudRubrikReferens"/>
      </w:rPr>
      <w:t>4 Vissa frågor rörande statsministern</w:t>
    </w:r>
  </w:p>
  <w:p w:rsidR="00252869" w:rsidRPr="001B4EC1" w:rsidRDefault="00252869">
    <w:pPr>
      <w:pStyle w:val="SidhuvudKantJmn"/>
      <w:framePr w:w="8732" w:h="567" w:hRule="exact" w:vSpace="0" w:wrap="around" w:vAnchor="page" w:y="341" w:anchorLock="0"/>
    </w:pPr>
  </w:p>
  <w:p w:rsidR="00252869" w:rsidRPr="001B4EC1" w:rsidRDefault="0025286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Udda"/>
      <w:framePr w:w="8732" w:h="567" w:hRule="exact" w:vSpace="0" w:wrap="around" w:vAnchor="page" w:y="341" w:anchorLock="0"/>
    </w:pPr>
    <w:r w:rsidRPr="001B4EC1">
      <w:rPr>
        <w:rStyle w:val="SidhuvudRubrikReferens"/>
      </w:rPr>
      <w:t>Sammanfattning</w:t>
    </w:r>
    <w:r w:rsidRPr="001B4EC1">
      <w:rPr>
        <w:rStyle w:val="SidhuvudBilaga"/>
      </w:rPr>
      <w:t xml:space="preserve"> </w:t>
    </w:r>
    <w:r w:rsidRPr="001B4EC1">
      <w:t xml:space="preserve">     </w:t>
    </w:r>
    <w:r w:rsidRPr="001B4EC1">
      <w:rPr>
        <w:rStyle w:val="SidhuvudUtskott"/>
      </w:rPr>
      <w:t>2003/04:KU20</w:t>
    </w:r>
  </w:p>
  <w:p w:rsidR="00252869" w:rsidRPr="001B4EC1" w:rsidRDefault="00252869">
    <w:pPr>
      <w:pStyle w:val="SidhuvudKantUdda"/>
      <w:framePr w:w="8732" w:h="567" w:hRule="exact" w:vSpace="0" w:wrap="around" w:vAnchor="page" w:y="341" w:anchorLock="0"/>
    </w:pPr>
  </w:p>
  <w:p w:rsidR="00252869" w:rsidRPr="001B4EC1" w:rsidRDefault="0025286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Udda"/>
      <w:framePr w:w="8732" w:h="567" w:hRule="exact" w:vSpace="0" w:wrap="around" w:vAnchor="page" w:y="341" w:anchorLock="0"/>
    </w:pPr>
    <w:r w:rsidRPr="001B4EC1">
      <w:rPr>
        <w:rStyle w:val="SidhuvudRubrikReferens"/>
      </w:rPr>
      <w:t>4 Vissa frågor rörande statsministern</w:t>
    </w:r>
    <w:r w:rsidRPr="001B4EC1">
      <w:rPr>
        <w:rStyle w:val="SidhuvudBilaga"/>
      </w:rPr>
      <w:t xml:space="preserve"> </w:t>
    </w:r>
    <w:r w:rsidRPr="001B4EC1">
      <w:t xml:space="preserve">     </w:t>
    </w:r>
    <w:r w:rsidRPr="001B4EC1">
      <w:rPr>
        <w:rStyle w:val="SidhuvudUtskott"/>
      </w:rPr>
      <w:t>2003/04:KU20</w:t>
    </w:r>
  </w:p>
  <w:p w:rsidR="00252869" w:rsidRPr="001B4EC1" w:rsidRDefault="00252869">
    <w:pPr>
      <w:pStyle w:val="SidhuvudKantUdda"/>
      <w:framePr w:w="8732" w:h="567" w:hRule="exact" w:vSpace="0" w:wrap="around" w:vAnchor="page" w:y="341" w:anchorLock="0"/>
    </w:pPr>
  </w:p>
  <w:p w:rsidR="00252869" w:rsidRPr="001B4EC1" w:rsidRDefault="0025286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Udda"/>
      <w:framePr w:w="8732" w:h="567" w:hRule="exact" w:vSpace="0" w:wrap="around" w:vAnchor="page" w:y="341" w:anchorLock="0"/>
    </w:pPr>
    <w:r w:rsidRPr="001B4EC1">
      <w:t xml:space="preserve">  </w:t>
    </w:r>
    <w:r w:rsidRPr="001B4EC1">
      <w:rPr>
        <w:rStyle w:val="SidhuvudUtskott"/>
      </w:rPr>
      <w:t>2003/04:KU20</w:t>
    </w:r>
  </w:p>
  <w:p w:rsidR="00252869" w:rsidRPr="001B4EC1" w:rsidRDefault="00252869">
    <w:pPr>
      <w:pStyle w:val="SidhuvudKantUdda"/>
      <w:framePr w:w="8732" w:h="567" w:hRule="exact" w:vSpace="0" w:wrap="around" w:vAnchor="page" w:y="341" w:anchorLock="0"/>
    </w:pPr>
  </w:p>
  <w:p w:rsidR="00252869" w:rsidRPr="001B4EC1" w:rsidRDefault="0025286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Jmn"/>
      <w:framePr w:w="8732" w:h="567" w:hRule="exact" w:vSpace="0" w:wrap="around" w:vAnchor="page" w:y="341" w:anchorLock="0"/>
    </w:pPr>
    <w:r w:rsidRPr="001B4EC1">
      <w:rPr>
        <w:rStyle w:val="SidhuvudUtskott"/>
      </w:rPr>
      <w:t>2003/04:KU20</w:t>
    </w:r>
    <w:r w:rsidRPr="001B4EC1">
      <w:t xml:space="preserve">     </w:t>
    </w:r>
    <w:r w:rsidRPr="001B4EC1">
      <w:rPr>
        <w:rStyle w:val="SidhuvudBilaga"/>
      </w:rPr>
      <w:t xml:space="preserve"> </w:t>
    </w:r>
    <w:r w:rsidRPr="001B4EC1">
      <w:rPr>
        <w:rStyle w:val="SidhuvudRubrikReferens"/>
      </w:rPr>
      <w:t>5 Vissa uttalanden av statsråd</w:t>
    </w:r>
  </w:p>
  <w:p w:rsidR="00252869" w:rsidRPr="001B4EC1" w:rsidRDefault="00252869">
    <w:pPr>
      <w:pStyle w:val="SidhuvudKantJmn"/>
      <w:framePr w:w="8732" w:h="567" w:hRule="exact" w:vSpace="0" w:wrap="around" w:vAnchor="page" w:y="341" w:anchorLock="0"/>
    </w:pPr>
  </w:p>
  <w:p w:rsidR="00252869" w:rsidRPr="001B4EC1" w:rsidRDefault="0025286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Udda"/>
      <w:framePr w:w="8732" w:h="567" w:hRule="exact" w:vSpace="0" w:wrap="around" w:vAnchor="page" w:y="341" w:anchorLock="0"/>
    </w:pPr>
    <w:r w:rsidRPr="001B4EC1">
      <w:rPr>
        <w:rStyle w:val="SidhuvudRubrikReferens"/>
      </w:rPr>
      <w:t>5 Vissa uttalanden av statsråd</w:t>
    </w:r>
    <w:r w:rsidRPr="001B4EC1">
      <w:rPr>
        <w:rStyle w:val="SidhuvudBilaga"/>
      </w:rPr>
      <w:t xml:space="preserve"> </w:t>
    </w:r>
    <w:r w:rsidRPr="001B4EC1">
      <w:t xml:space="preserve">     </w:t>
    </w:r>
    <w:r w:rsidRPr="001B4EC1">
      <w:rPr>
        <w:rStyle w:val="SidhuvudUtskott"/>
      </w:rPr>
      <w:t>2003/04:KU20</w:t>
    </w:r>
  </w:p>
  <w:p w:rsidR="00252869" w:rsidRPr="001B4EC1" w:rsidRDefault="00252869">
    <w:pPr>
      <w:pStyle w:val="SidhuvudKantUdda"/>
      <w:framePr w:w="8732" w:h="567" w:hRule="exact" w:vSpace="0" w:wrap="around" w:vAnchor="page" w:y="341" w:anchorLock="0"/>
    </w:pPr>
  </w:p>
  <w:p w:rsidR="00252869" w:rsidRPr="001B4EC1" w:rsidRDefault="0025286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Udda"/>
      <w:framePr w:w="8732" w:h="567" w:hRule="exact" w:vSpace="0" w:wrap="around" w:vAnchor="page" w:y="341" w:anchorLock="0"/>
    </w:pPr>
    <w:r w:rsidRPr="001B4EC1">
      <w:t xml:space="preserve">  </w:t>
    </w:r>
    <w:r w:rsidRPr="001B4EC1">
      <w:rPr>
        <w:rStyle w:val="SidhuvudUtskott"/>
      </w:rPr>
      <w:t>2003/04:KU20</w:t>
    </w:r>
  </w:p>
  <w:p w:rsidR="00252869" w:rsidRPr="001B4EC1" w:rsidRDefault="00252869">
    <w:pPr>
      <w:pStyle w:val="SidhuvudKantUdda"/>
      <w:framePr w:w="8732" w:h="567" w:hRule="exact" w:vSpace="0" w:wrap="around" w:vAnchor="page" w:y="341" w:anchorLock="0"/>
    </w:pPr>
  </w:p>
  <w:p w:rsidR="00252869" w:rsidRPr="001B4EC1" w:rsidRDefault="00252869">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Jmn"/>
      <w:framePr w:w="8732" w:h="567" w:hRule="exact" w:vSpace="0" w:wrap="around" w:vAnchor="page" w:y="341" w:anchorLock="0"/>
    </w:pPr>
    <w:r w:rsidRPr="001B4EC1">
      <w:rPr>
        <w:rStyle w:val="SidhuvudUtskott"/>
      </w:rPr>
      <w:t>2003/04:KU20</w:t>
    </w:r>
    <w:r w:rsidRPr="001B4EC1">
      <w:t xml:space="preserve">     </w:t>
    </w:r>
    <w:r w:rsidRPr="001B4EC1">
      <w:rPr>
        <w:rStyle w:val="SidhuvudBilaga"/>
      </w:rPr>
      <w:t xml:space="preserve"> </w:t>
    </w:r>
    <w:r w:rsidRPr="001B4EC1">
      <w:rPr>
        <w:rStyle w:val="SidhuvudRubrikReferens"/>
      </w:rPr>
      <w:t>6 Vissa frågor med anknytning till Irakkriget</w:t>
    </w:r>
  </w:p>
  <w:p w:rsidR="00252869" w:rsidRPr="001B4EC1" w:rsidRDefault="00252869">
    <w:pPr>
      <w:pStyle w:val="SidhuvudKantJmn"/>
      <w:framePr w:w="8732" w:h="567" w:hRule="exact" w:vSpace="0" w:wrap="around" w:vAnchor="page" w:y="341" w:anchorLock="0"/>
    </w:pPr>
  </w:p>
  <w:p w:rsidR="00252869" w:rsidRPr="001B4EC1" w:rsidRDefault="00252869">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Udda"/>
      <w:framePr w:w="8732" w:h="567" w:hRule="exact" w:vSpace="0" w:wrap="around" w:vAnchor="page" w:y="341" w:anchorLock="0"/>
    </w:pPr>
    <w:r w:rsidRPr="001B4EC1">
      <w:rPr>
        <w:rStyle w:val="SidhuvudRubrikReferens"/>
      </w:rPr>
      <w:t>6 Vissa frågor med anknytning till Irakkriget</w:t>
    </w:r>
    <w:r w:rsidRPr="001B4EC1">
      <w:rPr>
        <w:rStyle w:val="SidhuvudBilaga"/>
      </w:rPr>
      <w:t xml:space="preserve"> </w:t>
    </w:r>
    <w:r w:rsidRPr="001B4EC1">
      <w:t xml:space="preserve">     </w:t>
    </w:r>
    <w:r w:rsidRPr="001B4EC1">
      <w:rPr>
        <w:rStyle w:val="SidhuvudUtskott"/>
      </w:rPr>
      <w:t>2003/04:KU20</w:t>
    </w:r>
  </w:p>
  <w:p w:rsidR="00252869" w:rsidRPr="001B4EC1" w:rsidRDefault="00252869">
    <w:pPr>
      <w:pStyle w:val="SidhuvudKantUdda"/>
      <w:framePr w:w="8732" w:h="567" w:hRule="exact" w:vSpace="0" w:wrap="around" w:vAnchor="page" w:y="341" w:anchorLock="0"/>
    </w:pPr>
  </w:p>
  <w:p w:rsidR="00252869" w:rsidRPr="001B4EC1" w:rsidRDefault="00252869">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Jmn"/>
      <w:framePr w:w="8732" w:h="567" w:hRule="exact" w:vSpace="0" w:wrap="around" w:vAnchor="page" w:y="341" w:anchorLock="0"/>
    </w:pPr>
    <w:r w:rsidRPr="001B4EC1">
      <w:rPr>
        <w:rStyle w:val="SidhuvudUtskott"/>
      </w:rPr>
      <w:t>2003/04:KU20</w:t>
    </w:r>
    <w:r w:rsidRPr="001B4EC1">
      <w:t xml:space="preserve">    </w:t>
    </w:r>
  </w:p>
  <w:p w:rsidR="00252869" w:rsidRPr="001B4EC1" w:rsidRDefault="00252869">
    <w:pPr>
      <w:pStyle w:val="SidhuvudKantJmn"/>
      <w:framePr w:w="8732" w:h="567" w:hRule="exact" w:vSpace="0" w:wrap="around" w:vAnchor="page" w:y="341" w:anchorLock="0"/>
    </w:pPr>
  </w:p>
  <w:p w:rsidR="00252869" w:rsidRPr="001B4EC1" w:rsidRDefault="00252869">
    <w:pPr>
      <w:pStyle w:val="SidhuvudKantUdda"/>
      <w:framePr w:w="8732" w:h="567" w:hRule="exact" w:vSpace="0" w:wrap="around" w:vAnchor="page" w:y="341" w:anchorLock="0"/>
    </w:pPr>
    <w:r w:rsidRPr="001B4EC1">
      <w:rPr>
        <w:rStyle w:val="SidhuvudRubrikReferens"/>
        <w:smallCaps w:val="0"/>
        <w:spacing w:val="0"/>
        <w:sz w:val="19"/>
      </w:rPr>
      <w:t xml:space="preserve"> </w:t>
    </w:r>
  </w:p>
  <w:p w:rsidR="00252869" w:rsidRPr="001B4EC1" w:rsidRDefault="00252869">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Jmn"/>
      <w:framePr w:w="8732" w:h="567" w:hRule="exact" w:vSpace="0" w:wrap="around" w:vAnchor="page" w:y="341" w:anchorLock="0"/>
    </w:pPr>
    <w:r w:rsidRPr="001B4EC1">
      <w:rPr>
        <w:rStyle w:val="SidhuvudUtskott"/>
      </w:rPr>
      <w:t>2003/04:KU20</w:t>
    </w:r>
    <w:r w:rsidRPr="001B4EC1">
      <w:t xml:space="preserve">     </w:t>
    </w:r>
    <w:r w:rsidRPr="001B4EC1">
      <w:rPr>
        <w:rStyle w:val="SidhuvudBilaga"/>
      </w:rPr>
      <w:t xml:space="preserve"> </w:t>
    </w:r>
    <w:r w:rsidRPr="001B4EC1">
      <w:rPr>
        <w:rStyle w:val="SidhuvudRubrikReferens"/>
      </w:rPr>
      <w:t>Reservationer</w:t>
    </w:r>
  </w:p>
  <w:p w:rsidR="00252869" w:rsidRPr="001B4EC1" w:rsidRDefault="00252869">
    <w:pPr>
      <w:pStyle w:val="SidhuvudKantJmn"/>
      <w:framePr w:w="8732" w:h="567" w:hRule="exact" w:vSpace="0" w:wrap="around" w:vAnchor="page" w:y="341" w:anchorLock="0"/>
    </w:pPr>
  </w:p>
  <w:p w:rsidR="00252869" w:rsidRPr="001B4EC1" w:rsidRDefault="00252869">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Udda"/>
      <w:framePr w:w="8732" w:h="567" w:hRule="exact" w:vSpace="0" w:wrap="around" w:vAnchor="page" w:y="341" w:anchorLock="0"/>
    </w:pPr>
    <w:r w:rsidRPr="001B4EC1">
      <w:rPr>
        <w:rStyle w:val="SidhuvudRubrikReferens"/>
      </w:rPr>
      <w:t>Reservationer</w:t>
    </w:r>
    <w:r w:rsidRPr="001B4EC1">
      <w:rPr>
        <w:rStyle w:val="SidhuvudBilaga"/>
      </w:rPr>
      <w:t xml:space="preserve"> </w:t>
    </w:r>
    <w:r w:rsidRPr="001B4EC1">
      <w:t xml:space="preserve">     </w:t>
    </w:r>
    <w:r w:rsidRPr="001B4EC1">
      <w:rPr>
        <w:rStyle w:val="SidhuvudUtskott"/>
      </w:rPr>
      <w:t>2003/04:KU20</w:t>
    </w:r>
  </w:p>
  <w:p w:rsidR="00252869" w:rsidRPr="001B4EC1" w:rsidRDefault="00252869">
    <w:pPr>
      <w:pStyle w:val="SidhuvudKantUdda"/>
      <w:framePr w:w="8732" w:h="567" w:hRule="exact" w:vSpace="0" w:wrap="around" w:vAnchor="page" w:y="341" w:anchorLock="0"/>
    </w:pPr>
  </w:p>
  <w:p w:rsidR="00252869" w:rsidRPr="001B4EC1" w:rsidRDefault="0025286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Jmn"/>
      <w:framePr w:w="8732" w:h="567" w:hRule="exact" w:vSpace="0" w:wrap="around" w:vAnchor="page" w:y="341" w:anchorLock="0"/>
    </w:pPr>
    <w:r w:rsidRPr="001B4EC1">
      <w:fldChar w:fldCharType="begin" w:fldLock="1"/>
    </w:r>
    <w:r w:rsidRPr="001B4EC1">
      <w:instrText xml:space="preserve"> if </w:instrText>
    </w:r>
    <w:r w:rsidRPr="001B4EC1">
      <w:fldChar w:fldCharType="begin" w:fldLock="1"/>
    </w:r>
    <w:r w:rsidRPr="001B4EC1">
      <w:instrText xml:space="preserve"> page</w:instrText>
    </w:r>
    <w:r w:rsidRPr="001B4EC1">
      <w:fldChar w:fldCharType="separate"/>
    </w:r>
    <w:r w:rsidR="001B4EC1">
      <w:rPr>
        <w:noProof/>
      </w:rPr>
      <w:instrText>1</w:instrText>
    </w:r>
    <w:r w:rsidRPr="001B4EC1">
      <w:fldChar w:fldCharType="end"/>
    </w:r>
    <w:r w:rsidRPr="001B4EC1">
      <w:instrText xml:space="preserve"> &gt; 1 "</w:instrText>
    </w:r>
    <w:r w:rsidRPr="001B4EC1">
      <w:fldChar w:fldCharType="begin" w:fldLock="1"/>
    </w:r>
    <w:r w:rsidRPr="001B4EC1">
      <w:instrText xml:space="preserve"> if </w:instrText>
    </w:r>
    <w:r w:rsidRPr="001B4EC1">
      <w:fldChar w:fldCharType="begin" w:fldLock="1"/>
    </w:r>
    <w:r w:rsidRPr="001B4EC1">
      <w:instrText xml:space="preserve"> = </w:instrText>
    </w:r>
    <w:r w:rsidRPr="001B4EC1">
      <w:fldChar w:fldCharType="begin" w:fldLock="1"/>
    </w:r>
    <w:r w:rsidRPr="001B4EC1">
      <w:instrText xml:space="preserve"> = </w:instrText>
    </w:r>
    <w:r w:rsidRPr="001B4EC1">
      <w:fldChar w:fldCharType="begin" w:fldLock="1"/>
    </w:r>
    <w:r w:rsidRPr="001B4EC1">
      <w:instrText xml:space="preserve"> page</w:instrText>
    </w:r>
    <w:r w:rsidRPr="001B4EC1">
      <w:fldChar w:fldCharType="separate"/>
    </w:r>
    <w:r w:rsidRPr="001B4EC1">
      <w:instrText>17</w:instrText>
    </w:r>
    <w:r w:rsidRPr="001B4EC1">
      <w:fldChar w:fldCharType="end"/>
    </w:r>
    <w:r w:rsidRPr="001B4EC1">
      <w:instrText xml:space="preserve">/2 </w:instrText>
    </w:r>
    <w:r w:rsidRPr="001B4EC1">
      <w:fldChar w:fldCharType="separate"/>
    </w:r>
    <w:r w:rsidRPr="001B4EC1">
      <w:instrText>8,5</w:instrText>
    </w:r>
    <w:r w:rsidRPr="001B4EC1">
      <w:fldChar w:fldCharType="end"/>
    </w:r>
    <w:r w:rsidRPr="001B4EC1">
      <w:instrText xml:space="preserve"> - </w:instrText>
    </w:r>
    <w:r w:rsidRPr="001B4EC1">
      <w:fldChar w:fldCharType="begin" w:fldLock="1"/>
    </w:r>
    <w:r w:rsidRPr="001B4EC1">
      <w:instrText xml:space="preserve"> = int(</w:instrText>
    </w:r>
    <w:r w:rsidRPr="001B4EC1">
      <w:fldChar w:fldCharType="begin" w:fldLock="1"/>
    </w:r>
    <w:r w:rsidRPr="001B4EC1">
      <w:instrText xml:space="preserve"> page</w:instrText>
    </w:r>
    <w:r w:rsidRPr="001B4EC1">
      <w:fldChar w:fldCharType="separate"/>
    </w:r>
    <w:r w:rsidRPr="001B4EC1">
      <w:instrText>17</w:instrText>
    </w:r>
    <w:r w:rsidRPr="001B4EC1">
      <w:fldChar w:fldCharType="end"/>
    </w:r>
    <w:r w:rsidRPr="001B4EC1">
      <w:instrText xml:space="preserve">/2) </w:instrText>
    </w:r>
    <w:r w:rsidRPr="001B4EC1">
      <w:fldChar w:fldCharType="separate"/>
    </w:r>
    <w:r w:rsidRPr="001B4EC1">
      <w:instrText>8</w:instrText>
    </w:r>
    <w:r w:rsidRPr="001B4EC1">
      <w:fldChar w:fldCharType="end"/>
    </w:r>
    <w:r w:rsidRPr="001B4EC1">
      <w:fldChar w:fldCharType="separate"/>
    </w:r>
    <w:r w:rsidRPr="001B4EC1">
      <w:instrText>0,5</w:instrText>
    </w:r>
    <w:r w:rsidRPr="001B4EC1">
      <w:fldChar w:fldCharType="end"/>
    </w:r>
    <w:r w:rsidRPr="001B4EC1">
      <w:instrText xml:space="preserve"> = 0 "</w:instrText>
    </w:r>
    <w:r w:rsidRPr="001B4EC1">
      <w:rPr>
        <w:rStyle w:val="SidhuvudUtskott"/>
      </w:rPr>
      <w:fldChar w:fldCharType="begin" w:fldLock="1"/>
    </w:r>
    <w:r w:rsidRPr="001B4EC1">
      <w:rPr>
        <w:rStyle w:val="SidhuvudUtskott"/>
      </w:rPr>
      <w:instrText xml:space="preserve"> DOCPROPERTY BetänkandeÅr</w:instrText>
    </w:r>
    <w:r w:rsidRPr="001B4EC1">
      <w:rPr>
        <w:rStyle w:val="SidhuvudUtskott"/>
      </w:rPr>
      <w:fldChar w:fldCharType="separate"/>
    </w:r>
    <w:r w:rsidRPr="001B4EC1">
      <w:rPr>
        <w:rStyle w:val="SidhuvudUtskott"/>
      </w:rPr>
      <w:instrText>1999/2000</w:instrText>
    </w:r>
    <w:r w:rsidRPr="001B4EC1">
      <w:rPr>
        <w:rStyle w:val="SidhuvudUtskott"/>
      </w:rPr>
      <w:fldChar w:fldCharType="end"/>
    </w:r>
    <w:r w:rsidRPr="001B4EC1">
      <w:rPr>
        <w:rStyle w:val="SidhuvudUtskott"/>
      </w:rPr>
      <w:instrText>:</w:instrText>
    </w:r>
    <w:r w:rsidRPr="001B4EC1">
      <w:rPr>
        <w:rStyle w:val="SidhuvudUtskott"/>
      </w:rPr>
      <w:fldChar w:fldCharType="begin" w:fldLock="1"/>
    </w:r>
    <w:r w:rsidRPr="001B4EC1">
      <w:rPr>
        <w:rStyle w:val="SidhuvudUtskott"/>
      </w:rPr>
      <w:instrText xml:space="preserve"> DOCPR</w:instrText>
    </w:r>
    <w:r w:rsidRPr="001B4EC1">
      <w:rPr>
        <w:rStyle w:val="SidhuvudUtskott"/>
      </w:rPr>
      <w:instrText>O</w:instrText>
    </w:r>
    <w:r w:rsidRPr="001B4EC1">
      <w:rPr>
        <w:rStyle w:val="SidhuvudUtskott"/>
      </w:rPr>
      <w:instrText>PE</w:instrText>
    </w:r>
    <w:r w:rsidRPr="001B4EC1">
      <w:rPr>
        <w:rStyle w:val="SidhuvudUtskott"/>
      </w:rPr>
      <w:instrText>R</w:instrText>
    </w:r>
    <w:r w:rsidRPr="001B4EC1">
      <w:rPr>
        <w:rStyle w:val="SidhuvudUtskott"/>
      </w:rPr>
      <w:instrText>TY Utskott</w:instrText>
    </w:r>
    <w:r w:rsidRPr="001B4EC1">
      <w:rPr>
        <w:rStyle w:val="SidhuvudUtskott"/>
      </w:rPr>
      <w:fldChar w:fldCharType="separate"/>
    </w:r>
    <w:r w:rsidRPr="001B4EC1">
      <w:rPr>
        <w:rStyle w:val="SidhuvudUtskott"/>
      </w:rPr>
      <w:instrText>BoU</w:instrText>
    </w:r>
    <w:r w:rsidRPr="001B4EC1">
      <w:rPr>
        <w:rStyle w:val="SidhuvudUtskott"/>
      </w:rPr>
      <w:fldChar w:fldCharType="end"/>
    </w:r>
    <w:r w:rsidRPr="001B4EC1">
      <w:rPr>
        <w:rStyle w:val="SidhuvudUtskott"/>
      </w:rPr>
      <w:fldChar w:fldCharType="begin" w:fldLock="1"/>
    </w:r>
    <w:r w:rsidRPr="001B4EC1">
      <w:rPr>
        <w:rStyle w:val="SidhuvudUtskott"/>
      </w:rPr>
      <w:instrText xml:space="preserve"> DOCPROPERTY BetänkandeNr</w:instrText>
    </w:r>
    <w:r w:rsidRPr="001B4EC1">
      <w:rPr>
        <w:rStyle w:val="SidhuvudUtskott"/>
      </w:rPr>
      <w:fldChar w:fldCharType="separate"/>
    </w:r>
    <w:r w:rsidRPr="001B4EC1">
      <w:rPr>
        <w:rStyle w:val="SidhuvudUtskott"/>
      </w:rPr>
      <w:instrText>6678</w:instrText>
    </w:r>
    <w:r w:rsidRPr="001B4EC1">
      <w:rPr>
        <w:rStyle w:val="SidhuvudUtskott"/>
      </w:rPr>
      <w:fldChar w:fldCharType="end"/>
    </w:r>
    <w:r w:rsidRPr="001B4EC1">
      <w:instrText xml:space="preserve">    </w:instrText>
    </w:r>
  </w:p>
  <w:p w:rsidR="00252869" w:rsidRPr="001B4EC1" w:rsidRDefault="00252869">
    <w:pPr>
      <w:pStyle w:val="SidhuvudKantJmn"/>
      <w:framePr w:w="8732" w:h="567" w:hRule="exact" w:vSpace="0" w:wrap="around" w:vAnchor="page" w:y="341" w:anchorLock="0"/>
    </w:pPr>
    <w:r w:rsidRPr="001B4EC1">
      <w:rPr>
        <w:rStyle w:val="SidhuvudUtskott"/>
      </w:rPr>
      <w:fldChar w:fldCharType="begin" w:fldLock="1"/>
    </w:r>
    <w:r w:rsidRPr="001B4EC1">
      <w:rPr>
        <w:rStyle w:val="SidhuvudUtskott"/>
      </w:rPr>
      <w:instrText xml:space="preserve"> DOCPROPERTY Status</w:instrText>
    </w:r>
    <w:r w:rsidRPr="001B4EC1">
      <w:rPr>
        <w:rStyle w:val="SidhuvudUtskott"/>
      </w:rPr>
      <w:fldChar w:fldCharType="separate"/>
    </w:r>
    <w:r w:rsidRPr="001B4EC1">
      <w:rPr>
        <w:rStyle w:val="SidhuvudUtskott"/>
      </w:rPr>
      <w:instrText>Utkast</w:instrText>
    </w:r>
    <w:r w:rsidRPr="001B4EC1">
      <w:rPr>
        <w:rStyle w:val="SidhuvudUtskott"/>
      </w:rPr>
      <w:fldChar w:fldCharType="end"/>
    </w:r>
    <w:r w:rsidRPr="001B4EC1">
      <w:rPr>
        <w:rStyle w:val="SidhuvudUtskott"/>
      </w:rPr>
      <w:fldChar w:fldCharType="begin" w:fldLock="1"/>
    </w:r>
    <w:r w:rsidRPr="001B4EC1">
      <w:rPr>
        <w:rStyle w:val="SidhuvudUtskott"/>
      </w:rPr>
      <w:instrText xml:space="preserve"> if </w:instrText>
    </w:r>
    <w:r w:rsidRPr="001B4EC1">
      <w:rPr>
        <w:rStyle w:val="SidhuvudUtskott"/>
      </w:rPr>
      <w:fldChar w:fldCharType="begin" w:fldLock="1"/>
    </w:r>
    <w:r w:rsidRPr="001B4EC1">
      <w:rPr>
        <w:rStyle w:val="SidhuvudUtskott"/>
      </w:rPr>
      <w:instrText xml:space="preserve"> DOCPROPERTY "UtkastDatum"</w:instrText>
    </w:r>
    <w:r w:rsidRPr="001B4EC1">
      <w:rPr>
        <w:rStyle w:val="SidhuvudUtskott"/>
      </w:rPr>
      <w:fldChar w:fldCharType="separate"/>
    </w:r>
    <w:r w:rsidRPr="001B4EC1">
      <w:rPr>
        <w:rStyle w:val="SidhuvudUtskott"/>
      </w:rPr>
      <w:instrText>Nej</w:instrText>
    </w:r>
    <w:r w:rsidRPr="001B4EC1">
      <w:rPr>
        <w:rStyle w:val="SidhuvudUtskott"/>
      </w:rPr>
      <w:fldChar w:fldCharType="end"/>
    </w:r>
    <w:r w:rsidRPr="001B4EC1">
      <w:rPr>
        <w:rStyle w:val="SidhuvudUtskott"/>
      </w:rPr>
      <w:instrText xml:space="preserve"> = "Ja" "    </w:instrText>
    </w:r>
    <w:r w:rsidRPr="001B4EC1">
      <w:rPr>
        <w:rStyle w:val="SidhuvudUtskott"/>
      </w:rPr>
      <w:fldChar w:fldCharType="begin" w:fldLock="1"/>
    </w:r>
    <w:r w:rsidRPr="001B4EC1">
      <w:rPr>
        <w:rStyle w:val="SidhuvudUtskott"/>
      </w:rPr>
      <w:instrText xml:space="preserve"> PRINTDATE \@ "yyyy-MM-dd HH.mm" </w:instrText>
    </w:r>
    <w:r w:rsidRPr="001B4EC1">
      <w:rPr>
        <w:rStyle w:val="SidhuvudUtskott"/>
      </w:rPr>
      <w:fldChar w:fldCharType="separate"/>
    </w:r>
    <w:r w:rsidRPr="001B4EC1">
      <w:rPr>
        <w:rStyle w:val="SidhuvudUtskott"/>
      </w:rPr>
      <w:instrText>2000-08-11 16.42</w:instrText>
    </w:r>
    <w:r w:rsidRPr="001B4EC1">
      <w:rPr>
        <w:rStyle w:val="SidhuvudUtskott"/>
      </w:rPr>
      <w:fldChar w:fldCharType="end"/>
    </w:r>
    <w:r w:rsidRPr="001B4EC1">
      <w:rPr>
        <w:rStyle w:val="SidhuvudUtskott"/>
      </w:rPr>
      <w:instrText xml:space="preserve">" </w:instrText>
    </w:r>
    <w:r w:rsidRPr="001B4EC1">
      <w:rPr>
        <w:rStyle w:val="SidhuvudUtskott"/>
      </w:rPr>
      <w:fldChar w:fldCharType="separate"/>
    </w:r>
    <w:r w:rsidRPr="001B4EC1">
      <w:rPr>
        <w:rStyle w:val="SidhuvudUtskott"/>
      </w:rPr>
      <w:fldChar w:fldCharType="end"/>
    </w:r>
  </w:p>
  <w:p w:rsidR="00252869" w:rsidRPr="001B4EC1" w:rsidRDefault="00252869">
    <w:pPr>
      <w:pStyle w:val="SidhuvudKantUdda"/>
      <w:framePr w:w="8732" w:h="567" w:hRule="exact" w:vSpace="0" w:wrap="around" w:vAnchor="page" w:y="341" w:anchorLock="0"/>
    </w:pPr>
    <w:r w:rsidRPr="001B4EC1">
      <w:rPr>
        <w:rStyle w:val="SidhuvudRubrikReferens"/>
        <w:smallCaps w:val="0"/>
        <w:spacing w:val="0"/>
        <w:sz w:val="19"/>
      </w:rPr>
      <w:instrText xml:space="preserve"> </w:instrText>
    </w:r>
    <w:r w:rsidRPr="001B4EC1">
      <w:instrText xml:space="preserve">"  "  </w:instrText>
    </w:r>
    <w:r w:rsidRPr="001B4EC1">
      <w:rPr>
        <w:rStyle w:val="SidhuvudUtskott"/>
      </w:rPr>
      <w:fldChar w:fldCharType="begin" w:fldLock="1"/>
    </w:r>
    <w:r w:rsidRPr="001B4EC1">
      <w:rPr>
        <w:rStyle w:val="SidhuvudUtskott"/>
      </w:rPr>
      <w:instrText xml:space="preserve"> DOCPROPERTY BetänkandeÅr</w:instrText>
    </w:r>
    <w:r w:rsidRPr="001B4EC1">
      <w:rPr>
        <w:rStyle w:val="SidhuvudUtskott"/>
      </w:rPr>
      <w:fldChar w:fldCharType="separate"/>
    </w:r>
    <w:r w:rsidRPr="001B4EC1">
      <w:rPr>
        <w:rStyle w:val="SidhuvudUtskott"/>
      </w:rPr>
      <w:instrText>1999/2000</w:instrText>
    </w:r>
    <w:r w:rsidRPr="001B4EC1">
      <w:rPr>
        <w:rStyle w:val="SidhuvudUtskott"/>
      </w:rPr>
      <w:fldChar w:fldCharType="end"/>
    </w:r>
    <w:r w:rsidRPr="001B4EC1">
      <w:rPr>
        <w:rStyle w:val="SidhuvudUtskott"/>
      </w:rPr>
      <w:instrText>:</w:instrText>
    </w:r>
    <w:r w:rsidRPr="001B4EC1">
      <w:rPr>
        <w:rStyle w:val="SidhuvudUtskott"/>
      </w:rPr>
      <w:fldChar w:fldCharType="begin" w:fldLock="1"/>
    </w:r>
    <w:r w:rsidRPr="001B4EC1">
      <w:rPr>
        <w:rStyle w:val="SidhuvudUtskott"/>
      </w:rPr>
      <w:instrText xml:space="preserve"> DOCPROPERTY Utskott</w:instrText>
    </w:r>
    <w:r w:rsidRPr="001B4EC1">
      <w:rPr>
        <w:rStyle w:val="SidhuvudUtskott"/>
      </w:rPr>
      <w:fldChar w:fldCharType="separate"/>
    </w:r>
    <w:r w:rsidRPr="001B4EC1">
      <w:rPr>
        <w:rStyle w:val="SidhuvudUtskott"/>
      </w:rPr>
      <w:instrText>BoU</w:instrText>
    </w:r>
    <w:r w:rsidRPr="001B4EC1">
      <w:rPr>
        <w:rStyle w:val="SidhuvudUtskott"/>
      </w:rPr>
      <w:fldChar w:fldCharType="end"/>
    </w:r>
    <w:r w:rsidRPr="001B4EC1">
      <w:rPr>
        <w:rStyle w:val="SidhuvudUtskott"/>
      </w:rPr>
      <w:fldChar w:fldCharType="begin" w:fldLock="1"/>
    </w:r>
    <w:r w:rsidRPr="001B4EC1">
      <w:rPr>
        <w:rStyle w:val="SidhuvudUtskott"/>
      </w:rPr>
      <w:instrText xml:space="preserve"> DOCPROPERTY BetänkandeNr</w:instrText>
    </w:r>
    <w:r w:rsidRPr="001B4EC1">
      <w:rPr>
        <w:rStyle w:val="SidhuvudUtskott"/>
      </w:rPr>
      <w:fldChar w:fldCharType="separate"/>
    </w:r>
    <w:r w:rsidRPr="001B4EC1">
      <w:rPr>
        <w:rStyle w:val="SidhuvudUtskott"/>
      </w:rPr>
      <w:instrText>6678</w:instrText>
    </w:r>
    <w:r w:rsidRPr="001B4EC1">
      <w:rPr>
        <w:rStyle w:val="SidhuvudUtskott"/>
      </w:rPr>
      <w:fldChar w:fldCharType="end"/>
    </w:r>
  </w:p>
  <w:p w:rsidR="00252869" w:rsidRPr="001B4EC1" w:rsidRDefault="00252869">
    <w:pPr>
      <w:pStyle w:val="SidhuvudKantUdda"/>
      <w:framePr w:w="8732" w:h="567" w:hRule="exact" w:vSpace="0" w:wrap="around" w:vAnchor="page" w:y="341" w:anchorLock="0"/>
    </w:pPr>
    <w:r w:rsidRPr="001B4EC1">
      <w:rPr>
        <w:rStyle w:val="SidhuvudUtskott"/>
      </w:rPr>
      <w:fldChar w:fldCharType="begin" w:fldLock="1"/>
    </w:r>
    <w:r w:rsidRPr="001B4EC1">
      <w:rPr>
        <w:rStyle w:val="SidhuvudUtskott"/>
      </w:rPr>
      <w:instrText xml:space="preserve"> if </w:instrText>
    </w:r>
    <w:r w:rsidRPr="001B4EC1">
      <w:rPr>
        <w:rStyle w:val="SidhuvudUtskott"/>
      </w:rPr>
      <w:fldChar w:fldCharType="begin" w:fldLock="1"/>
    </w:r>
    <w:r w:rsidRPr="001B4EC1">
      <w:rPr>
        <w:rStyle w:val="SidhuvudUtskott"/>
      </w:rPr>
      <w:instrText xml:space="preserve"> DOCPROPERTY "UtkastDatum"</w:instrText>
    </w:r>
    <w:r w:rsidRPr="001B4EC1">
      <w:rPr>
        <w:rStyle w:val="SidhuvudUtskott"/>
      </w:rPr>
      <w:fldChar w:fldCharType="separate"/>
    </w:r>
    <w:r w:rsidRPr="001B4EC1">
      <w:rPr>
        <w:rStyle w:val="SidhuvudUtskott"/>
      </w:rPr>
      <w:instrText>Nej</w:instrText>
    </w:r>
    <w:r w:rsidRPr="001B4EC1">
      <w:rPr>
        <w:rStyle w:val="SidhuvudUtskott"/>
      </w:rPr>
      <w:fldChar w:fldCharType="end"/>
    </w:r>
    <w:r w:rsidRPr="001B4EC1">
      <w:rPr>
        <w:rStyle w:val="SidhuvudUtskott"/>
      </w:rPr>
      <w:instrText xml:space="preserve"> = "Ja" "</w:instrText>
    </w:r>
    <w:r w:rsidRPr="001B4EC1">
      <w:rPr>
        <w:rStyle w:val="SidhuvudUtskott"/>
      </w:rPr>
      <w:fldChar w:fldCharType="begin" w:fldLock="1"/>
    </w:r>
    <w:r w:rsidRPr="001B4EC1">
      <w:rPr>
        <w:rStyle w:val="SidhuvudUtskott"/>
      </w:rPr>
      <w:instrText xml:space="preserve"> PRINTDATE \@ "yyyy-MM-dd HH.mm    " </w:instrText>
    </w:r>
    <w:r w:rsidRPr="001B4EC1">
      <w:rPr>
        <w:rStyle w:val="SidhuvudUtskott"/>
      </w:rPr>
      <w:fldChar w:fldCharType="separate"/>
    </w:r>
    <w:r w:rsidRPr="001B4EC1">
      <w:rPr>
        <w:rStyle w:val="SidhuvudUtskott"/>
      </w:rPr>
      <w:instrText>2000-08-11 16.42</w:instrText>
    </w:r>
    <w:r w:rsidRPr="001B4EC1">
      <w:rPr>
        <w:rStyle w:val="SidhuvudUtskott"/>
      </w:rPr>
      <w:fldChar w:fldCharType="end"/>
    </w:r>
    <w:r w:rsidRPr="001B4EC1">
      <w:rPr>
        <w:rStyle w:val="SidhuvudUtskott"/>
      </w:rPr>
      <w:instrText xml:space="preserve">" </w:instrText>
    </w:r>
    <w:r w:rsidRPr="001B4EC1">
      <w:rPr>
        <w:rStyle w:val="SidhuvudUtskott"/>
      </w:rPr>
      <w:fldChar w:fldCharType="separate"/>
    </w:r>
    <w:r w:rsidRPr="001B4EC1">
      <w:rPr>
        <w:rStyle w:val="SidhuvudUtskott"/>
      </w:rPr>
      <w:fldChar w:fldCharType="end"/>
    </w:r>
    <w:r w:rsidRPr="001B4EC1">
      <w:rPr>
        <w:rStyle w:val="SidhuvudUtskott"/>
      </w:rPr>
      <w:fldChar w:fldCharType="begin" w:fldLock="1"/>
    </w:r>
    <w:r w:rsidRPr="001B4EC1">
      <w:rPr>
        <w:rStyle w:val="SidhuvudUtskott"/>
      </w:rPr>
      <w:instrText xml:space="preserve"> DOCPR</w:instrText>
    </w:r>
    <w:r w:rsidRPr="001B4EC1">
      <w:rPr>
        <w:rStyle w:val="SidhuvudUtskott"/>
      </w:rPr>
      <w:instrText>O</w:instrText>
    </w:r>
    <w:r w:rsidRPr="001B4EC1">
      <w:rPr>
        <w:rStyle w:val="SidhuvudUtskott"/>
      </w:rPr>
      <w:instrText>PERTY Status</w:instrText>
    </w:r>
    <w:r w:rsidRPr="001B4EC1">
      <w:rPr>
        <w:rStyle w:val="SidhuvudUtskott"/>
      </w:rPr>
      <w:fldChar w:fldCharType="separate"/>
    </w:r>
    <w:r w:rsidRPr="001B4EC1">
      <w:rPr>
        <w:rStyle w:val="SidhuvudUtskott"/>
      </w:rPr>
      <w:instrText>Utkast 2</w:instrText>
    </w:r>
    <w:r w:rsidRPr="001B4EC1">
      <w:rPr>
        <w:rStyle w:val="SidhuvudUtskott"/>
      </w:rPr>
      <w:fldChar w:fldCharType="end"/>
    </w:r>
    <w:r w:rsidRPr="001B4EC1">
      <w:instrText>"</w:instrText>
    </w:r>
    <w:r w:rsidRPr="001B4EC1">
      <w:fldChar w:fldCharType="separate"/>
    </w:r>
    <w:r w:rsidRPr="001B4EC1">
      <w:rPr>
        <w:position w:val="4"/>
        <w:sz w:val="28"/>
      </w:rPr>
      <w:instrText>|</w:instrText>
    </w:r>
    <w:r w:rsidRPr="001B4EC1">
      <w:instrText xml:space="preserve">  </w:instrText>
    </w:r>
    <w:r w:rsidRPr="001B4EC1">
      <w:rPr>
        <w:rStyle w:val="SidhuvudUtskott"/>
      </w:rPr>
      <w:fldChar w:fldCharType="begin" w:fldLock="1"/>
    </w:r>
    <w:r w:rsidRPr="001B4EC1">
      <w:rPr>
        <w:rStyle w:val="SidhuvudUtskott"/>
      </w:rPr>
      <w:instrText xml:space="preserve"> DOCPROPERTY BetänkandeÅr</w:instrText>
    </w:r>
    <w:r w:rsidRPr="001B4EC1">
      <w:rPr>
        <w:rStyle w:val="SidhuvudUtskott"/>
      </w:rPr>
      <w:fldChar w:fldCharType="separate"/>
    </w:r>
    <w:r w:rsidRPr="001B4EC1">
      <w:rPr>
        <w:rStyle w:val="SidhuvudUtskott"/>
      </w:rPr>
      <w:instrText>1999/2000</w:instrText>
    </w:r>
    <w:r w:rsidRPr="001B4EC1">
      <w:rPr>
        <w:rStyle w:val="SidhuvudUtskott"/>
      </w:rPr>
      <w:fldChar w:fldCharType="end"/>
    </w:r>
    <w:r w:rsidRPr="001B4EC1">
      <w:rPr>
        <w:rStyle w:val="SidhuvudUtskott"/>
      </w:rPr>
      <w:instrText>:</w:instrText>
    </w:r>
    <w:r w:rsidRPr="001B4EC1">
      <w:rPr>
        <w:rStyle w:val="SidhuvudUtskott"/>
      </w:rPr>
      <w:fldChar w:fldCharType="begin" w:fldLock="1"/>
    </w:r>
    <w:r w:rsidRPr="001B4EC1">
      <w:rPr>
        <w:rStyle w:val="SidhuvudUtskott"/>
      </w:rPr>
      <w:instrText xml:space="preserve"> DOCPROPERTY Utskott</w:instrText>
    </w:r>
    <w:r w:rsidRPr="001B4EC1">
      <w:rPr>
        <w:rStyle w:val="SidhuvudUtskott"/>
      </w:rPr>
      <w:fldChar w:fldCharType="separate"/>
    </w:r>
    <w:r w:rsidRPr="001B4EC1">
      <w:rPr>
        <w:rStyle w:val="SidhuvudUtskott"/>
      </w:rPr>
      <w:instrText>BoU</w:instrText>
    </w:r>
    <w:r w:rsidRPr="001B4EC1">
      <w:rPr>
        <w:rStyle w:val="SidhuvudUtskott"/>
      </w:rPr>
      <w:fldChar w:fldCharType="end"/>
    </w:r>
    <w:r w:rsidRPr="001B4EC1">
      <w:rPr>
        <w:rStyle w:val="SidhuvudUtskott"/>
      </w:rPr>
      <w:fldChar w:fldCharType="begin" w:fldLock="1"/>
    </w:r>
    <w:r w:rsidRPr="001B4EC1">
      <w:rPr>
        <w:rStyle w:val="SidhuvudUtskott"/>
      </w:rPr>
      <w:instrText xml:space="preserve"> DOCPROPERTY BetänkandeNr</w:instrText>
    </w:r>
    <w:r w:rsidRPr="001B4EC1">
      <w:rPr>
        <w:rStyle w:val="SidhuvudUtskott"/>
      </w:rPr>
      <w:fldChar w:fldCharType="separate"/>
    </w:r>
    <w:r w:rsidRPr="001B4EC1">
      <w:rPr>
        <w:rStyle w:val="SidhuvudUtskott"/>
      </w:rPr>
      <w:instrText>6678</w:instrText>
    </w:r>
    <w:r w:rsidRPr="001B4EC1">
      <w:rPr>
        <w:rStyle w:val="SidhuvudUtskott"/>
      </w:rPr>
      <w:fldChar w:fldCharType="end"/>
    </w:r>
  </w:p>
  <w:p w:rsidR="00252869" w:rsidRPr="001B4EC1" w:rsidRDefault="00252869">
    <w:pPr>
      <w:pStyle w:val="SidhuvudKantUdda"/>
      <w:framePr w:w="8732" w:h="567" w:hRule="exact" w:vSpace="0" w:wrap="around" w:vAnchor="page" w:y="341" w:anchorLock="0"/>
    </w:pPr>
    <w:r w:rsidRPr="001B4EC1">
      <w:rPr>
        <w:rStyle w:val="SidhuvudUtskott"/>
      </w:rPr>
      <w:fldChar w:fldCharType="begin" w:fldLock="1"/>
    </w:r>
    <w:r w:rsidRPr="001B4EC1">
      <w:rPr>
        <w:rStyle w:val="SidhuvudUtskott"/>
      </w:rPr>
      <w:instrText xml:space="preserve"> DOCPROPERTY Status</w:instrText>
    </w:r>
    <w:r w:rsidRPr="001B4EC1">
      <w:rPr>
        <w:rStyle w:val="SidhuvudUtskott"/>
      </w:rPr>
      <w:fldChar w:fldCharType="separate"/>
    </w:r>
    <w:r w:rsidRPr="001B4EC1">
      <w:rPr>
        <w:rStyle w:val="SidhuvudUtskott"/>
      </w:rPr>
      <w:instrText>Utkast 2</w:instrText>
    </w:r>
    <w:r w:rsidRPr="001B4EC1">
      <w:rPr>
        <w:rStyle w:val="SidhuvudUtskott"/>
      </w:rPr>
      <w:fldChar w:fldCharType="end"/>
    </w:r>
    <w:r w:rsidRPr="001B4EC1">
      <w:fldChar w:fldCharType="end"/>
    </w:r>
    <w:r w:rsidRPr="001B4EC1">
      <w:instrText>" " "</w:instrText>
    </w:r>
    <w:r w:rsidRPr="001B4EC1">
      <w:fldChar w:fldCharType="separate"/>
    </w:r>
    <w:r w:rsidR="001B4EC1" w:rsidRPr="001B4EC1">
      <w:rPr>
        <w:noProof/>
      </w:rPr>
      <w:t xml:space="preserve"> </w:t>
    </w:r>
    <w:r w:rsidRPr="001B4EC1">
      <w:fldChar w:fldCharType="end"/>
    </w:r>
  </w:p>
  <w:p w:rsidR="00252869" w:rsidRPr="001B4EC1" w:rsidRDefault="00252869">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Jmn"/>
      <w:framePr w:w="8732" w:h="567" w:hRule="exact" w:vSpace="0" w:wrap="around" w:vAnchor="page" w:y="341" w:anchorLock="0"/>
    </w:pPr>
    <w:r w:rsidRPr="001B4EC1">
      <w:rPr>
        <w:rStyle w:val="SidhuvudUtskott"/>
      </w:rPr>
      <w:t>2003/04:KU20</w:t>
    </w:r>
    <w:r w:rsidRPr="001B4EC1">
      <w:t xml:space="preserve">    </w:t>
    </w:r>
  </w:p>
  <w:p w:rsidR="00252869" w:rsidRPr="001B4EC1" w:rsidRDefault="00252869">
    <w:pPr>
      <w:pStyle w:val="SidhuvudKantJmn"/>
      <w:framePr w:w="8732" w:h="567" w:hRule="exact" w:vSpace="0" w:wrap="around" w:vAnchor="page" w:y="341" w:anchorLock="0"/>
    </w:pPr>
  </w:p>
  <w:p w:rsidR="00252869" w:rsidRPr="001B4EC1" w:rsidRDefault="00252869">
    <w:pPr>
      <w:pStyle w:val="SidhuvudKantUdda"/>
      <w:framePr w:w="8732" w:h="567" w:hRule="exact" w:vSpace="0" w:wrap="around" w:vAnchor="page" w:y="341" w:anchorLock="0"/>
    </w:pPr>
    <w:r w:rsidRPr="001B4EC1">
      <w:rPr>
        <w:rStyle w:val="SidhuvudRubrikReferens"/>
        <w:smallCaps w:val="0"/>
        <w:spacing w:val="0"/>
        <w:sz w:val="19"/>
      </w:rPr>
      <w:t xml:space="preserve"> </w:t>
    </w:r>
  </w:p>
  <w:p w:rsidR="00252869" w:rsidRPr="001B4EC1" w:rsidRDefault="0025286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Jmn"/>
      <w:framePr w:w="8732" w:h="567" w:hRule="exact" w:vSpace="0" w:wrap="around" w:vAnchor="page" w:y="341" w:anchorLock="0"/>
    </w:pPr>
    <w:r w:rsidRPr="001B4EC1">
      <w:rPr>
        <w:rStyle w:val="SidhuvudUtskott"/>
      </w:rPr>
      <w:t>2003/04:KU20</w:t>
    </w:r>
    <w:r w:rsidRPr="001B4EC1">
      <w:t xml:space="preserve">     </w:t>
    </w:r>
    <w:r w:rsidRPr="001B4EC1">
      <w:rPr>
        <w:rStyle w:val="SidhuvudBilaga"/>
      </w:rPr>
      <w:t xml:space="preserve"> </w:t>
    </w:r>
    <w:r w:rsidRPr="001B4EC1">
      <w:rPr>
        <w:rStyle w:val="SidhuvudRubrikReferens"/>
      </w:rPr>
      <w:t>Innehållsförteckning</w:t>
    </w:r>
  </w:p>
  <w:p w:rsidR="00252869" w:rsidRPr="001B4EC1" w:rsidRDefault="00252869">
    <w:pPr>
      <w:pStyle w:val="SidhuvudKantJmn"/>
      <w:framePr w:w="8732" w:h="567" w:hRule="exact" w:vSpace="0" w:wrap="around" w:vAnchor="page" w:y="341" w:anchorLock="0"/>
    </w:pPr>
  </w:p>
  <w:p w:rsidR="00252869" w:rsidRPr="001B4EC1" w:rsidRDefault="0025286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Udda"/>
      <w:framePr w:w="8732" w:h="567" w:hRule="exact" w:vSpace="0" w:wrap="around" w:vAnchor="page" w:y="341" w:anchorLock="0"/>
    </w:pPr>
    <w:r w:rsidRPr="001B4EC1">
      <w:rPr>
        <w:rStyle w:val="SidhuvudRubrikReferens"/>
      </w:rPr>
      <w:t>Innehållsförteckning</w:t>
    </w:r>
    <w:r w:rsidRPr="001B4EC1">
      <w:rPr>
        <w:rStyle w:val="SidhuvudBilaga"/>
      </w:rPr>
      <w:t xml:space="preserve"> </w:t>
    </w:r>
    <w:r w:rsidRPr="001B4EC1">
      <w:t xml:space="preserve">     </w:t>
    </w:r>
    <w:r w:rsidRPr="001B4EC1">
      <w:rPr>
        <w:rStyle w:val="SidhuvudUtskott"/>
      </w:rPr>
      <w:t>2003/04:KU20</w:t>
    </w:r>
  </w:p>
  <w:p w:rsidR="00252869" w:rsidRPr="001B4EC1" w:rsidRDefault="00252869">
    <w:pPr>
      <w:pStyle w:val="SidhuvudKantUdda"/>
      <w:framePr w:w="8732" w:h="567" w:hRule="exact" w:vSpace="0" w:wrap="around" w:vAnchor="page" w:y="341" w:anchorLock="0"/>
    </w:pPr>
  </w:p>
  <w:p w:rsidR="00252869" w:rsidRPr="001B4EC1" w:rsidRDefault="0025286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Udda"/>
      <w:framePr w:w="8732" w:h="567" w:hRule="exact" w:vSpace="0" w:wrap="around" w:vAnchor="page" w:y="341" w:anchorLock="0"/>
    </w:pPr>
    <w:r w:rsidRPr="001B4EC1">
      <w:t xml:space="preserve">  </w:t>
    </w:r>
    <w:r w:rsidRPr="001B4EC1">
      <w:rPr>
        <w:rStyle w:val="SidhuvudUtskott"/>
      </w:rPr>
      <w:t>2003/04:KU20</w:t>
    </w:r>
  </w:p>
  <w:p w:rsidR="00252869" w:rsidRPr="001B4EC1" w:rsidRDefault="00252869">
    <w:pPr>
      <w:pStyle w:val="SidhuvudKantUdda"/>
      <w:framePr w:w="8732" w:h="567" w:hRule="exact" w:vSpace="0" w:wrap="around" w:vAnchor="page" w:y="341" w:anchorLock="0"/>
    </w:pPr>
  </w:p>
  <w:p w:rsidR="00252869" w:rsidRPr="001B4EC1" w:rsidRDefault="0025286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Jmn"/>
      <w:framePr w:w="8732" w:h="567" w:hRule="exact" w:vSpace="0" w:wrap="around" w:vAnchor="page" w:y="341" w:anchorLock="0"/>
    </w:pPr>
    <w:r w:rsidRPr="001B4EC1">
      <w:rPr>
        <w:rStyle w:val="SidhuvudUtskott"/>
      </w:rPr>
      <w:fldChar w:fldCharType="begin" w:fldLock="1"/>
    </w:r>
    <w:r w:rsidRPr="001B4EC1">
      <w:rPr>
        <w:rStyle w:val="SidhuvudUtskott"/>
      </w:rPr>
      <w:instrText xml:space="preserve"> DOCPROPERTY BetänkandeÅr</w:instrText>
    </w:r>
    <w:r w:rsidRPr="001B4EC1">
      <w:rPr>
        <w:rStyle w:val="SidhuvudUtskott"/>
      </w:rPr>
      <w:fldChar w:fldCharType="separate"/>
    </w:r>
    <w:r w:rsidRPr="001B4EC1">
      <w:rPr>
        <w:rStyle w:val="SidhuvudUtskott"/>
      </w:rPr>
      <w:t>2003/04</w:t>
    </w:r>
    <w:r w:rsidRPr="001B4EC1">
      <w:rPr>
        <w:rStyle w:val="SidhuvudUtskott"/>
      </w:rPr>
      <w:fldChar w:fldCharType="end"/>
    </w:r>
    <w:r w:rsidRPr="001B4EC1">
      <w:rPr>
        <w:rStyle w:val="SidhuvudUtskott"/>
      </w:rPr>
      <w:t>:</w:t>
    </w:r>
    <w:r w:rsidRPr="001B4EC1">
      <w:rPr>
        <w:rStyle w:val="SidhuvudUtskott"/>
      </w:rPr>
      <w:fldChar w:fldCharType="begin" w:fldLock="1"/>
    </w:r>
    <w:r w:rsidRPr="001B4EC1">
      <w:rPr>
        <w:rStyle w:val="SidhuvudUtskott"/>
      </w:rPr>
      <w:instrText xml:space="preserve"> DOCPROPERTY Utskott</w:instrText>
    </w:r>
    <w:r w:rsidRPr="001B4EC1">
      <w:rPr>
        <w:rStyle w:val="SidhuvudUtskott"/>
      </w:rPr>
      <w:fldChar w:fldCharType="separate"/>
    </w:r>
    <w:r w:rsidRPr="001B4EC1">
      <w:rPr>
        <w:rStyle w:val="SidhuvudUtskott"/>
      </w:rPr>
      <w:t>KU</w:t>
    </w:r>
    <w:r w:rsidRPr="001B4EC1">
      <w:rPr>
        <w:rStyle w:val="SidhuvudUtskott"/>
      </w:rPr>
      <w:fldChar w:fldCharType="end"/>
    </w:r>
    <w:r w:rsidRPr="001B4EC1">
      <w:rPr>
        <w:rStyle w:val="SidhuvudUtskott"/>
      </w:rPr>
      <w:fldChar w:fldCharType="begin" w:fldLock="1"/>
    </w:r>
    <w:r w:rsidRPr="001B4EC1">
      <w:rPr>
        <w:rStyle w:val="SidhuvudUtskott"/>
      </w:rPr>
      <w:instrText xml:space="preserve"> DOCPROPERTY BetänkandeNr</w:instrText>
    </w:r>
    <w:r w:rsidRPr="001B4EC1">
      <w:rPr>
        <w:rStyle w:val="SidhuvudUtskott"/>
      </w:rPr>
      <w:fldChar w:fldCharType="separate"/>
    </w:r>
    <w:r w:rsidRPr="001B4EC1">
      <w:rPr>
        <w:rStyle w:val="SidhuvudUtskott"/>
      </w:rPr>
      <w:t>20</w:t>
    </w:r>
    <w:r w:rsidRPr="001B4EC1">
      <w:rPr>
        <w:rStyle w:val="SidhuvudUtskott"/>
      </w:rPr>
      <w:fldChar w:fldCharType="end"/>
    </w:r>
    <w:r w:rsidRPr="001B4EC1">
      <w:t xml:space="preserve">     </w:t>
    </w:r>
    <w:r w:rsidRPr="001B4EC1">
      <w:rPr>
        <w:rStyle w:val="SidhuvudBilaga"/>
      </w:rPr>
      <w:t xml:space="preserve"> </w:t>
    </w:r>
    <w:r w:rsidRPr="001B4EC1">
      <w:rPr>
        <w:rStyle w:val="SidhuvudRubrikReferens"/>
      </w:rPr>
      <w:fldChar w:fldCharType="begin" w:fldLock="1"/>
    </w:r>
    <w:r w:rsidRPr="001B4EC1">
      <w:rPr>
        <w:rStyle w:val="SidhuvudRubrikReferens"/>
      </w:rPr>
      <w:instrText xml:space="preserve"> StyleREF "Rubrik 1" </w:instrText>
    </w:r>
    <w:r w:rsidRPr="001B4EC1">
      <w:rPr>
        <w:rStyle w:val="SidhuvudRubrikReferens"/>
      </w:rPr>
      <w:fldChar w:fldCharType="separate"/>
    </w:r>
    <w:r w:rsidRPr="001B4EC1">
      <w:rPr>
        <w:rStyle w:val="SidhuvudRubrikReferens"/>
      </w:rPr>
      <w:t>Innehållsförteckning</w:t>
    </w:r>
    <w:r w:rsidRPr="001B4EC1">
      <w:rPr>
        <w:rStyle w:val="SidhuvudRubrikReferens"/>
      </w:rPr>
      <w:fldChar w:fldCharType="end"/>
    </w:r>
  </w:p>
  <w:p w:rsidR="00252869" w:rsidRPr="001B4EC1" w:rsidRDefault="00252869">
    <w:pPr>
      <w:pStyle w:val="SidhuvudKantJmn"/>
      <w:framePr w:w="8732" w:h="567" w:hRule="exact" w:vSpace="0" w:wrap="around" w:vAnchor="page" w:y="341" w:anchorLock="0"/>
    </w:pPr>
    <w:r w:rsidRPr="001B4EC1">
      <w:rPr>
        <w:rStyle w:val="SidhuvudUtskott"/>
      </w:rPr>
      <w:fldChar w:fldCharType="begin" w:fldLock="1"/>
    </w:r>
    <w:r w:rsidRPr="001B4EC1">
      <w:rPr>
        <w:rStyle w:val="SidhuvudUtskott"/>
      </w:rPr>
      <w:instrText xml:space="preserve"> DOCPROPERTY Status</w:instrText>
    </w:r>
    <w:r w:rsidRPr="001B4EC1">
      <w:rPr>
        <w:rStyle w:val="SidhuvudUtskott"/>
      </w:rPr>
      <w:fldChar w:fldCharType="end"/>
    </w:r>
    <w:r w:rsidRPr="001B4EC1">
      <w:rPr>
        <w:rStyle w:val="SidhuvudUtskott"/>
      </w:rPr>
      <w:fldChar w:fldCharType="begin" w:fldLock="1"/>
    </w:r>
    <w:r w:rsidRPr="001B4EC1">
      <w:rPr>
        <w:rStyle w:val="SidhuvudUtskott"/>
      </w:rPr>
      <w:instrText xml:space="preserve"> if </w:instrText>
    </w:r>
    <w:r w:rsidRPr="001B4EC1">
      <w:rPr>
        <w:rStyle w:val="SidhuvudUtskott"/>
      </w:rPr>
      <w:fldChar w:fldCharType="begin" w:fldLock="1"/>
    </w:r>
    <w:r w:rsidRPr="001B4EC1">
      <w:rPr>
        <w:rStyle w:val="SidhuvudUtskott"/>
      </w:rPr>
      <w:instrText xml:space="preserve"> DOCPROPERTY "UtkastDatum"</w:instrText>
    </w:r>
    <w:r w:rsidRPr="001B4EC1">
      <w:rPr>
        <w:rStyle w:val="SidhuvudUtskott"/>
      </w:rPr>
      <w:fldChar w:fldCharType="separate"/>
    </w:r>
    <w:r w:rsidRPr="001B4EC1">
      <w:rPr>
        <w:rStyle w:val="SidhuvudUtskott"/>
      </w:rPr>
      <w:instrText>Nej</w:instrText>
    </w:r>
    <w:r w:rsidRPr="001B4EC1">
      <w:rPr>
        <w:rStyle w:val="SidhuvudUtskott"/>
      </w:rPr>
      <w:fldChar w:fldCharType="end"/>
    </w:r>
    <w:r w:rsidRPr="001B4EC1">
      <w:rPr>
        <w:rStyle w:val="SidhuvudUtskott"/>
      </w:rPr>
      <w:instrText xml:space="preserve"> = "Ja" "    </w:instrText>
    </w:r>
    <w:r w:rsidRPr="001B4EC1">
      <w:rPr>
        <w:rStyle w:val="SidhuvudUtskott"/>
      </w:rPr>
      <w:fldChar w:fldCharType="begin" w:fldLock="1"/>
    </w:r>
    <w:r w:rsidRPr="001B4EC1">
      <w:rPr>
        <w:rStyle w:val="SidhuvudUtskott"/>
      </w:rPr>
      <w:instrText xml:space="preserve"> PRINTDATE \@ "yyyy-MM-dd HH.mm" </w:instrText>
    </w:r>
    <w:r w:rsidRPr="001B4EC1">
      <w:rPr>
        <w:rStyle w:val="SidhuvudUtskott"/>
      </w:rPr>
      <w:fldChar w:fldCharType="separate"/>
    </w:r>
    <w:r w:rsidRPr="001B4EC1">
      <w:rPr>
        <w:rStyle w:val="SidhuvudUtskott"/>
      </w:rPr>
      <w:instrText>2000-08-11 16.42</w:instrText>
    </w:r>
    <w:r w:rsidRPr="001B4EC1">
      <w:rPr>
        <w:rStyle w:val="SidhuvudUtskott"/>
      </w:rPr>
      <w:fldChar w:fldCharType="end"/>
    </w:r>
    <w:r w:rsidRPr="001B4EC1">
      <w:rPr>
        <w:rStyle w:val="SidhuvudUtskott"/>
      </w:rPr>
      <w:instrText xml:space="preserve">" </w:instrText>
    </w:r>
    <w:r w:rsidRPr="001B4EC1">
      <w:rPr>
        <w:rStyle w:val="SidhuvudUtskott"/>
      </w:rPr>
      <w:fldChar w:fldCharType="end"/>
    </w:r>
  </w:p>
  <w:p w:rsidR="00252869" w:rsidRPr="001B4EC1" w:rsidRDefault="0025286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Udda"/>
      <w:framePr w:w="8732" w:h="567" w:hRule="exact" w:vSpace="0" w:wrap="around" w:vAnchor="page" w:y="341" w:anchorLock="0"/>
    </w:pPr>
    <w:r w:rsidRPr="001B4EC1">
      <w:rPr>
        <w:rStyle w:val="SidhuvudRubrikReferens"/>
      </w:rPr>
      <w:fldChar w:fldCharType="begin" w:fldLock="1"/>
    </w:r>
    <w:r w:rsidRPr="001B4EC1">
      <w:rPr>
        <w:rStyle w:val="SidhuvudRubrikReferens"/>
      </w:rPr>
      <w:instrText xml:space="preserve"> StyleREF "Rubrik 1" </w:instrText>
    </w:r>
    <w:r w:rsidRPr="001B4EC1">
      <w:rPr>
        <w:rStyle w:val="SidhuvudRubrikReferens"/>
      </w:rPr>
      <w:fldChar w:fldCharType="separate"/>
    </w:r>
    <w:r w:rsidRPr="001B4EC1">
      <w:rPr>
        <w:rStyle w:val="SidhuvudRubrikReferens"/>
      </w:rPr>
      <w:t>Innehållsförteckning</w:t>
    </w:r>
    <w:r w:rsidRPr="001B4EC1">
      <w:rPr>
        <w:rStyle w:val="SidhuvudRubrikReferens"/>
      </w:rPr>
      <w:fldChar w:fldCharType="end"/>
    </w:r>
    <w:r w:rsidRPr="001B4EC1">
      <w:rPr>
        <w:rStyle w:val="SidhuvudBilaga"/>
      </w:rPr>
      <w:t xml:space="preserve"> </w:t>
    </w:r>
    <w:r w:rsidRPr="001B4EC1">
      <w:t xml:space="preserve">     </w:t>
    </w:r>
    <w:r w:rsidRPr="001B4EC1">
      <w:rPr>
        <w:rStyle w:val="SidhuvudUtskott"/>
      </w:rPr>
      <w:fldChar w:fldCharType="begin" w:fldLock="1"/>
    </w:r>
    <w:r w:rsidRPr="001B4EC1">
      <w:rPr>
        <w:rStyle w:val="SidhuvudUtskott"/>
      </w:rPr>
      <w:instrText xml:space="preserve"> DOCPROPERTY BetänkandeÅr</w:instrText>
    </w:r>
    <w:r w:rsidRPr="001B4EC1">
      <w:rPr>
        <w:rStyle w:val="SidhuvudUtskott"/>
      </w:rPr>
      <w:fldChar w:fldCharType="separate"/>
    </w:r>
    <w:r w:rsidRPr="001B4EC1">
      <w:rPr>
        <w:rStyle w:val="SidhuvudUtskott"/>
      </w:rPr>
      <w:t>2003/04</w:t>
    </w:r>
    <w:r w:rsidRPr="001B4EC1">
      <w:rPr>
        <w:rStyle w:val="SidhuvudUtskott"/>
      </w:rPr>
      <w:fldChar w:fldCharType="end"/>
    </w:r>
    <w:r w:rsidRPr="001B4EC1">
      <w:rPr>
        <w:rStyle w:val="SidhuvudUtskott"/>
      </w:rPr>
      <w:t>:</w:t>
    </w:r>
    <w:r w:rsidRPr="001B4EC1">
      <w:rPr>
        <w:rStyle w:val="SidhuvudUtskott"/>
      </w:rPr>
      <w:fldChar w:fldCharType="begin" w:fldLock="1"/>
    </w:r>
    <w:r w:rsidRPr="001B4EC1">
      <w:rPr>
        <w:rStyle w:val="SidhuvudUtskott"/>
      </w:rPr>
      <w:instrText xml:space="preserve"> DOCPROPERTY</w:instrText>
    </w:r>
    <w:r w:rsidRPr="001B4EC1">
      <w:instrText xml:space="preserve"> </w:instrText>
    </w:r>
    <w:r w:rsidRPr="001B4EC1">
      <w:rPr>
        <w:rStyle w:val="SidhuvudUtskott"/>
      </w:rPr>
      <w:instrText>Utskott</w:instrText>
    </w:r>
    <w:r w:rsidRPr="001B4EC1">
      <w:rPr>
        <w:rStyle w:val="SidhuvudUtskott"/>
      </w:rPr>
      <w:fldChar w:fldCharType="separate"/>
    </w:r>
    <w:r w:rsidRPr="001B4EC1">
      <w:rPr>
        <w:rStyle w:val="SidhuvudUtskott"/>
      </w:rPr>
      <w:t>KU</w:t>
    </w:r>
    <w:r w:rsidRPr="001B4EC1">
      <w:rPr>
        <w:rStyle w:val="SidhuvudUtskott"/>
      </w:rPr>
      <w:fldChar w:fldCharType="end"/>
    </w:r>
    <w:r w:rsidRPr="001B4EC1">
      <w:rPr>
        <w:rStyle w:val="SidhuvudUtskott"/>
      </w:rPr>
      <w:fldChar w:fldCharType="begin" w:fldLock="1"/>
    </w:r>
    <w:r w:rsidRPr="001B4EC1">
      <w:rPr>
        <w:rStyle w:val="SidhuvudUtskott"/>
      </w:rPr>
      <w:instrText xml:space="preserve"> DOCPROPERTY Betä</w:instrText>
    </w:r>
    <w:r w:rsidRPr="001B4EC1">
      <w:rPr>
        <w:rStyle w:val="SidhuvudUtskott"/>
      </w:rPr>
      <w:instrText>n</w:instrText>
    </w:r>
    <w:r w:rsidRPr="001B4EC1">
      <w:rPr>
        <w:rStyle w:val="SidhuvudUtskott"/>
      </w:rPr>
      <w:instrText>kandeNr</w:instrText>
    </w:r>
    <w:r w:rsidRPr="001B4EC1">
      <w:rPr>
        <w:rStyle w:val="SidhuvudUtskott"/>
      </w:rPr>
      <w:fldChar w:fldCharType="separate"/>
    </w:r>
    <w:r w:rsidRPr="001B4EC1">
      <w:rPr>
        <w:rStyle w:val="SidhuvudUtskott"/>
      </w:rPr>
      <w:t>20</w:t>
    </w:r>
    <w:r w:rsidRPr="001B4EC1">
      <w:rPr>
        <w:rStyle w:val="SidhuvudUtskott"/>
      </w:rPr>
      <w:fldChar w:fldCharType="end"/>
    </w:r>
  </w:p>
  <w:p w:rsidR="00252869" w:rsidRPr="001B4EC1" w:rsidRDefault="00252869">
    <w:pPr>
      <w:pStyle w:val="SidhuvudKantUdda"/>
      <w:framePr w:w="8732" w:h="567" w:hRule="exact" w:vSpace="0" w:wrap="around" w:vAnchor="page" w:y="341" w:anchorLock="0"/>
    </w:pPr>
    <w:r w:rsidRPr="001B4EC1">
      <w:rPr>
        <w:rStyle w:val="SidhuvudUtskott"/>
      </w:rPr>
      <w:fldChar w:fldCharType="begin" w:fldLock="1"/>
    </w:r>
    <w:r w:rsidRPr="001B4EC1">
      <w:rPr>
        <w:rStyle w:val="SidhuvudUtskott"/>
      </w:rPr>
      <w:instrText xml:space="preserve"> if </w:instrText>
    </w:r>
    <w:r w:rsidRPr="001B4EC1">
      <w:rPr>
        <w:rStyle w:val="SidhuvudUtskott"/>
      </w:rPr>
      <w:fldChar w:fldCharType="begin" w:fldLock="1"/>
    </w:r>
    <w:r w:rsidRPr="001B4EC1">
      <w:rPr>
        <w:rStyle w:val="SidhuvudUtskott"/>
      </w:rPr>
      <w:instrText xml:space="preserve"> DOCPROPERTY "UtkastDatum"</w:instrText>
    </w:r>
    <w:r w:rsidRPr="001B4EC1">
      <w:rPr>
        <w:rStyle w:val="SidhuvudUtskott"/>
      </w:rPr>
      <w:fldChar w:fldCharType="separate"/>
    </w:r>
    <w:r w:rsidRPr="001B4EC1">
      <w:rPr>
        <w:rStyle w:val="SidhuvudUtskott"/>
      </w:rPr>
      <w:instrText>Nej</w:instrText>
    </w:r>
    <w:r w:rsidRPr="001B4EC1">
      <w:rPr>
        <w:rStyle w:val="SidhuvudUtskott"/>
      </w:rPr>
      <w:fldChar w:fldCharType="end"/>
    </w:r>
    <w:r w:rsidRPr="001B4EC1">
      <w:rPr>
        <w:rStyle w:val="SidhuvudUtskott"/>
      </w:rPr>
      <w:instrText xml:space="preserve"> = "Ja" "</w:instrText>
    </w:r>
    <w:r w:rsidRPr="001B4EC1">
      <w:rPr>
        <w:rStyle w:val="SidhuvudUtskott"/>
      </w:rPr>
      <w:fldChar w:fldCharType="begin" w:fldLock="1"/>
    </w:r>
    <w:r w:rsidRPr="001B4EC1">
      <w:rPr>
        <w:rStyle w:val="SidhuvudUtskott"/>
      </w:rPr>
      <w:instrText xml:space="preserve"> PRINTDATE \@ "yyyy-MM-dd HH.mm    " </w:instrText>
    </w:r>
    <w:r w:rsidRPr="001B4EC1">
      <w:rPr>
        <w:rStyle w:val="SidhuvudUtskott"/>
      </w:rPr>
      <w:fldChar w:fldCharType="separate"/>
    </w:r>
    <w:r w:rsidRPr="001B4EC1">
      <w:rPr>
        <w:rStyle w:val="SidhuvudUtskott"/>
      </w:rPr>
      <w:instrText>2000-08-11 16.42</w:instrText>
    </w:r>
    <w:r w:rsidRPr="001B4EC1">
      <w:rPr>
        <w:rStyle w:val="SidhuvudUtskott"/>
      </w:rPr>
      <w:fldChar w:fldCharType="end"/>
    </w:r>
    <w:r w:rsidRPr="001B4EC1">
      <w:rPr>
        <w:rStyle w:val="SidhuvudUtskott"/>
      </w:rPr>
      <w:instrText xml:space="preserve">" </w:instrText>
    </w:r>
    <w:r w:rsidRPr="001B4EC1">
      <w:rPr>
        <w:rStyle w:val="SidhuvudUtskott"/>
      </w:rPr>
      <w:fldChar w:fldCharType="end"/>
    </w:r>
    <w:r w:rsidRPr="001B4EC1">
      <w:rPr>
        <w:rStyle w:val="SidhuvudUtskott"/>
      </w:rPr>
      <w:fldChar w:fldCharType="begin" w:fldLock="1"/>
    </w:r>
    <w:r w:rsidRPr="001B4EC1">
      <w:rPr>
        <w:rStyle w:val="SidhuvudUtskott"/>
      </w:rPr>
      <w:instrText xml:space="preserve"> DOCPR</w:instrText>
    </w:r>
    <w:r w:rsidRPr="001B4EC1">
      <w:rPr>
        <w:rStyle w:val="SidhuvudUtskott"/>
      </w:rPr>
      <w:instrText>O</w:instrText>
    </w:r>
    <w:r w:rsidRPr="001B4EC1">
      <w:rPr>
        <w:rStyle w:val="SidhuvudUtskott"/>
      </w:rPr>
      <w:instrText>PERTY Status</w:instrText>
    </w:r>
    <w:r w:rsidRPr="001B4EC1">
      <w:rPr>
        <w:rStyle w:val="SidhuvudUtskott"/>
      </w:rPr>
      <w:fldChar w:fldCharType="end"/>
    </w:r>
  </w:p>
  <w:p w:rsidR="00252869" w:rsidRPr="001B4EC1" w:rsidRDefault="0025286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9" w:rsidRPr="001B4EC1" w:rsidRDefault="00252869">
    <w:pPr>
      <w:pStyle w:val="SidhuvudKantJmn"/>
      <w:framePr w:w="8732" w:h="567" w:hRule="exact" w:vSpace="0" w:wrap="around" w:vAnchor="page" w:y="341" w:anchorLock="0"/>
    </w:pPr>
    <w:r w:rsidRPr="001B4EC1">
      <w:rPr>
        <w:rStyle w:val="SidhuvudUtskott"/>
      </w:rPr>
      <w:t>2003/04:KU20</w:t>
    </w:r>
    <w:r w:rsidRPr="001B4EC1">
      <w:t xml:space="preserve">    </w:t>
    </w:r>
  </w:p>
  <w:p w:rsidR="00252869" w:rsidRPr="001B4EC1" w:rsidRDefault="00252869">
    <w:pPr>
      <w:pStyle w:val="SidhuvudKantJmn"/>
      <w:framePr w:w="8732" w:h="567" w:hRule="exact" w:vSpace="0" w:wrap="around" w:vAnchor="page" w:y="341" w:anchorLock="0"/>
    </w:pPr>
  </w:p>
  <w:p w:rsidR="00252869" w:rsidRPr="001B4EC1" w:rsidRDefault="00252869">
    <w:pPr>
      <w:pStyle w:val="SidhuvudKantUdda"/>
      <w:framePr w:w="8732" w:h="567" w:hRule="exact" w:vSpace="0" w:wrap="around" w:vAnchor="page" w:y="341" w:anchorLock="0"/>
    </w:pPr>
    <w:r w:rsidRPr="001B4EC1">
      <w:rPr>
        <w:rStyle w:val="SidhuvudRubrikReferens"/>
        <w:smallCaps w:val="0"/>
        <w:spacing w:val="0"/>
        <w:sz w:val="19"/>
      </w:rPr>
      <w:t xml:space="preserve"> </w:t>
    </w:r>
  </w:p>
  <w:p w:rsidR="00252869" w:rsidRPr="001B4EC1" w:rsidRDefault="0025286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6C08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170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7553B"/>
    <w:multiLevelType w:val="singleLevel"/>
    <w:tmpl w:val="99D864C8"/>
    <w:lvl w:ilvl="0">
      <w:numFmt w:val="bullet"/>
      <w:lvlText w:val="–"/>
      <w:lvlJc w:val="left"/>
      <w:pPr>
        <w:tabs>
          <w:tab w:val="num" w:pos="587"/>
        </w:tabs>
        <w:ind w:left="587" w:hanging="360"/>
      </w:pPr>
      <w:rPr>
        <w:rFonts w:hint="default"/>
      </w:rPr>
    </w:lvl>
  </w:abstractNum>
  <w:abstractNum w:abstractNumId="12" w15:restartNumberingAfterBreak="0">
    <w:nsid w:val="04F84A8E"/>
    <w:multiLevelType w:val="singleLevel"/>
    <w:tmpl w:val="1370F88C"/>
    <w:lvl w:ilvl="0">
      <w:numFmt w:val="bullet"/>
      <w:lvlText w:val="–"/>
      <w:lvlJc w:val="left"/>
      <w:pPr>
        <w:tabs>
          <w:tab w:val="num" w:pos="405"/>
        </w:tabs>
        <w:ind w:left="405" w:hanging="360"/>
      </w:pPr>
      <w:rPr>
        <w:rFonts w:hint="default"/>
      </w:rPr>
    </w:lvl>
  </w:abstractNum>
  <w:abstractNum w:abstractNumId="13" w15:restartNumberingAfterBreak="0">
    <w:nsid w:val="0AD40D43"/>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0C914415"/>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6" w15:restartNumberingAfterBreak="0">
    <w:nsid w:val="171F3617"/>
    <w:multiLevelType w:val="singleLevel"/>
    <w:tmpl w:val="99D864C8"/>
    <w:lvl w:ilvl="0">
      <w:numFmt w:val="bullet"/>
      <w:lvlText w:val="–"/>
      <w:lvlJc w:val="left"/>
      <w:pPr>
        <w:tabs>
          <w:tab w:val="num" w:pos="587"/>
        </w:tabs>
        <w:ind w:left="587" w:hanging="360"/>
      </w:pPr>
      <w:rPr>
        <w:rFonts w:hint="default"/>
      </w:rPr>
    </w:lvl>
  </w:abstractNum>
  <w:abstractNum w:abstractNumId="17" w15:restartNumberingAfterBreak="0">
    <w:nsid w:val="2184034A"/>
    <w:multiLevelType w:val="singleLevel"/>
    <w:tmpl w:val="99D864C8"/>
    <w:lvl w:ilvl="0">
      <w:numFmt w:val="bullet"/>
      <w:lvlText w:val="–"/>
      <w:lvlJc w:val="left"/>
      <w:pPr>
        <w:tabs>
          <w:tab w:val="num" w:pos="587"/>
        </w:tabs>
        <w:ind w:left="587" w:hanging="360"/>
      </w:pPr>
      <w:rPr>
        <w:rFonts w:hint="default"/>
      </w:rPr>
    </w:lvl>
  </w:abstractNum>
  <w:abstractNum w:abstractNumId="18" w15:restartNumberingAfterBreak="0">
    <w:nsid w:val="21DD5A43"/>
    <w:multiLevelType w:val="singleLevel"/>
    <w:tmpl w:val="1370F88C"/>
    <w:lvl w:ilvl="0">
      <w:numFmt w:val="bullet"/>
      <w:lvlText w:val="–"/>
      <w:lvlJc w:val="left"/>
      <w:pPr>
        <w:tabs>
          <w:tab w:val="num" w:pos="405"/>
        </w:tabs>
        <w:ind w:left="405" w:hanging="360"/>
      </w:pPr>
      <w:rPr>
        <w:rFonts w:hint="default"/>
      </w:rPr>
    </w:lvl>
  </w:abstractNum>
  <w:abstractNum w:abstractNumId="19" w15:restartNumberingAfterBreak="0">
    <w:nsid w:val="28032576"/>
    <w:multiLevelType w:val="singleLevel"/>
    <w:tmpl w:val="99D864C8"/>
    <w:lvl w:ilvl="0">
      <w:numFmt w:val="bullet"/>
      <w:lvlText w:val="–"/>
      <w:lvlJc w:val="left"/>
      <w:pPr>
        <w:tabs>
          <w:tab w:val="num" w:pos="587"/>
        </w:tabs>
        <w:ind w:left="587" w:hanging="360"/>
      </w:pPr>
      <w:rPr>
        <w:rFonts w:hint="default"/>
      </w:rPr>
    </w:lvl>
  </w:abstractNum>
  <w:abstractNum w:abstractNumId="20" w15:restartNumberingAfterBreak="0">
    <w:nsid w:val="28590648"/>
    <w:multiLevelType w:val="singleLevel"/>
    <w:tmpl w:val="041D000F"/>
    <w:lvl w:ilvl="0">
      <w:start w:val="1"/>
      <w:numFmt w:val="decimal"/>
      <w:lvlText w:val="%1."/>
      <w:lvlJc w:val="left"/>
      <w:pPr>
        <w:tabs>
          <w:tab w:val="num" w:pos="360"/>
        </w:tabs>
        <w:ind w:left="360" w:hanging="360"/>
      </w:pPr>
    </w:lvl>
  </w:abstractNum>
  <w:abstractNum w:abstractNumId="21" w15:restartNumberingAfterBreak="0">
    <w:nsid w:val="2D7239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FA45E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7CA03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89150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3236B1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44B876E6"/>
    <w:multiLevelType w:val="singleLevel"/>
    <w:tmpl w:val="5D10B714"/>
    <w:lvl w:ilvl="0">
      <w:numFmt w:val="bullet"/>
      <w:lvlText w:val="–"/>
      <w:lvlJc w:val="left"/>
      <w:pPr>
        <w:tabs>
          <w:tab w:val="num" w:pos="700"/>
        </w:tabs>
        <w:ind w:left="700" w:hanging="360"/>
      </w:pPr>
      <w:rPr>
        <w:rFonts w:hint="default"/>
      </w:rPr>
    </w:lvl>
  </w:abstractNum>
  <w:abstractNum w:abstractNumId="27" w15:restartNumberingAfterBreak="0">
    <w:nsid w:val="485A6F37"/>
    <w:multiLevelType w:val="singleLevel"/>
    <w:tmpl w:val="041D000F"/>
    <w:lvl w:ilvl="0">
      <w:start w:val="1"/>
      <w:numFmt w:val="decimal"/>
      <w:lvlText w:val="%1."/>
      <w:lvlJc w:val="left"/>
      <w:pPr>
        <w:tabs>
          <w:tab w:val="num" w:pos="360"/>
        </w:tabs>
        <w:ind w:left="360" w:hanging="360"/>
      </w:pPr>
    </w:lvl>
  </w:abstractNum>
  <w:abstractNum w:abstractNumId="28" w15:restartNumberingAfterBreak="0">
    <w:nsid w:val="48967337"/>
    <w:multiLevelType w:val="singleLevel"/>
    <w:tmpl w:val="041D000F"/>
    <w:lvl w:ilvl="0">
      <w:start w:val="1"/>
      <w:numFmt w:val="decimal"/>
      <w:lvlText w:val="%1."/>
      <w:lvlJc w:val="left"/>
      <w:pPr>
        <w:tabs>
          <w:tab w:val="num" w:pos="360"/>
        </w:tabs>
        <w:ind w:left="360" w:hanging="360"/>
      </w:pPr>
    </w:lvl>
  </w:abstractNum>
  <w:abstractNum w:abstractNumId="29" w15:restartNumberingAfterBreak="0">
    <w:nsid w:val="51770705"/>
    <w:multiLevelType w:val="singleLevel"/>
    <w:tmpl w:val="041D000F"/>
    <w:lvl w:ilvl="0">
      <w:start w:val="1"/>
      <w:numFmt w:val="decimal"/>
      <w:lvlText w:val="%1."/>
      <w:lvlJc w:val="left"/>
      <w:pPr>
        <w:tabs>
          <w:tab w:val="num" w:pos="360"/>
        </w:tabs>
        <w:ind w:left="360" w:hanging="360"/>
      </w:pPr>
    </w:lvl>
  </w:abstractNum>
  <w:abstractNum w:abstractNumId="30" w15:restartNumberingAfterBreak="0">
    <w:nsid w:val="55F557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8243454"/>
    <w:multiLevelType w:val="singleLevel"/>
    <w:tmpl w:val="99D864C8"/>
    <w:lvl w:ilvl="0">
      <w:numFmt w:val="bullet"/>
      <w:lvlText w:val="–"/>
      <w:lvlJc w:val="left"/>
      <w:pPr>
        <w:tabs>
          <w:tab w:val="num" w:pos="587"/>
        </w:tabs>
        <w:ind w:left="587" w:hanging="360"/>
      </w:pPr>
      <w:rPr>
        <w:rFonts w:hint="default"/>
      </w:rPr>
    </w:lvl>
  </w:abstractNum>
  <w:abstractNum w:abstractNumId="32" w15:restartNumberingAfterBreak="0">
    <w:nsid w:val="5AF66A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CC13033"/>
    <w:multiLevelType w:val="singleLevel"/>
    <w:tmpl w:val="1370F88C"/>
    <w:lvl w:ilvl="0">
      <w:numFmt w:val="bullet"/>
      <w:lvlText w:val="–"/>
      <w:lvlJc w:val="left"/>
      <w:pPr>
        <w:tabs>
          <w:tab w:val="num" w:pos="405"/>
        </w:tabs>
        <w:ind w:left="405" w:hanging="360"/>
      </w:pPr>
      <w:rPr>
        <w:rFonts w:hint="default"/>
      </w:rPr>
    </w:lvl>
  </w:abstractNum>
  <w:abstractNum w:abstractNumId="34" w15:restartNumberingAfterBreak="0">
    <w:nsid w:val="5CD356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EB522AF"/>
    <w:multiLevelType w:val="singleLevel"/>
    <w:tmpl w:val="5D10B714"/>
    <w:lvl w:ilvl="0">
      <w:numFmt w:val="bullet"/>
      <w:lvlText w:val="–"/>
      <w:lvlJc w:val="left"/>
      <w:pPr>
        <w:tabs>
          <w:tab w:val="num" w:pos="700"/>
        </w:tabs>
        <w:ind w:left="700" w:hanging="360"/>
      </w:pPr>
      <w:rPr>
        <w:rFonts w:hint="default"/>
      </w:rPr>
    </w:lvl>
  </w:abstractNum>
  <w:abstractNum w:abstractNumId="36" w15:restartNumberingAfterBreak="0">
    <w:nsid w:val="61BF34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68402F"/>
    <w:multiLevelType w:val="singleLevel"/>
    <w:tmpl w:val="1370F88C"/>
    <w:lvl w:ilvl="0">
      <w:numFmt w:val="bullet"/>
      <w:lvlText w:val="–"/>
      <w:lvlJc w:val="left"/>
      <w:pPr>
        <w:tabs>
          <w:tab w:val="num" w:pos="405"/>
        </w:tabs>
        <w:ind w:left="405" w:hanging="360"/>
      </w:pPr>
      <w:rPr>
        <w:rFonts w:hint="default"/>
      </w:rPr>
    </w:lvl>
  </w:abstractNum>
  <w:abstractNum w:abstractNumId="38" w15:restartNumberingAfterBreak="0">
    <w:nsid w:val="694540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3E852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4F3674F"/>
    <w:multiLevelType w:val="singleLevel"/>
    <w:tmpl w:val="041D000F"/>
    <w:lvl w:ilvl="0">
      <w:start w:val="1"/>
      <w:numFmt w:val="decimal"/>
      <w:lvlText w:val="%1."/>
      <w:lvlJc w:val="left"/>
      <w:pPr>
        <w:tabs>
          <w:tab w:val="num" w:pos="360"/>
        </w:tabs>
        <w:ind w:left="360" w:hanging="360"/>
      </w:pPr>
    </w:lvl>
  </w:abstractNum>
  <w:abstractNum w:abstractNumId="41" w15:restartNumberingAfterBreak="0">
    <w:nsid w:val="7817689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 w15:restartNumberingAfterBreak="0">
    <w:nsid w:val="7A19625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 w15:restartNumberingAfterBreak="0">
    <w:nsid w:val="7ACA703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58356180">
    <w:abstractNumId w:val="15"/>
  </w:num>
  <w:num w:numId="2" w16cid:durableId="711073170">
    <w:abstractNumId w:val="8"/>
  </w:num>
  <w:num w:numId="3" w16cid:durableId="434331724">
    <w:abstractNumId w:val="3"/>
  </w:num>
  <w:num w:numId="4" w16cid:durableId="2115131005">
    <w:abstractNumId w:val="2"/>
  </w:num>
  <w:num w:numId="5" w16cid:durableId="986589275">
    <w:abstractNumId w:val="1"/>
  </w:num>
  <w:num w:numId="6" w16cid:durableId="1634368505">
    <w:abstractNumId w:val="0"/>
  </w:num>
  <w:num w:numId="7" w16cid:durableId="1385904658">
    <w:abstractNumId w:val="9"/>
  </w:num>
  <w:num w:numId="8" w16cid:durableId="2017229222">
    <w:abstractNumId w:val="7"/>
  </w:num>
  <w:num w:numId="9" w16cid:durableId="643654827">
    <w:abstractNumId w:val="6"/>
  </w:num>
  <w:num w:numId="10" w16cid:durableId="1200171208">
    <w:abstractNumId w:val="5"/>
  </w:num>
  <w:num w:numId="11" w16cid:durableId="914507477">
    <w:abstractNumId w:val="4"/>
  </w:num>
  <w:num w:numId="12" w16cid:durableId="191496303">
    <w:abstractNumId w:val="39"/>
  </w:num>
  <w:num w:numId="13" w16cid:durableId="1227297019">
    <w:abstractNumId w:val="16"/>
  </w:num>
  <w:num w:numId="14" w16cid:durableId="780271644">
    <w:abstractNumId w:val="27"/>
  </w:num>
  <w:num w:numId="15" w16cid:durableId="1925410920">
    <w:abstractNumId w:val="24"/>
  </w:num>
  <w:num w:numId="16" w16cid:durableId="297683842">
    <w:abstractNumId w:val="32"/>
  </w:num>
  <w:num w:numId="17" w16cid:durableId="220411859">
    <w:abstractNumId w:val="18"/>
  </w:num>
  <w:num w:numId="18" w16cid:durableId="1423143783">
    <w:abstractNumId w:val="33"/>
  </w:num>
  <w:num w:numId="19" w16cid:durableId="321279586">
    <w:abstractNumId w:val="12"/>
  </w:num>
  <w:num w:numId="20" w16cid:durableId="981545901">
    <w:abstractNumId w:val="37"/>
  </w:num>
  <w:num w:numId="21" w16cid:durableId="794904688">
    <w:abstractNumId w:val="10"/>
  </w:num>
  <w:num w:numId="22" w16cid:durableId="1204175757">
    <w:abstractNumId w:val="36"/>
  </w:num>
  <w:num w:numId="23" w16cid:durableId="764572605">
    <w:abstractNumId w:val="22"/>
  </w:num>
  <w:num w:numId="24" w16cid:durableId="1983731444">
    <w:abstractNumId w:val="38"/>
  </w:num>
  <w:num w:numId="25" w16cid:durableId="313724748">
    <w:abstractNumId w:val="19"/>
  </w:num>
  <w:num w:numId="26" w16cid:durableId="447554351">
    <w:abstractNumId w:val="31"/>
  </w:num>
  <w:num w:numId="27" w16cid:durableId="1919241619">
    <w:abstractNumId w:val="28"/>
  </w:num>
  <w:num w:numId="28" w16cid:durableId="1339771499">
    <w:abstractNumId w:val="30"/>
  </w:num>
  <w:num w:numId="29" w16cid:durableId="1038697283">
    <w:abstractNumId w:val="43"/>
  </w:num>
  <w:num w:numId="30" w16cid:durableId="419983299">
    <w:abstractNumId w:val="40"/>
  </w:num>
  <w:num w:numId="31" w16cid:durableId="1642882680">
    <w:abstractNumId w:val="14"/>
  </w:num>
  <w:num w:numId="32" w16cid:durableId="1536037072">
    <w:abstractNumId w:val="20"/>
  </w:num>
  <w:num w:numId="33" w16cid:durableId="552541768">
    <w:abstractNumId w:val="41"/>
  </w:num>
  <w:num w:numId="34" w16cid:durableId="1795906339">
    <w:abstractNumId w:val="29"/>
  </w:num>
  <w:num w:numId="35" w16cid:durableId="232785046">
    <w:abstractNumId w:val="23"/>
  </w:num>
  <w:num w:numId="36" w16cid:durableId="646208990">
    <w:abstractNumId w:val="34"/>
  </w:num>
  <w:num w:numId="37" w16cid:durableId="1414550649">
    <w:abstractNumId w:val="21"/>
  </w:num>
  <w:num w:numId="38" w16cid:durableId="1952587574">
    <w:abstractNumId w:val="25"/>
  </w:num>
  <w:num w:numId="39" w16cid:durableId="397942840">
    <w:abstractNumId w:val="13"/>
  </w:num>
  <w:num w:numId="40" w16cid:durableId="888569088">
    <w:abstractNumId w:val="42"/>
  </w:num>
  <w:num w:numId="41" w16cid:durableId="825244970">
    <w:abstractNumId w:val="11"/>
  </w:num>
  <w:num w:numId="42" w16cid:durableId="985428490">
    <w:abstractNumId w:val="17"/>
  </w:num>
  <w:num w:numId="43" w16cid:durableId="1196383567">
    <w:abstractNumId w:val="35"/>
  </w:num>
  <w:num w:numId="44" w16cid:durableId="19167380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807A36"/>
    <w:rsid w:val="001B4EC1"/>
    <w:rsid w:val="00252869"/>
    <w:rsid w:val="00807A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E56923-9DCB-4C02-B37E-E98143DC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89837</Words>
  <Characters>546216</Characters>
  <Application>Microsoft Office Word</Application>
  <DocSecurity>4</DocSecurity>
  <Lines>9582</Lines>
  <Paragraphs>2148</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Konstitutionsutskottets betänkande</vt:lpstr>
      <vt:lpstr>Inledning</vt:lpstr>
      <vt:lpstr>Sammanfattning</vt:lpstr>
      <vt:lpstr>    Behandlade frågor</vt:lpstr>
      <vt:lpstr>    Vissa resultat av granskningen</vt:lpstr>
      <vt:lpstr>Innehållsförteckning</vt:lpstr>
      <vt:lpstr>Utskottets anmälan</vt:lpstr>
      <vt:lpstr>1 Regeringens förhållande till riksdagen</vt:lpstr>
      <vt:lpstr>    1.1 Frågan om Östersjöns status som särskilt känsligt havsområde </vt:lpstr>
      <vt:lpstr>        Anmälan</vt:lpstr>
      <vt:lpstr>        Bakgrund</vt:lpstr>
      <vt:lpstr>        Promemorior från Miljödepartementet</vt:lpstr>
      <vt:lpstr>        Utskottets ställningstagande</vt:lpstr>
      <vt:lpstr>    1.2 Statsrådet Hans Karlssons ansvar för förseningen av en utredning om arbetskr</vt:lpstr>
      <vt:lpstr>        Anmälan</vt:lpstr>
      <vt:lpstr>        Bakgrund</vt:lpstr>
      <vt:lpstr>        Promemoria från Näringsdepartementet</vt:lpstr>
      <vt:lpstr>        Utskottets ställningstagande</vt:lpstr>
      <vt:lpstr>    1.3 Regeringens agerande avseende riksdagens beslut om Utlänningsnämnden</vt:lpstr>
      <vt:lpstr>        Anmälningar</vt:lpstr>
      <vt:lpstr>        Bakgrund</vt:lpstr>
      <vt:lpstr>        Promemorior från Utrikesdepartementet</vt:lpstr>
      <vt:lpstr>        Utskottets ställningstagande</vt:lpstr>
      <vt:lpstr>    1.4 Handläggningen av frågan om lokalt folkinitiativ</vt:lpstr>
      <vt:lpstr>        Anmälan</vt:lpstr>
      <vt:lpstr>        Bakgrund</vt:lpstr>
    </vt:vector>
  </TitlesOfParts>
  <Company>Riksdagen</Company>
  <LinksUpToDate>false</LinksUpToDate>
  <CharactersWithSpaces>633905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2004-05-18T11:33:00Z</cp:lastPrinted>
  <dcterms:created xsi:type="dcterms:W3CDTF">2025-12-16T17:38:00Z</dcterms:created>
  <dcterms:modified xsi:type="dcterms:W3CDTF">2025-12-16T17:38:00Z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KU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