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C01003">
        <w:tblPrEx>
          <w:tblCellMar>
            <w:top w:w="0" w:type="dxa"/>
            <w:left w:w="0" w:type="dxa"/>
            <w:bottom w:w="0" w:type="dxa"/>
            <w:right w:w="0" w:type="dxa"/>
          </w:tblCellMar>
        </w:tblPrEx>
        <w:trPr>
          <w:gridAfter w:val="2"/>
          <w:wAfter w:w="1758" w:type="dxa"/>
          <w:cantSplit/>
          <w:trHeight w:val="1320"/>
        </w:trPr>
        <w:tc>
          <w:tcPr>
            <w:tcW w:w="5897" w:type="dxa"/>
          </w:tcPr>
          <w:p w:rsidR="00695652" w:rsidRPr="00C01003" w:rsidRDefault="00695652">
            <w:pPr>
              <w:pStyle w:val="HuvudRubrik"/>
            </w:pPr>
            <w:r w:rsidRPr="00C01003">
              <w:t>Regeringskansliet</w:t>
            </w:r>
          </w:p>
          <w:p w:rsidR="00695652" w:rsidRPr="00C01003" w:rsidRDefault="00695652">
            <w:pPr>
              <w:pStyle w:val="HuvudRubrik"/>
            </w:pPr>
            <w:r w:rsidRPr="00C01003">
              <w:t>Faktapromemoria  2007/08:FPM96</w:t>
            </w:r>
          </w:p>
        </w:tc>
      </w:tr>
      <w:tr w:rsidR="00000000" w:rsidRPr="00C01003">
        <w:tblPrEx>
          <w:tblCellMar>
            <w:top w:w="0" w:type="dxa"/>
            <w:left w:w="0" w:type="dxa"/>
            <w:bottom w:w="0" w:type="dxa"/>
            <w:right w:w="0" w:type="dxa"/>
          </w:tblCellMar>
        </w:tblPrEx>
        <w:trPr>
          <w:gridAfter w:val="2"/>
          <w:wAfter w:w="1758" w:type="dxa"/>
          <w:cantSplit/>
          <w:trHeight w:val="240"/>
        </w:trPr>
        <w:tc>
          <w:tcPr>
            <w:tcW w:w="5897" w:type="dxa"/>
          </w:tcPr>
          <w:p w:rsidR="00695652" w:rsidRPr="00C01003" w:rsidRDefault="00695652">
            <w:pPr>
              <w:pStyle w:val="HuvudRubrik"/>
              <w:rPr>
                <w:sz w:val="28"/>
              </w:rPr>
            </w:pPr>
            <w:r w:rsidRPr="00C01003">
              <w:t xml:space="preserve">Direktiv- och förordningsändringar för att bekämpa momsbedrägerier vid EU-handel. </w:t>
            </w:r>
          </w:p>
        </w:tc>
      </w:tr>
      <w:tr w:rsidR="00000000" w:rsidRPr="00C01003">
        <w:tblPrEx>
          <w:tblCellMar>
            <w:top w:w="0" w:type="dxa"/>
            <w:left w:w="0" w:type="dxa"/>
            <w:bottom w:w="0" w:type="dxa"/>
            <w:right w:w="0" w:type="dxa"/>
          </w:tblCellMar>
        </w:tblPrEx>
        <w:trPr>
          <w:cantSplit/>
          <w:trHeight w:val="285"/>
        </w:trPr>
        <w:tc>
          <w:tcPr>
            <w:tcW w:w="7655" w:type="dxa"/>
            <w:gridSpan w:val="3"/>
          </w:tcPr>
          <w:p w:rsidR="00695652" w:rsidRPr="00C01003" w:rsidRDefault="00695652">
            <w:pPr>
              <w:pStyle w:val="Departement"/>
              <w:rPr>
                <w:sz w:val="28"/>
              </w:rPr>
            </w:pPr>
            <w:r w:rsidRPr="00C01003">
              <w:t>Finansdepartementet</w:t>
            </w:r>
          </w:p>
        </w:tc>
      </w:tr>
      <w:tr w:rsidR="00000000" w:rsidRPr="00C01003">
        <w:tblPrEx>
          <w:tblCellMar>
            <w:top w:w="0" w:type="dxa"/>
            <w:left w:w="0" w:type="dxa"/>
            <w:bottom w:w="0" w:type="dxa"/>
            <w:right w:w="0" w:type="dxa"/>
          </w:tblCellMar>
        </w:tblPrEx>
        <w:trPr>
          <w:cantSplit/>
          <w:trHeight w:val="240"/>
        </w:trPr>
        <w:tc>
          <w:tcPr>
            <w:tcW w:w="7655" w:type="dxa"/>
            <w:gridSpan w:val="3"/>
          </w:tcPr>
          <w:p w:rsidR="00695652" w:rsidRPr="00C01003" w:rsidRDefault="00695652">
            <w:pPr>
              <w:pStyle w:val="Dokumentdatum"/>
            </w:pPr>
            <w:r w:rsidRPr="00C01003">
              <w:t>2008-04-23</w:t>
            </w:r>
          </w:p>
        </w:tc>
      </w:tr>
      <w:tr w:rsidR="00000000" w:rsidRPr="00C01003">
        <w:tblPrEx>
          <w:tblCellMar>
            <w:top w:w="0" w:type="dxa"/>
            <w:left w:w="0" w:type="dxa"/>
            <w:bottom w:w="0" w:type="dxa"/>
            <w:right w:w="0" w:type="dxa"/>
          </w:tblCellMar>
        </w:tblPrEx>
        <w:trPr>
          <w:cantSplit/>
          <w:trHeight w:val="726"/>
        </w:trPr>
        <w:tc>
          <w:tcPr>
            <w:tcW w:w="7655" w:type="dxa"/>
            <w:gridSpan w:val="3"/>
            <w:vAlign w:val="bottom"/>
          </w:tcPr>
          <w:p w:rsidR="00695652" w:rsidRPr="00C01003" w:rsidRDefault="00695652">
            <w:pPr>
              <w:pStyle w:val="Dokumentbeteckning"/>
            </w:pPr>
            <w:r w:rsidRPr="00C01003">
              <w:t>Dokumentbeteckning</w:t>
            </w:r>
          </w:p>
        </w:tc>
      </w:tr>
      <w:tr w:rsidR="00000000" w:rsidRPr="00C01003">
        <w:tblPrEx>
          <w:tblCellMar>
            <w:top w:w="0" w:type="dxa"/>
            <w:left w:w="0" w:type="dxa"/>
            <w:bottom w:w="0" w:type="dxa"/>
            <w:right w:w="0" w:type="dxa"/>
          </w:tblCellMar>
        </w:tblPrEx>
        <w:trPr>
          <w:gridAfter w:val="1"/>
          <w:wAfter w:w="1560" w:type="dxa"/>
          <w:trHeight w:val="120"/>
        </w:trPr>
        <w:tc>
          <w:tcPr>
            <w:tcW w:w="6095" w:type="dxa"/>
            <w:gridSpan w:val="2"/>
          </w:tcPr>
          <w:p w:rsidR="00695652" w:rsidRPr="00C01003" w:rsidRDefault="00695652">
            <w:bookmarkStart w:id="0" w:name="KomNr"/>
            <w:bookmarkEnd w:id="0"/>
            <w:r w:rsidRPr="00C01003">
              <w:t>KOM(2008)147</w:t>
            </w:r>
          </w:p>
        </w:tc>
      </w:tr>
      <w:tr w:rsidR="00000000" w:rsidRPr="00C01003">
        <w:tblPrEx>
          <w:tblCellMar>
            <w:top w:w="0" w:type="dxa"/>
            <w:left w:w="0" w:type="dxa"/>
            <w:bottom w:w="0" w:type="dxa"/>
            <w:right w:w="0" w:type="dxa"/>
          </w:tblCellMar>
        </w:tblPrEx>
        <w:trPr>
          <w:gridAfter w:val="1"/>
          <w:wAfter w:w="1560" w:type="dxa"/>
          <w:trHeight w:val="120"/>
        </w:trPr>
        <w:tc>
          <w:tcPr>
            <w:tcW w:w="6095" w:type="dxa"/>
            <w:gridSpan w:val="2"/>
          </w:tcPr>
          <w:p w:rsidR="00695652" w:rsidRPr="00C01003" w:rsidRDefault="00695652">
            <w:pPr>
              <w:pStyle w:val="Dokumentbeteckning-titel"/>
            </w:pPr>
            <w:r w:rsidRPr="00C01003">
              <w:t>förslag till ändring av rådets direktiv 2006/112/EG om ett gemensamt system för mervärdesskatt samt ändring i förordning (EG) 1798/2003 i syfte att bekämpa skatteundandragande i samband med gemenskapsinterna transaktioner</w:t>
            </w:r>
          </w:p>
        </w:tc>
      </w:tr>
      <w:tr w:rsidR="00000000" w:rsidRPr="00C01003">
        <w:tblPrEx>
          <w:tblCellMar>
            <w:top w:w="0" w:type="dxa"/>
            <w:left w:w="0" w:type="dxa"/>
            <w:bottom w:w="0" w:type="dxa"/>
            <w:right w:w="0" w:type="dxa"/>
          </w:tblCellMar>
        </w:tblPrEx>
        <w:trPr>
          <w:gridAfter w:val="1"/>
          <w:wAfter w:w="1560" w:type="dxa"/>
          <w:trHeight w:val="120"/>
        </w:trPr>
        <w:tc>
          <w:tcPr>
            <w:tcW w:w="6095" w:type="dxa"/>
            <w:gridSpan w:val="2"/>
          </w:tcPr>
          <w:p w:rsidR="00695652" w:rsidRPr="00C01003" w:rsidRDefault="00695652">
            <w:r w:rsidRPr="00C01003">
              <w:t>Faktapromemoria 2007/08:FPM87</w:t>
            </w:r>
          </w:p>
        </w:tc>
      </w:tr>
      <w:tr w:rsidR="00000000" w:rsidRPr="00C01003">
        <w:tblPrEx>
          <w:tblCellMar>
            <w:top w:w="0" w:type="dxa"/>
            <w:left w:w="0" w:type="dxa"/>
            <w:bottom w:w="0" w:type="dxa"/>
            <w:right w:w="0" w:type="dxa"/>
          </w:tblCellMar>
        </w:tblPrEx>
        <w:trPr>
          <w:gridAfter w:val="1"/>
          <w:wAfter w:w="1560" w:type="dxa"/>
          <w:trHeight w:val="120"/>
        </w:trPr>
        <w:tc>
          <w:tcPr>
            <w:tcW w:w="6095" w:type="dxa"/>
            <w:gridSpan w:val="2"/>
          </w:tcPr>
          <w:p w:rsidR="00695652" w:rsidRPr="00C01003" w:rsidRDefault="00695652">
            <w:pPr>
              <w:pStyle w:val="Dokumentbeteckning-titel"/>
            </w:pPr>
            <w:r w:rsidRPr="00C01003">
              <w:t>Meddelande om ändringar i momssystemet för att bekämpa momsbedrägerier</w:t>
            </w:r>
          </w:p>
        </w:tc>
      </w:tr>
    </w:tbl>
    <w:p w:rsidR="00695652" w:rsidRPr="00C01003" w:rsidRDefault="00695652">
      <w:pPr>
        <w:pStyle w:val="Rubrik1"/>
        <w:numPr>
          <w:ilvl w:val="0"/>
          <w:numId w:val="0"/>
        </w:numPr>
      </w:pPr>
      <w:r w:rsidRPr="00C01003">
        <w:t>Sammanfattning</w:t>
      </w:r>
    </w:p>
    <w:p w:rsidR="00695652" w:rsidRPr="00C01003" w:rsidRDefault="00695652"/>
    <w:p w:rsidR="00695652" w:rsidRPr="00C01003" w:rsidRDefault="00695652">
      <w:r w:rsidRPr="00C01003">
        <w:t>Syftet med förslaget är att bekämpa skatteundandragande på mervärdeskatteområdet vid gränsöverskridande transaktioner inom EU. Förslaget innebär bland annat förkortad period för den periodiska sammanställningen vid handel mellan företagare i olika medlemsstater och kortare nationell deklarationsperiod för företag som bedriver omfattande gränsöverskridande handel inom EU. Vidare förslås ett förenklat förfarande för den periodiska sammanställningen och kortare tidsgränser för överförande av information mellan</w:t>
      </w:r>
      <w:r w:rsidRPr="00C01003">
        <w:t xml:space="preserve"> olika medlemsstaters skatteförvaltningar.</w:t>
      </w:r>
    </w:p>
    <w:p w:rsidR="00695652" w:rsidRPr="00C01003" w:rsidRDefault="00695652">
      <w:r w:rsidRPr="00C01003">
        <w:t>Regeringen stöder initiativen inom EU för att bekämpa skatteflykt och skatteundandragande samtidigt som regeringens och EU:s mål att minska den administrativa bördan måste beaktas. Förslagens inverkan på företagens administrativa börda måste analyseras innan regeringen tar ställning till förslagen.</w:t>
      </w:r>
    </w:p>
    <w:p w:rsidR="00695652" w:rsidRPr="00C01003" w:rsidRDefault="00695652"/>
    <w:p w:rsidR="00695652" w:rsidRPr="00C01003" w:rsidRDefault="00695652">
      <w:pPr>
        <w:pStyle w:val="Rubrik1"/>
      </w:pPr>
      <w:r w:rsidRPr="00C01003">
        <w:lastRenderedPageBreak/>
        <w:t>Förslaget</w:t>
      </w:r>
    </w:p>
    <w:p w:rsidR="00695652" w:rsidRPr="00C01003" w:rsidRDefault="00695652">
      <w:pPr>
        <w:pStyle w:val="Rubrik2"/>
      </w:pPr>
      <w:r w:rsidRPr="00C01003">
        <w:t>Ärendets bakgrund</w:t>
      </w:r>
    </w:p>
    <w:p w:rsidR="00695652" w:rsidRPr="00C01003" w:rsidRDefault="00695652">
      <w:r w:rsidRPr="00C01003">
        <w:t>I faktapromemoria 2007/08:87 finns en utförlig bakgrundsbeskrivning över arbetet inom EU  för att bekämpa skattebedrägerier, särskilt mervärdesskattebedrägerier.</w:t>
      </w:r>
    </w:p>
    <w:p w:rsidR="00695652" w:rsidRPr="00C01003" w:rsidRDefault="00695652">
      <w:pPr>
        <w:rPr>
          <w:shd w:val="clear" w:color="auto" w:fill="FFFF00"/>
        </w:rPr>
      </w:pPr>
      <w:r w:rsidRPr="00C01003">
        <w:t>Kommissionen har den 22 februari 2008 lämnat ett meddelande med en analys av mer långtgående åtgärder för att bekämpa mervärdesskattebedrägerier, vilket beskrivs i faktapromemoria 2007/08:87.</w:t>
      </w:r>
    </w:p>
    <w:p w:rsidR="00695652" w:rsidRPr="00C01003" w:rsidRDefault="00695652">
      <w:r w:rsidRPr="00C01003">
        <w:t>Kommissionen har den 17 mars 2008 lämnat ett förslag till ändringar i mervärdesskattedirektivet</w:t>
      </w:r>
      <w:r w:rsidRPr="00C01003">
        <w:rPr>
          <w:rStyle w:val="Fotnotsreferens"/>
        </w:rPr>
        <w:footnoteReference w:id="1"/>
      </w:r>
      <w:r w:rsidRPr="00C01003">
        <w:t xml:space="preserve"> och förordningen om administrativ samarbete i fråga om mervärdesskatt</w:t>
      </w:r>
      <w:r w:rsidRPr="00C01003">
        <w:rPr>
          <w:rStyle w:val="Fotnotsreferens"/>
        </w:rPr>
        <w:footnoteReference w:id="2"/>
      </w:r>
      <w:r w:rsidRPr="00C01003">
        <w:t xml:space="preserve"> i syfte att bekämpa mervärdesskattebedrägerier vid gemenskapsinterna transaktioner, vilket beskrivs i denna faktapromemoria.</w:t>
      </w:r>
    </w:p>
    <w:p w:rsidR="00695652" w:rsidRPr="00C01003" w:rsidRDefault="00695652"/>
    <w:p w:rsidR="00695652" w:rsidRPr="00C01003" w:rsidRDefault="00695652">
      <w:pPr>
        <w:pStyle w:val="Rubrik2"/>
      </w:pPr>
      <w:r w:rsidRPr="00C01003">
        <w:t>Förslagets innehåll</w:t>
      </w:r>
    </w:p>
    <w:p w:rsidR="00695652" w:rsidRPr="00C01003" w:rsidRDefault="00695652"/>
    <w:p w:rsidR="00695652" w:rsidRPr="00C01003" w:rsidRDefault="00695652">
      <w:r w:rsidRPr="00C01003">
        <w:t>Förslaget innehåller följande delar:</w:t>
      </w:r>
    </w:p>
    <w:p w:rsidR="00695652" w:rsidRPr="00C01003" w:rsidRDefault="00695652"/>
    <w:p w:rsidR="00695652" w:rsidRPr="00C01003" w:rsidRDefault="00695652">
      <w:r w:rsidRPr="00C01003">
        <w:rPr>
          <w:i/>
          <w:iCs/>
        </w:rPr>
        <w:t>Förkortad period för periodiska sammanställningar från tre till en månad.</w:t>
      </w:r>
      <w:r w:rsidRPr="00C01003">
        <w:t xml:space="preserve"> En näringsidkare som säljer varor till en näringsidkare i en annan medlemsstat ska enligt nuvarande regler i mervärdeskattedirektivet rapportera försäljningen i en särskild periodisk sammanställning var tredje månad. Enligt förslaget ska redovisningen istället ske varje månad. Syftet är att göra informationen snabbare tillgänglig för medlemsstaternas skatteförvaltningar. Den periodiska sammanställningen lämnas utöver den vanliga skattedeklarationen av säljaren. Enligt nuvarande regler i mervärdesskattedire</w:t>
      </w:r>
      <w:r w:rsidRPr="00C01003">
        <w:t>ktivet är det möjligt för en medlemsstat införa en kortare period. Enlig kommissionen har endast fyra medlemsstater valt att göra detta. Övriga medlemsstater har en period om tre månader.</w:t>
      </w:r>
    </w:p>
    <w:p w:rsidR="00695652" w:rsidRPr="00C01003" w:rsidRDefault="00695652"/>
    <w:p w:rsidR="00695652" w:rsidRPr="00C01003" w:rsidRDefault="00695652">
      <w:pPr>
        <w:rPr>
          <w:i/>
        </w:rPr>
      </w:pPr>
      <w:r w:rsidRPr="00C01003">
        <w:rPr>
          <w:i/>
        </w:rPr>
        <w:t>Förenklat förfarande för inlämning av periodiska sammanställningar</w:t>
      </w:r>
    </w:p>
    <w:p w:rsidR="00695652" w:rsidRPr="00C01003" w:rsidRDefault="00695652">
      <w:r w:rsidRPr="00C01003">
        <w:t xml:space="preserve">Kommissionen föreslår att den periodiska sammanställningen som huvudregel ska lämnas på elektronisk väg. Enligt nuvarande regler är det frivilligt för medlemsstaterna att införa elektronisk uppgiftslämnande. Syftet bakom förslaget är att underlätta för företagen eftersom vissa medlemsstater inte har infört ett elektroniskt uppgiftslämnande. </w:t>
      </w:r>
    </w:p>
    <w:p w:rsidR="00695652" w:rsidRPr="00C01003" w:rsidRDefault="00695652"/>
    <w:p w:rsidR="00695652" w:rsidRPr="00C01003" w:rsidRDefault="00695652">
      <w:pPr>
        <w:rPr>
          <w:i/>
        </w:rPr>
      </w:pPr>
      <w:r w:rsidRPr="00C01003">
        <w:rPr>
          <w:i/>
        </w:rPr>
        <w:t>Förkortad tidsfrist för överföring av information mellan  medlemsstaterna</w:t>
      </w:r>
    </w:p>
    <w:p w:rsidR="00695652" w:rsidRPr="00C01003" w:rsidRDefault="00695652">
      <w:pPr>
        <w:rPr>
          <w:i/>
          <w:iCs/>
        </w:rPr>
      </w:pPr>
      <w:r w:rsidRPr="00C01003">
        <w:t xml:space="preserve">Enligt nuvarande regelverk ska skatteförvaltningen i säljarens medlemsstat överföra  informationen i de periodiska sammanställningarna inom tre månader till skatteförvaltningen i den medlemsstat där förvärvaren är etablerad. Kommissionen föreslår att tiden kortas till en månad i syfte att göra informationen snabbare tillgänglig för skatteförvaltningen i förvärvarens medlemsstat. </w:t>
      </w:r>
    </w:p>
    <w:p w:rsidR="00695652" w:rsidRPr="00C01003" w:rsidRDefault="00695652"/>
    <w:p w:rsidR="00695652" w:rsidRPr="00C01003" w:rsidRDefault="00695652">
      <w:pPr>
        <w:rPr>
          <w:i/>
        </w:rPr>
      </w:pPr>
      <w:r w:rsidRPr="00C01003">
        <w:rPr>
          <w:i/>
        </w:rPr>
        <w:t>Förkortad tid för nationell deklaration för näringsidkare som gör gemenskapsinterna förvärv av varor eller tjänster överstigande 200 000 euro</w:t>
      </w:r>
    </w:p>
    <w:p w:rsidR="00695652" w:rsidRPr="00C01003" w:rsidRDefault="00695652">
      <w:r w:rsidRPr="00C01003">
        <w:t>Medlemsstaterna kan enligt mervärdesskattedirektivet fritt välja redovisningsperiod för den nationella deklarationen så länge denna inte överskrider ett år. Kommissionen föreslår att perioden ska vara en månad för företag som gör gemenskapsinterna köp av tjänster eller varor överstigande 200 000 euro per år.  Syftet är enligt kommissionen att skatteförvaltningen i förvärvarens medlemsstat snabbare ska få tillgång till nödvändig information från företag i den egna medlemsstaten som förvärvar varor och tjäns</w:t>
      </w:r>
      <w:r w:rsidRPr="00C01003">
        <w:t xml:space="preserve">ter från andra medlemsstater för vilka förvärvaren ska betala skatten. </w:t>
      </w:r>
    </w:p>
    <w:p w:rsidR="00695652" w:rsidRPr="00C01003" w:rsidRDefault="00695652"/>
    <w:p w:rsidR="00695652" w:rsidRPr="00C01003" w:rsidRDefault="00695652">
      <w:pPr>
        <w:rPr>
          <w:i/>
        </w:rPr>
      </w:pPr>
      <w:r w:rsidRPr="00C01003">
        <w:rPr>
          <w:i/>
        </w:rPr>
        <w:t>Harmonisering av regler för skattens utkrävbarhet för tjänster</w:t>
      </w:r>
    </w:p>
    <w:p w:rsidR="00695652" w:rsidRPr="00C01003" w:rsidRDefault="00695652">
      <w:r w:rsidRPr="00C01003">
        <w:t>Enligt mervärdesskattedirektivet får medlemsstaterna föreskriva att leveranser av varor och tillhandahållanden av tjänster som pågår kontinuerligt med anses äga rum åtminstone med ett års intervaller. Kommissionen föreslår ett tillägg för gränsöverskridande tjänstetillhandahållanden där förvärvaren ska betala skatten. Tillägget innebär att när dessa tjänster tillhandahålls kontinuerligt ska de anses äga rum vid utgången av varje kalenderår. Förslaget syftar enligt kommissionen till att införa enhetliga reg</w:t>
      </w:r>
      <w:r w:rsidRPr="00C01003">
        <w:t>ler för skattens utkrävbarhet vid gränsöverskridande tjänstetillhandahållanden. Ändringen är enligt kommissionen nödvändig eftersom det blir svårt att kontrollera dessa typer av tjänstetillhandahållanden om de blir utkrävbara vid olika tidpunkter i olika medlemsstater. Förslaget innebär även att skatten vid gränsöverskridande tillhandahållanden av tjänster mellan näringsidkare där förvärvaren med betala skatten blir utkrävbar vid mottagandet av fakturan även om denna mottas innan tjänsten har tillhandahålli</w:t>
      </w:r>
      <w:r w:rsidRPr="00C01003">
        <w:t xml:space="preserve">ts. En sådan  regel saknas enligt nuvarande regler i mervärdeskattedirektivet. Enligt huvudregeln i mervärdeskattedirektivet är skatten utkrävbar när tjänsterna tillhandahålls.  </w:t>
      </w:r>
    </w:p>
    <w:p w:rsidR="00695652" w:rsidRPr="00C01003" w:rsidRDefault="00695652"/>
    <w:p w:rsidR="00695652" w:rsidRPr="00C01003" w:rsidRDefault="00695652">
      <w:pPr>
        <w:pStyle w:val="Rubrik2"/>
      </w:pPr>
      <w:r w:rsidRPr="00C01003">
        <w:t>Gällande svenska regler och förslagets effekt på dessa</w:t>
      </w:r>
    </w:p>
    <w:p w:rsidR="00695652" w:rsidRPr="00C01003" w:rsidRDefault="00695652">
      <w:r w:rsidRPr="00C01003">
        <w:t>Reglerna som genomför mervärdesskattedirektivet återfinns huvudsakligen i mervärdesskattelagen (1994:200) och skattebetalningslagen (1997:483). Om förslaget antas blir en justering av de svenska reglerna nödvändig. Vad gäller de nuvarande svenska reglerna kan följande nämnas:</w:t>
      </w:r>
    </w:p>
    <w:p w:rsidR="00695652" w:rsidRPr="00C01003" w:rsidRDefault="00695652">
      <w:r w:rsidRPr="00C01003">
        <w:t xml:space="preserve">I likhet med majoriteten av medlemsstaterna tillämpar Sverige en period om tre månader för den periodiska sammanställningen. Av skattebetalningslagen framgår det att Skatteverket får bestämma att sammanställningen kan lämnas elektroniskt (vilket Skatteverket har gjort). För den nationella mervärdeskattedeklarationen tillämpar Sverige en period om tre månader för företag med omsättning om högst 40 miljoner kronor. För företag med omsättning över 40 miljoner kronor gäller en period om en månad.    </w:t>
      </w:r>
    </w:p>
    <w:p w:rsidR="00695652" w:rsidRPr="00C01003" w:rsidRDefault="00695652"/>
    <w:p w:rsidR="00695652" w:rsidRPr="00C01003" w:rsidRDefault="00695652">
      <w:pPr>
        <w:pStyle w:val="Rubrik2"/>
      </w:pPr>
      <w:r w:rsidRPr="00C01003">
        <w:t>Budgetära konsekvenser / Konsekvensanalys</w:t>
      </w:r>
    </w:p>
    <w:p w:rsidR="00695652" w:rsidRPr="00C01003" w:rsidRDefault="00695652">
      <w:r w:rsidRPr="00C01003">
        <w:t>De budgetära konsekvenserna är ännu inte analyserade men regeringen gör i nuläget bedömningen att förslagen har begränsade ekonomiska konsekvenser och att dessa ryms inom befintliga ekonomisk ramar. Effekterna på svenska företags administrativa börda har ännu inte analyserats.</w:t>
      </w:r>
    </w:p>
    <w:p w:rsidR="00695652" w:rsidRPr="00C01003" w:rsidRDefault="00695652"/>
    <w:p w:rsidR="00695652" w:rsidRPr="00C01003" w:rsidRDefault="00695652">
      <w:pPr>
        <w:pStyle w:val="Rubrik1"/>
      </w:pPr>
      <w:r w:rsidRPr="00C01003">
        <w:t>Ståndpunkter</w:t>
      </w:r>
    </w:p>
    <w:p w:rsidR="00695652" w:rsidRPr="00C01003" w:rsidRDefault="00695652">
      <w:pPr>
        <w:pStyle w:val="Rubrik2"/>
      </w:pPr>
      <w:r w:rsidRPr="00C01003">
        <w:t>Preliminär svensk ståndpunkt</w:t>
      </w:r>
    </w:p>
    <w:p w:rsidR="00695652" w:rsidRPr="00C01003" w:rsidRDefault="00695652">
      <w:r w:rsidRPr="00C01003">
        <w:t xml:space="preserve">Regeringen stöder initiativen inom EU för att bekämpa skatteflykt och skatteundandragande samtidigt som regeringens och EU:s mål att minska den administrativa bördan måste beaktas. Förslagens effekt på företagens  administrativa börda måste analyseras vidare innan regeringen tar slutligt ställning till förslagen. </w:t>
      </w:r>
    </w:p>
    <w:p w:rsidR="00695652" w:rsidRPr="00C01003" w:rsidRDefault="00695652">
      <w:r w:rsidRPr="00C01003">
        <w:t>Sverige har den 1 januari 2008 utökat perioden för den nationella deklarationen från en till tre månader för företag med omsättning under 40 miljoner kronor årligen i syfte att minska den administrativ bördan för företagen. Regeringen är därför negativ till förslaget om förkortad period för den nationella deklarationen för företag som gör gemenskapsinterna köp över 200 000 euro per år om analysen visar att en stor del av de svenska företag som idag har en redovisningsperiod om tre månader skulle få en förk</w:t>
      </w:r>
      <w:r w:rsidRPr="00C01003">
        <w:t xml:space="preserve">ortad redovisningsperiod. </w:t>
      </w:r>
    </w:p>
    <w:p w:rsidR="00695652" w:rsidRPr="00C01003" w:rsidRDefault="00695652"/>
    <w:p w:rsidR="00695652" w:rsidRPr="00C01003" w:rsidRDefault="00695652"/>
    <w:p w:rsidR="00695652" w:rsidRPr="00C01003" w:rsidRDefault="00695652">
      <w:pPr>
        <w:pStyle w:val="Rubrik2"/>
      </w:pPr>
      <w:r w:rsidRPr="00C01003">
        <w:t>Medlemsstaternas ståndpunkter</w:t>
      </w:r>
    </w:p>
    <w:p w:rsidR="00695652" w:rsidRPr="00C01003" w:rsidRDefault="00695652">
      <w:r w:rsidRPr="00C01003">
        <w:t>Generellt sett är övriga medlemsstater positiva till att vidta åtgärder för att bekämpa skattebedrägerier. Några medlemsstater ser dock problem med att vissa av förslagen kan medföra ökad administrativ börda för företagen.</w:t>
      </w:r>
    </w:p>
    <w:p w:rsidR="00695652" w:rsidRPr="00C01003" w:rsidRDefault="00695652">
      <w:pPr>
        <w:pStyle w:val="Rubrik2"/>
      </w:pPr>
      <w:r w:rsidRPr="00C01003">
        <w:t>Institutionernas ståndpunkter</w:t>
      </w:r>
    </w:p>
    <w:p w:rsidR="00695652" w:rsidRPr="00C01003" w:rsidRDefault="00695652">
      <w:r w:rsidRPr="00C01003">
        <w:t>Institutionernas ståndpunkter är inte kända.</w:t>
      </w:r>
    </w:p>
    <w:p w:rsidR="00695652" w:rsidRPr="00C01003" w:rsidRDefault="00695652">
      <w:pPr>
        <w:pStyle w:val="Rubrik2"/>
      </w:pPr>
      <w:r w:rsidRPr="00C01003">
        <w:t>Remissinstansernas ståndpunkter</w:t>
      </w:r>
    </w:p>
    <w:p w:rsidR="00695652" w:rsidRPr="00C01003" w:rsidRDefault="00695652">
      <w:r w:rsidRPr="00C01003">
        <w:t>Förslaget har remitterats. Remisstiden gick ut den 21 april 2008. En sammanställning av remissyttrandena kommer att färdigställas i Finansdepartementet.</w:t>
      </w:r>
    </w:p>
    <w:p w:rsidR="00695652" w:rsidRPr="00C01003" w:rsidRDefault="00695652">
      <w:pPr>
        <w:pStyle w:val="Rubrik1"/>
      </w:pPr>
      <w:r w:rsidRPr="00C01003">
        <w:t>Förslagets förutsättningar</w:t>
      </w:r>
    </w:p>
    <w:p w:rsidR="00695652" w:rsidRPr="00C01003" w:rsidRDefault="00695652">
      <w:pPr>
        <w:pStyle w:val="Rubrik2"/>
      </w:pPr>
      <w:r w:rsidRPr="00C01003">
        <w:t>Rättslig grund och beslutsförfarande</w:t>
      </w:r>
    </w:p>
    <w:p w:rsidR="00695652" w:rsidRPr="00C01003" w:rsidRDefault="00695652">
      <w:r w:rsidRPr="00C01003">
        <w:t>Artikel 93 i EG-fördraget. Enligt artikel 93 ska rådet genom enhälligt beslut på förslag av kommissionen och efter att ha hört Europaparlamentet och den Ekonomiska och sociala kommittén, anta bestämmelser om harmoniseringen av bl.a. omsättningsskatter, för att säkerställa att den inre marknaden fungerar.</w:t>
      </w:r>
    </w:p>
    <w:p w:rsidR="00695652" w:rsidRPr="00C01003" w:rsidRDefault="00695652">
      <w:pPr>
        <w:pStyle w:val="Rubrik2"/>
      </w:pPr>
      <w:r w:rsidRPr="00C01003">
        <w:t>Subsidiaritets- och proportionalitetsprincipen</w:t>
      </w:r>
    </w:p>
    <w:p w:rsidR="00695652" w:rsidRPr="00C01003" w:rsidRDefault="00695652">
      <w:pPr>
        <w:autoSpaceDE w:val="0"/>
        <w:rPr>
          <w:rFonts w:ascii="TimesNewRoman" w:eastAsia="TimesNewRoman" w:hAnsi="TimesNewRoman" w:cs="TimesNewRoman"/>
          <w:szCs w:val="19"/>
        </w:rPr>
      </w:pPr>
      <w:r w:rsidRPr="00C01003">
        <w:t xml:space="preserve">Kommissionen anför att förslaget är förenligt med subsidiaritetsprincipen av följande skäl. </w:t>
      </w:r>
      <w:r w:rsidRPr="00C01003">
        <w:rPr>
          <w:rFonts w:ascii="TimesNewRoman" w:eastAsia="TimesNewRoman" w:hAnsi="TimesNewRoman" w:cs="TimesNewRoman"/>
          <w:szCs w:val="19"/>
        </w:rPr>
        <w:t>Förslaget avser ett område där gemenskapen inte är ensam behörig. Det är emellertid förenligt med subsidiaritetsprincipen, eftersom målen med förslaget kan uppnås i tillräcklig utsträckning endast genom en åtgärd på gemenskapsnivå. I detta fall finns redan gemensamma regler om insamling och utbyte av uppgifter om gemenskapsinterna transaktioner i rådets direktiv 2006/112/EG och i rådets förordning EG) nr 1798/2003. Medlemsstaterna får inte anta nationell lagstiftning som strider mot gemenskapslagstiftningen</w:t>
      </w:r>
      <w:r w:rsidRPr="00C01003">
        <w:rPr>
          <w:rFonts w:ascii="TimesNewRoman" w:eastAsia="TimesNewRoman" w:hAnsi="TimesNewRoman" w:cs="TimesNewRoman"/>
          <w:szCs w:val="19"/>
        </w:rPr>
        <w:t>. Följaktligen måste en ändring av gällande harmoniserade bestämmelser ske genom en rättsakt som antas av gemenskapen. Dessutom gör åtgärder på gemenskapsnivå det möjligt att effektivare bekämpa skatteundandragande i samband med gemenskapsinterna transaktioner.</w:t>
      </w:r>
    </w:p>
    <w:tbl>
      <w:tblPr>
        <w:tblW w:w="0" w:type="auto"/>
        <w:tblInd w:w="-15" w:type="dxa"/>
        <w:tblLayout w:type="fixed"/>
        <w:tblLook w:val="0000" w:firstRow="0" w:lastRow="0" w:firstColumn="0" w:lastColumn="0" w:noHBand="0" w:noVBand="0"/>
      </w:tblPr>
      <w:tblGrid>
        <w:gridCol w:w="6020"/>
      </w:tblGrid>
      <w:tr w:rsidR="00000000" w:rsidRPr="00C01003">
        <w:tc>
          <w:tcPr>
            <w:tcW w:w="6020" w:type="dxa"/>
            <w:tcBorders>
              <w:top w:val="single" w:sz="4" w:space="0" w:color="FFFFFF"/>
              <w:left w:val="single" w:sz="4" w:space="0" w:color="FFFFFF"/>
              <w:bottom w:val="single" w:sz="4" w:space="0" w:color="FFFFFF"/>
              <w:right w:val="single" w:sz="4" w:space="0" w:color="FFFFFF"/>
            </w:tcBorders>
          </w:tcPr>
          <w:p w:rsidR="00695652" w:rsidRPr="00C01003" w:rsidRDefault="00695652">
            <w:pPr>
              <w:snapToGrid w:val="0"/>
              <w:ind w:right="27"/>
            </w:pPr>
            <w:r w:rsidRPr="00C01003">
              <w:t>Kommissionen anför vidare att den anser att förslaget är förenligt med proportionalitetsprincipen av följande skäl. Vid diskussionerna om en strategi för att bekämpa skatteundandragande i samband med gemenskapsinterna transaktioner övervägdes vissa alternativ som radikalt skulle ändra systemet för uppbörd av skatt och skattens utkrävbarhet. Man kom överens om att sådana åtgärder inte kunde införas inom en snar framtid till följd av de förändringar de skulle påtvinga de ekonomiska aktörerna. Således är dessa</w:t>
            </w:r>
            <w:r w:rsidRPr="00C01003">
              <w:t xml:space="preserve"> ändringar av mervärdesskattedirektivet av liten omfattning. De ytterligare skyldigheterna delas också rättvist mellan de beskattningsbara personerna och skatteförvaltningarna.</w:t>
            </w:r>
          </w:p>
        </w:tc>
      </w:tr>
      <w:tr w:rsidR="00000000" w:rsidRPr="00C01003">
        <w:tc>
          <w:tcPr>
            <w:tcW w:w="6020" w:type="dxa"/>
            <w:tcBorders>
              <w:left w:val="single" w:sz="4" w:space="0" w:color="FFFFFF"/>
              <w:bottom w:val="single" w:sz="4" w:space="0" w:color="FFFFFF"/>
              <w:right w:val="single" w:sz="4" w:space="0" w:color="FFFFFF"/>
            </w:tcBorders>
          </w:tcPr>
          <w:p w:rsidR="00695652" w:rsidRPr="00C01003" w:rsidRDefault="00695652">
            <w:pPr>
              <w:snapToGrid w:val="0"/>
              <w:ind w:left="-3" w:right="27"/>
            </w:pPr>
            <w:r w:rsidRPr="00C01003">
              <w:t>Åtgärden har riktats in så att den bara inverkar på ett litet antal företag. Det är bara 4 % av de företag som är beskattningsbara för mervärdesskatt som lämnar sammanställningar och 9 % som gör gemenskapsinterna förvärv av varor. Den höga tröskeln för förvärv gör att åtgärden endast rör en liten andel av dessa företag. Vidare innehåller 60 % av de sammanställningar som de ekonomiska aktörerna lämnar varje kvartal bara en eller två rader information, varför den ytterligare bördan för de berörda företagen, s</w:t>
            </w:r>
            <w:r w:rsidRPr="00C01003">
              <w:t>om inkluderar majoriteten av små och medelstora företag, är minimal. Åtgärden ändrar inte heller på sammanställningarnas form eller innehåll utan bara deras periodicitet. När det gäller mervärdesskattedeklarationer införs bara en ny skyldighet, som innebär att den informationsskyldighet som gäller för varor utsträcks till att även gälla tjänster.</w:t>
            </w:r>
          </w:p>
          <w:p w:rsidR="00695652" w:rsidRPr="00C01003" w:rsidRDefault="00695652">
            <w:r w:rsidRPr="00C01003">
              <w:t>Förslaget måste analyseras ytterligare innan regeringen tar ställning till kommissionens bedömning att förslaget är förenligt med subsidiaritets- och proportionali</w:t>
            </w:r>
            <w:r w:rsidRPr="00C01003">
              <w:t xml:space="preserve">tetsprinciperna. </w:t>
            </w:r>
          </w:p>
        </w:tc>
      </w:tr>
    </w:tbl>
    <w:p w:rsidR="00695652" w:rsidRPr="00C01003" w:rsidRDefault="00695652"/>
    <w:p w:rsidR="00695652" w:rsidRPr="00C01003" w:rsidRDefault="00695652">
      <w:pPr>
        <w:pStyle w:val="Rubrik1"/>
      </w:pPr>
      <w:r w:rsidRPr="00C01003">
        <w:t>Övrigt</w:t>
      </w:r>
    </w:p>
    <w:p w:rsidR="00695652" w:rsidRPr="00C01003" w:rsidRDefault="00695652">
      <w:pPr>
        <w:pStyle w:val="Rubrik2"/>
      </w:pPr>
      <w:r w:rsidRPr="00C01003">
        <w:t>Fortsatt behandling av ärendet</w:t>
      </w:r>
    </w:p>
    <w:p w:rsidR="00695652" w:rsidRPr="00C01003" w:rsidRDefault="00695652">
      <w:r w:rsidRPr="00C01003">
        <w:t xml:space="preserve">Förslaget togs upp vid rådsarbetsgruppsmöten den 8 april 2008 och den 17 april 2008. Behandlingen av förslaget bestod främst i att kommissionen presenterade förslaget. Majoriteten av medlemsstaterna hade ännu inte hunnit analysera förslaget. Det slovenska ordförandeskapet avser att driva  förhandlingarna om förslaget i rådet under sitt ordförandeskap. </w:t>
      </w:r>
    </w:p>
    <w:p w:rsidR="00695652" w:rsidRPr="00C01003" w:rsidRDefault="00695652">
      <w:pPr>
        <w:pStyle w:val="Rubrik2"/>
      </w:pPr>
      <w:r w:rsidRPr="00C01003">
        <w:t>Fackuttryck / termer</w:t>
      </w:r>
    </w:p>
    <w:p w:rsidR="00695652" w:rsidRPr="00C01003" w:rsidRDefault="00695652">
      <w:r w:rsidRPr="00C01003">
        <w:t>---</w:t>
      </w:r>
    </w:p>
    <w:sectPr w:rsidR="00695652" w:rsidRPr="00C01003">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5652" w:rsidRPr="00C01003" w:rsidRDefault="00695652">
      <w:r w:rsidRPr="00C01003">
        <w:separator/>
      </w:r>
    </w:p>
  </w:endnote>
  <w:endnote w:type="continuationSeparator" w:id="0">
    <w:p w:rsidR="00695652" w:rsidRPr="00C01003" w:rsidRDefault="00695652">
      <w:r w:rsidRPr="00C010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5652" w:rsidRPr="00C01003" w:rsidRDefault="0069565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5652" w:rsidRPr="00C01003" w:rsidRDefault="00695652">
    <w:pPr>
      <w:pStyle w:val="SidfotH"/>
      <w:framePr w:wrap="around"/>
    </w:pPr>
    <w:r w:rsidRPr="00C01003">
      <w:t>2</w:t>
    </w:r>
  </w:p>
  <w:p w:rsidR="00695652" w:rsidRPr="00C01003" w:rsidRDefault="0069565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5652" w:rsidRPr="00C01003" w:rsidRDefault="00695652">
    <w:pPr>
      <w:pStyle w:val="SidfotH"/>
      <w:framePr w:wrap="around"/>
    </w:pPr>
    <w:r w:rsidRPr="00C01003">
      <w:t>1</w:t>
    </w:r>
  </w:p>
  <w:p w:rsidR="00695652" w:rsidRPr="00C01003" w:rsidRDefault="0069565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5652" w:rsidRPr="00C01003" w:rsidRDefault="00695652">
      <w:r w:rsidRPr="00C01003">
        <w:separator/>
      </w:r>
    </w:p>
  </w:footnote>
  <w:footnote w:type="continuationSeparator" w:id="0">
    <w:p w:rsidR="00695652" w:rsidRPr="00C01003" w:rsidRDefault="00695652">
      <w:r w:rsidRPr="00C01003">
        <w:continuationSeparator/>
      </w:r>
    </w:p>
  </w:footnote>
  <w:footnote w:id="1">
    <w:p w:rsidR="00695652" w:rsidRPr="00C01003" w:rsidRDefault="00695652">
      <w:pPr>
        <w:pStyle w:val="Fotnotstext"/>
      </w:pPr>
      <w:r w:rsidRPr="00C01003">
        <w:rPr>
          <w:rStyle w:val="Funotenzeichen"/>
        </w:rPr>
        <w:footnoteRef/>
      </w:r>
      <w:r w:rsidRPr="00C01003">
        <w:t xml:space="preserve"> Rådets direktiv 2006/112/EG av den 28 november 2006 om ett gemensamt system för mervärdesskatt.</w:t>
      </w:r>
    </w:p>
  </w:footnote>
  <w:footnote w:id="2">
    <w:p w:rsidR="00695652" w:rsidRPr="00C01003" w:rsidRDefault="00695652">
      <w:pPr>
        <w:pStyle w:val="Fotnotstext"/>
      </w:pPr>
      <w:r w:rsidRPr="00C01003">
        <w:rPr>
          <w:rStyle w:val="Funotenzeichen"/>
        </w:rPr>
        <w:footnoteRef/>
      </w:r>
      <w:r w:rsidRPr="00C01003">
        <w:t xml:space="preserve"> Rådets förordning (EG) nr 1798/2003 av den 7 oktober 2003 om administrativt samarbete i fråga om mervärdesskatt och om upphävande av förordning (EEG) nr 218/92.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5652" w:rsidRPr="00C01003" w:rsidRDefault="0069565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5652" w:rsidRPr="00C01003" w:rsidRDefault="00695652">
    <w:pPr>
      <w:pStyle w:val="Kantrubrik"/>
      <w:framePr w:h="1157" w:hRule="exact" w:wrap="around" w:y="738"/>
    </w:pPr>
    <w:r w:rsidRPr="00C01003">
      <w:t>2007/08:FPM96</w:t>
    </w:r>
  </w:p>
  <w:p w:rsidR="00695652" w:rsidRPr="00C01003" w:rsidRDefault="0069565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5652" w:rsidRPr="00C01003" w:rsidRDefault="00C01003">
    <w:pPr>
      <w:pStyle w:val="Sidhuvud"/>
    </w:pPr>
    <w:r w:rsidRPr="00C01003">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9704657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5652" w:rsidRDefault="00695652">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6618"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695652" w:rsidRDefault="00695652">
                    <w:pPr>
                      <w:pStyle w:val="Logo"/>
                    </w:pPr>
                    <w:r>
                      <w:object w:dxaOrig="840" w:dyaOrig="1545">
                        <v:shape id="_x0000_i1025" type="#_x0000_t75" style="width:42pt;height:77.15pt" filled="t">
                          <v:imagedata r:id="rId1" o:title=""/>
                        </v:shape>
                        <o:OLEObject Type="Embed" ProgID="Word.Picture.8" ShapeID="_x0000_i1025" DrawAspect="Content" ObjectID="_1827496618"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324892789">
    <w:abstractNumId w:val="4"/>
  </w:num>
  <w:num w:numId="2" w16cid:durableId="42414333">
    <w:abstractNumId w:val="1"/>
  </w:num>
  <w:num w:numId="3" w16cid:durableId="554583341">
    <w:abstractNumId w:val="2"/>
  </w:num>
  <w:num w:numId="4" w16cid:durableId="210965823">
    <w:abstractNumId w:val="3"/>
  </w:num>
  <w:num w:numId="5" w16cid:durableId="1303661077">
    <w:abstractNumId w:val="5"/>
  </w:num>
  <w:num w:numId="6" w16cid:durableId="1216235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04-23"/>
    <w:docVar w:name="Ar" w:val="2007/08"/>
    <w:docVar w:name="Dep" w:val="Finansdepartementet"/>
    <w:docVar w:name="DepWeb" w:val="Finansdepartementet"/>
    <w:docVar w:name="GDB1" w:val="KOM(2008)147"/>
    <w:docVar w:name="GDB10" w:val=" "/>
    <w:docVar w:name="GDB11" w:val=" "/>
    <w:docVar w:name="GDB12" w:val=" "/>
    <w:docVar w:name="GDB13" w:val=" "/>
    <w:docVar w:name="GDB2" w:val="Faktapromemoria 2007/08:FPM87"/>
    <w:docVar w:name="GDB3" w:val=" "/>
    <w:docVar w:name="GDB4" w:val=" "/>
    <w:docVar w:name="GDB5" w:val=" "/>
    <w:docVar w:name="GDB6" w:val=" "/>
    <w:docVar w:name="GDB7" w:val=" "/>
    <w:docVar w:name="GDB8" w:val=" "/>
    <w:docVar w:name="GDB9" w:val=" "/>
    <w:docVar w:name="GDT1" w:val="förslag till ändring av rådets direktiv 2006/112/EG om ett gemensamt system för mervärdesskatt samt ändring i förordning (EG) 1798/2003 i syfte att bekämpa skatteundandragande i samband med gemenskapsinterna transaktioner"/>
    <w:docVar w:name="GDT10" w:val=" "/>
    <w:docVar w:name="GDT11" w:val=" "/>
    <w:docVar w:name="GDT12" w:val=" "/>
    <w:docVar w:name="GDT13" w:val=" "/>
    <w:docVar w:name="GDT2" w:val="Meddelande om ändringar i momssystemet för att bekämpa momsbedrägerier"/>
    <w:docVar w:name="GDT3" w:val=" "/>
    <w:docVar w:name="GDT4" w:val=" "/>
    <w:docVar w:name="GDT5" w:val=" "/>
    <w:docVar w:name="GDT6" w:val=" "/>
    <w:docVar w:name="GDT7" w:val=" "/>
    <w:docVar w:name="GDT8" w:val=" "/>
    <w:docVar w:name="GDT9" w:val=" "/>
    <w:docVar w:name="GDTWeb" w:val="KOM(2008)147, Faktapromemoria 2007/08:FPM87"/>
    <w:docVar w:name="Nr" w:val="96"/>
    <w:docVar w:name="RD_APPVERSION" w:val="3.00"/>
    <w:docVar w:name="Rub" w:val="Direktiv- och förordningsändringar för att bekämpa momsbedrägerier vid EU-handel."/>
    <w:docVar w:name="UppDat" w:val="2008-04-23"/>
    <w:docVar w:name="Utsk" w:val="Skatteutskottet"/>
  </w:docVars>
  <w:rsids>
    <w:rsidRoot w:val="00393BD3"/>
    <w:rsid w:val="00393BD3"/>
    <w:rsid w:val="00695652"/>
    <w:rsid w:val="00C0100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EC94FF1-1FB6-4F85-A649-837273DE2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character" w:customStyle="1" w:styleId="Funotenzeichen">
    <w:name w:val="Fußnotenzeichen"/>
    <w:basedOn w:val="Standardstycketeckensnitt"/>
    <w:rPr>
      <w:vertAlign w:val="superscript"/>
    </w:rPr>
  </w:style>
  <w:style w:type="paragraph" w:customStyle="1" w:styleId="Normaltindrag1">
    <w:name w:val="Normalt indrag1"/>
    <w:basedOn w:val="Normal"/>
    <w:pPr>
      <w:suppressAutoHyphens/>
      <w:spacing w:before="0"/>
      <w:ind w:firstLine="170"/>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1509</Words>
  <Characters>10263</Characters>
  <Application>Microsoft Office Word</Application>
  <DocSecurity>4</DocSecurity>
  <Lines>205</Lines>
  <Paragraphs>65</Paragraphs>
  <ScaleCrop>false</ScaleCrop>
  <HeadingPairs>
    <vt:vector size="2" baseType="variant">
      <vt:variant>
        <vt:lpstr>Rubrik</vt:lpstr>
      </vt:variant>
      <vt:variant>
        <vt:i4>1</vt:i4>
      </vt:variant>
    </vt:vector>
  </HeadingPairs>
  <TitlesOfParts>
    <vt:vector size="1" baseType="lpstr">
      <vt:lpstr>FPM_200708__96</vt:lpstr>
    </vt:vector>
  </TitlesOfParts>
  <Company>RD-DTSL</Company>
  <LinksUpToDate>false</LinksUpToDate>
  <CharactersWithSpaces>11707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FPM_200708__96</dc:title>
  <dc:subject>FPM_200708__96</dc:subject>
  <dc:creator>Riksdagen</dc:creator>
  <cp:keywords>Riksdagen</cp:keywords>
  <dc:description>KP2004-version.  Ändringarna påverkar enbart användningen inom Riksdagen. 050429 nya departement DTSL.</dc:description>
  <cp:lastModifiedBy>Lars Brink</cp:lastModifiedBy>
  <cp:revision>2</cp:revision>
  <cp:lastPrinted>2008-04-24T05:51:00Z</cp:lastPrinted>
  <dcterms:created xsi:type="dcterms:W3CDTF">2025-12-17T12:10:00Z</dcterms:created>
  <dcterms:modified xsi:type="dcterms:W3CDTF">2025-12-17T12:10:00Z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96</vt:lpwstr>
  </property>
  <property fmtid="{D5CDD505-2E9C-101B-9397-08002B2CF9AE}" pid="4" name="GDB1">
    <vt:lpwstr>KOM(2008)147</vt:lpwstr>
  </property>
  <property fmtid="{D5CDD505-2E9C-101B-9397-08002B2CF9AE}" pid="5" name="GDT1">
    <vt:lpwstr> </vt:lpwstr>
  </property>
  <property fmtid="{D5CDD505-2E9C-101B-9397-08002B2CF9AE}" pid="6" name="Dep">
    <vt:lpwstr>Finansdepartementet</vt:lpwstr>
  </property>
  <property fmtid="{D5CDD505-2E9C-101B-9397-08002B2CF9AE}" pid="7" name="Rub">
    <vt:lpwstr>Direktiv- och förordningsändringar för att bekämpa momsbedrägerier vid EU-handel.</vt:lpwstr>
  </property>
  <property fmtid="{D5CDD505-2E9C-101B-9397-08002B2CF9AE}" pid="8" name="UppDat">
    <vt:lpwstr>2008-04-23</vt:lpwstr>
  </property>
  <property fmtid="{D5CDD505-2E9C-101B-9397-08002B2CF9AE}" pid="9" name="AnkDat">
    <vt:lpwstr>2008-04-23</vt:lpwstr>
  </property>
  <property fmtid="{D5CDD505-2E9C-101B-9397-08002B2CF9AE}" pid="10" name="Utsk">
    <vt:lpwstr>Skatteutskottet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Faktapromemoria 2007/08:FPM87</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6;0;0;264</vt:lpwstr>
  </property>
  <property fmtid="{D5CDD505-2E9C-101B-9397-08002B2CF9AE}" pid="42" name="Sprak">
    <vt:lpwstr>Svenska</vt:lpwstr>
  </property>
  <property fmtid="{D5CDD505-2E9C-101B-9397-08002B2CF9AE}" pid="43" name="DokID">
    <vt:i4>80</vt:i4>
  </property>
</Properties>
</file>