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5FA" w:rsidRPr="002D5ACB" w:rsidRDefault="003135FA" w:rsidP="005F49C5">
      <w:pPr>
        <w:pStyle w:val="Hemstlrubrik"/>
      </w:pPr>
      <w:r w:rsidRPr="002D5ACB">
        <w:t>Förslag till riksdagsbeslut</w:t>
      </w:r>
    </w:p>
    <w:p w:rsidR="003135FA" w:rsidRPr="002D5ACB" w:rsidRDefault="003135FA" w:rsidP="00CE1E11">
      <w:pPr>
        <w:pStyle w:val="Hemstlatt"/>
      </w:pPr>
      <w:r w:rsidRPr="002D5ACB">
        <w:t xml:space="preserve">Riksdagen tillkännager för regeringen som sin mening vad i motionen anförs om prioriteringar inför </w:t>
      </w:r>
      <w:r w:rsidR="00611CD1" w:rsidRPr="002D5ACB">
        <w:t>WTO-förhandlingarna</w:t>
      </w:r>
      <w:r w:rsidR="00CE1E11" w:rsidRPr="002D5ACB">
        <w:t>.</w:t>
      </w:r>
    </w:p>
    <w:p w:rsidR="00E84F25" w:rsidRPr="002D5ACB" w:rsidRDefault="004B3B9F" w:rsidP="00E22893">
      <w:pPr>
        <w:pStyle w:val="Rubrik1"/>
      </w:pPr>
      <w:r w:rsidRPr="002D5ACB">
        <w:t>Fri handel skapar välstånd, frihet och utveckling</w:t>
      </w:r>
    </w:p>
    <w:p w:rsidR="00F03737" w:rsidRPr="002D5ACB" w:rsidRDefault="00F03737" w:rsidP="00F03737">
      <w:pPr>
        <w:rPr>
          <w:snapToGrid w:val="0"/>
          <w:color w:val="000000"/>
        </w:rPr>
      </w:pPr>
      <w:r w:rsidRPr="002D5ACB">
        <w:rPr>
          <w:snapToGrid w:val="0"/>
          <w:color w:val="000000"/>
        </w:rPr>
        <w:t>Länder i samarbete och i fri handel med varandra utgör en god garant för ökat samförstånd, ökad säkerhet och ett högre eget välstånd. Frihandeln bidrar även till att öppna slutna diktat</w:t>
      </w:r>
      <w:r w:rsidRPr="002D5ACB">
        <w:rPr>
          <w:snapToGrid w:val="0"/>
          <w:color w:val="000000"/>
        </w:rPr>
        <w:t>u</w:t>
      </w:r>
      <w:r w:rsidRPr="002D5ACB">
        <w:rPr>
          <w:snapToGrid w:val="0"/>
          <w:color w:val="000000"/>
        </w:rPr>
        <w:t>rer och samhällen mot omvärlden och ger näring till ökad respekt och tillämpning av de mänskliga fri- och rättighetern</w:t>
      </w:r>
      <w:r w:rsidR="00FB0571" w:rsidRPr="002D5ACB">
        <w:rPr>
          <w:snapToGrid w:val="0"/>
          <w:color w:val="000000"/>
        </w:rPr>
        <w:t>a samt rättsstatliga principer.</w:t>
      </w:r>
    </w:p>
    <w:p w:rsidR="00F03737" w:rsidRPr="002D5ACB" w:rsidRDefault="00F03737" w:rsidP="00CE1E11">
      <w:pPr>
        <w:pStyle w:val="Normaltindrag"/>
        <w:rPr>
          <w:snapToGrid w:val="0"/>
        </w:rPr>
      </w:pPr>
      <w:r w:rsidRPr="002D5ACB">
        <w:rPr>
          <w:snapToGrid w:val="0"/>
        </w:rPr>
        <w:t>För utvecklingsländerna är d</w:t>
      </w:r>
      <w:r w:rsidR="002B061E" w:rsidRPr="002D5ACB">
        <w:rPr>
          <w:snapToGrid w:val="0"/>
        </w:rPr>
        <w:t xml:space="preserve">en fria handeln dubbelt viktig, dels </w:t>
      </w:r>
      <w:r w:rsidRPr="002D5ACB">
        <w:rPr>
          <w:snapToGrid w:val="0"/>
        </w:rPr>
        <w:t>genom att den ger tillträde till EU:s och andra i-länders marknader, dels för att den mö</w:t>
      </w:r>
      <w:r w:rsidRPr="002D5ACB">
        <w:rPr>
          <w:snapToGrid w:val="0"/>
        </w:rPr>
        <w:t>j</w:t>
      </w:r>
      <w:r w:rsidRPr="002D5ACB">
        <w:rPr>
          <w:snapToGrid w:val="0"/>
        </w:rPr>
        <w:t>liggör handel och ekonomiskt samarbete mellan u-länder. Handeln är av d</w:t>
      </w:r>
      <w:r w:rsidRPr="002D5ACB">
        <w:rPr>
          <w:snapToGrid w:val="0"/>
        </w:rPr>
        <w:t>o</w:t>
      </w:r>
      <w:r w:rsidRPr="002D5ACB">
        <w:rPr>
          <w:snapToGrid w:val="0"/>
        </w:rPr>
        <w:t>minerande betydelse då den medför exportinkomster samtidigt som utland</w:t>
      </w:r>
      <w:r w:rsidRPr="002D5ACB">
        <w:rPr>
          <w:snapToGrid w:val="0"/>
        </w:rPr>
        <w:t>s</w:t>
      </w:r>
      <w:r w:rsidRPr="002D5ACB">
        <w:rPr>
          <w:snapToGrid w:val="0"/>
        </w:rPr>
        <w:t xml:space="preserve">investeringar spelar en viktig roll för kunskapsöverföring. </w:t>
      </w:r>
    </w:p>
    <w:p w:rsidR="00F03737" w:rsidRPr="002D5ACB" w:rsidRDefault="00F03737" w:rsidP="00F03737">
      <w:pPr>
        <w:pStyle w:val="Normaltindrag"/>
        <w:rPr>
          <w:snapToGrid w:val="0"/>
        </w:rPr>
      </w:pPr>
      <w:r w:rsidRPr="002D5ACB">
        <w:rPr>
          <w:snapToGrid w:val="0"/>
        </w:rPr>
        <w:t>Det är således viktigt att EU och övriga i-länder undanröjer sina handel</w:t>
      </w:r>
      <w:r w:rsidRPr="002D5ACB">
        <w:rPr>
          <w:snapToGrid w:val="0"/>
        </w:rPr>
        <w:t>s</w:t>
      </w:r>
      <w:r w:rsidRPr="002D5ACB">
        <w:rPr>
          <w:snapToGrid w:val="0"/>
        </w:rPr>
        <w:t>hinder mot omvärlden. Sverige skall genom EU driva frågan om en avvec</w:t>
      </w:r>
      <w:r w:rsidRPr="002D5ACB">
        <w:rPr>
          <w:snapToGrid w:val="0"/>
        </w:rPr>
        <w:t>k</w:t>
      </w:r>
      <w:r w:rsidRPr="002D5ACB">
        <w:rPr>
          <w:snapToGrid w:val="0"/>
        </w:rPr>
        <w:t>ling av tullar och handelshinder såväl i</w:t>
      </w:r>
      <w:r w:rsidR="002B061E" w:rsidRPr="002D5ACB">
        <w:rPr>
          <w:snapToGrid w:val="0"/>
        </w:rPr>
        <w:t>nom ramen för den pågående Doh</w:t>
      </w:r>
      <w:r w:rsidR="002B061E" w:rsidRPr="002D5ACB">
        <w:rPr>
          <w:snapToGrid w:val="0"/>
        </w:rPr>
        <w:t>a</w:t>
      </w:r>
      <w:r w:rsidR="002B061E" w:rsidRPr="002D5ACB">
        <w:rPr>
          <w:snapToGrid w:val="0"/>
        </w:rPr>
        <w:t>rundan i World Trade Organiz</w:t>
      </w:r>
      <w:r w:rsidRPr="002D5ACB">
        <w:rPr>
          <w:snapToGrid w:val="0"/>
        </w:rPr>
        <w:t>ation (WTO) som i det arbete som kommer att följa efter WTO-ministermötet i Hong</w:t>
      </w:r>
      <w:r w:rsidR="001B2CBD" w:rsidRPr="002D5ACB">
        <w:rPr>
          <w:snapToGrid w:val="0"/>
        </w:rPr>
        <w:t>k</w:t>
      </w:r>
      <w:r w:rsidRPr="002D5ACB">
        <w:rPr>
          <w:snapToGrid w:val="0"/>
        </w:rPr>
        <w:t>ong. Fri handel med jordbruksprodu</w:t>
      </w:r>
      <w:r w:rsidRPr="002D5ACB">
        <w:rPr>
          <w:snapToGrid w:val="0"/>
        </w:rPr>
        <w:t>k</w:t>
      </w:r>
      <w:r w:rsidRPr="002D5ACB">
        <w:rPr>
          <w:snapToGrid w:val="0"/>
        </w:rPr>
        <w:t>ter bör prioriteras liksom en liberalisering av tjänstemarknaderna och de f</w:t>
      </w:r>
      <w:r w:rsidRPr="002D5ACB">
        <w:rPr>
          <w:snapToGrid w:val="0"/>
        </w:rPr>
        <w:t>i</w:t>
      </w:r>
      <w:r w:rsidRPr="002D5ACB">
        <w:rPr>
          <w:snapToGrid w:val="0"/>
        </w:rPr>
        <w:t>nansiella marknaderna. Fortsatta handelsliberaliseringar på jordbruk</w:t>
      </w:r>
      <w:r w:rsidRPr="002D5ACB">
        <w:rPr>
          <w:snapToGrid w:val="0"/>
        </w:rPr>
        <w:t>s</w:t>
      </w:r>
      <w:r w:rsidRPr="002D5ACB">
        <w:rPr>
          <w:snapToGrid w:val="0"/>
        </w:rPr>
        <w:t>området och en genomgripande reformering av EU:s jordbrukspolitik är viktiga delar i en friare världshandel och ett ökat välstånd. Dumpning av subventionerade produkter skall inte tillåtas motverka fattiga länders utveckling av egna mar</w:t>
      </w:r>
      <w:r w:rsidRPr="002D5ACB">
        <w:rPr>
          <w:snapToGrid w:val="0"/>
        </w:rPr>
        <w:t>k</w:t>
      </w:r>
      <w:r w:rsidRPr="002D5ACB">
        <w:rPr>
          <w:snapToGrid w:val="0"/>
        </w:rPr>
        <w:lastRenderedPageBreak/>
        <w:t>nader. Därmed sku</w:t>
      </w:r>
      <w:r w:rsidRPr="002D5ACB">
        <w:rPr>
          <w:snapToGrid w:val="0"/>
        </w:rPr>
        <w:t>l</w:t>
      </w:r>
      <w:r w:rsidRPr="002D5ACB">
        <w:rPr>
          <w:snapToGrid w:val="0"/>
        </w:rPr>
        <w:t>le en långsiktig grund för sunda handelsförhå</w:t>
      </w:r>
      <w:r w:rsidRPr="002D5ACB">
        <w:rPr>
          <w:snapToGrid w:val="0"/>
        </w:rPr>
        <w:t>l</w:t>
      </w:r>
      <w:r w:rsidRPr="002D5ACB">
        <w:rPr>
          <w:snapToGrid w:val="0"/>
        </w:rPr>
        <w:t>landen och en snabb och långsiktig välståndsö</w:t>
      </w:r>
      <w:r w:rsidRPr="002D5ACB">
        <w:rPr>
          <w:snapToGrid w:val="0"/>
        </w:rPr>
        <w:t>k</w:t>
      </w:r>
      <w:r w:rsidRPr="002D5ACB">
        <w:rPr>
          <w:snapToGrid w:val="0"/>
        </w:rPr>
        <w:t>ning ku</w:t>
      </w:r>
      <w:r w:rsidRPr="002D5ACB">
        <w:rPr>
          <w:snapToGrid w:val="0"/>
        </w:rPr>
        <w:t>n</w:t>
      </w:r>
      <w:r w:rsidR="00FB0571" w:rsidRPr="002D5ACB">
        <w:rPr>
          <w:snapToGrid w:val="0"/>
        </w:rPr>
        <w:t>na läggas.</w:t>
      </w:r>
    </w:p>
    <w:p w:rsidR="00F03737" w:rsidRPr="002D5ACB" w:rsidRDefault="00F03737" w:rsidP="00F03737">
      <w:pPr>
        <w:pStyle w:val="Normaltindrag"/>
        <w:rPr>
          <w:snapToGrid w:val="0"/>
        </w:rPr>
      </w:pPr>
      <w:r w:rsidRPr="002D5ACB">
        <w:rPr>
          <w:snapToGrid w:val="0"/>
        </w:rPr>
        <w:t>EU bör ta initiativ i WTO genom att för egen del avskaffa de låga tullsa</w:t>
      </w:r>
      <w:r w:rsidRPr="002D5ACB">
        <w:rPr>
          <w:snapToGrid w:val="0"/>
        </w:rPr>
        <w:t>t</w:t>
      </w:r>
      <w:r w:rsidRPr="002D5ACB">
        <w:rPr>
          <w:snapToGrid w:val="0"/>
        </w:rPr>
        <w:t>serna, stegvis sänka de högre tullsatserna, direkt avskaffa exportsubventi</w:t>
      </w:r>
      <w:r w:rsidRPr="002D5ACB">
        <w:rPr>
          <w:snapToGrid w:val="0"/>
        </w:rPr>
        <w:t>o</w:t>
      </w:r>
      <w:r w:rsidRPr="002D5ACB">
        <w:rPr>
          <w:snapToGrid w:val="0"/>
        </w:rPr>
        <w:t>nerna samt stegvis minska jordbrukssubventionerna från 2007.</w:t>
      </w:r>
    </w:p>
    <w:p w:rsidR="00FB0571" w:rsidRPr="002D5ACB" w:rsidRDefault="00AA1360" w:rsidP="00F03737">
      <w:pPr>
        <w:pStyle w:val="Normaltindrag"/>
        <w:rPr>
          <w:snapToGrid w:val="0"/>
        </w:rPr>
      </w:pPr>
      <w:r w:rsidRPr="002D5ACB">
        <w:rPr>
          <w:snapToGrid w:val="0"/>
        </w:rPr>
        <w:t>I huvudsak delar vi</w:t>
      </w:r>
      <w:r w:rsidR="00611CD1" w:rsidRPr="002D5ACB">
        <w:rPr>
          <w:snapToGrid w:val="0"/>
        </w:rPr>
        <w:t xml:space="preserve"> alltså</w:t>
      </w:r>
      <w:r w:rsidRPr="002D5ACB">
        <w:rPr>
          <w:snapToGrid w:val="0"/>
        </w:rPr>
        <w:t xml:space="preserve"> den inställning som regeringen redogör för i skrivelsen. Det är en styrka för Sverige att </w:t>
      </w:r>
      <w:r w:rsidR="000417FA" w:rsidRPr="002D5ACB">
        <w:rPr>
          <w:snapToGrid w:val="0"/>
        </w:rPr>
        <w:t>det råder bred enighet och uppslu</w:t>
      </w:r>
      <w:r w:rsidR="000417FA" w:rsidRPr="002D5ACB">
        <w:rPr>
          <w:snapToGrid w:val="0"/>
        </w:rPr>
        <w:t>t</w:t>
      </w:r>
      <w:r w:rsidR="000417FA" w:rsidRPr="002D5ACB">
        <w:rPr>
          <w:snapToGrid w:val="0"/>
        </w:rPr>
        <w:t>ning om den fria handelns betydelse och om de principer som världshandeln bör vila på.</w:t>
      </w:r>
      <w:r w:rsidR="00215489" w:rsidRPr="002D5ACB">
        <w:rPr>
          <w:snapToGrid w:val="0"/>
        </w:rPr>
        <w:t xml:space="preserve"> Denna enighet sluter an till Sverige</w:t>
      </w:r>
      <w:r w:rsidR="002B061E" w:rsidRPr="002D5ACB">
        <w:rPr>
          <w:snapToGrid w:val="0"/>
        </w:rPr>
        <w:t>s</w:t>
      </w:r>
      <w:r w:rsidR="00215489" w:rsidRPr="002D5ACB">
        <w:rPr>
          <w:snapToGrid w:val="0"/>
        </w:rPr>
        <w:t xml:space="preserve"> tradition som frihandelsn</w:t>
      </w:r>
      <w:r w:rsidR="00215489" w:rsidRPr="002D5ACB">
        <w:rPr>
          <w:snapToGrid w:val="0"/>
        </w:rPr>
        <w:t>a</w:t>
      </w:r>
      <w:r w:rsidR="00215489" w:rsidRPr="002D5ACB">
        <w:rPr>
          <w:snapToGrid w:val="0"/>
        </w:rPr>
        <w:t>tion. Utan handel med andra nationer hade vi inte kunnat bygga vårt välstånd.</w:t>
      </w:r>
      <w:r w:rsidR="006174B6" w:rsidRPr="002D5ACB">
        <w:rPr>
          <w:snapToGrid w:val="0"/>
        </w:rPr>
        <w:t xml:space="preserve"> Det är därför naturligt att vi ser frihandel som vägen till utveckling </w:t>
      </w:r>
      <w:r w:rsidR="00611CD1" w:rsidRPr="002D5ACB">
        <w:rPr>
          <w:snapToGrid w:val="0"/>
        </w:rPr>
        <w:t>för</w:t>
      </w:r>
      <w:r w:rsidR="006174B6" w:rsidRPr="002D5ACB">
        <w:rPr>
          <w:snapToGrid w:val="0"/>
        </w:rPr>
        <w:t xml:space="preserve"> vär</w:t>
      </w:r>
      <w:r w:rsidR="006174B6" w:rsidRPr="002D5ACB">
        <w:rPr>
          <w:snapToGrid w:val="0"/>
        </w:rPr>
        <w:t>l</w:t>
      </w:r>
      <w:r w:rsidR="006174B6" w:rsidRPr="002D5ACB">
        <w:rPr>
          <w:snapToGrid w:val="0"/>
        </w:rPr>
        <w:t>dens fattiga länder.</w:t>
      </w:r>
    </w:p>
    <w:p w:rsidR="004B3B9F" w:rsidRPr="002D5ACB" w:rsidRDefault="005F711B" w:rsidP="004B3B9F">
      <w:pPr>
        <w:pStyle w:val="Rubrik1"/>
        <w:rPr>
          <w:snapToGrid w:val="0"/>
        </w:rPr>
      </w:pPr>
      <w:r w:rsidRPr="002D5ACB">
        <w:rPr>
          <w:snapToGrid w:val="0"/>
        </w:rPr>
        <w:t>Kritik mot regeringens redogörelse</w:t>
      </w:r>
    </w:p>
    <w:p w:rsidR="00DE4E6C" w:rsidRPr="002D5ACB" w:rsidRDefault="00FE3153" w:rsidP="00FE3153">
      <w:pPr>
        <w:rPr>
          <w:snapToGrid w:val="0"/>
        </w:rPr>
      </w:pPr>
      <w:r w:rsidRPr="002D5ACB">
        <w:rPr>
          <w:snapToGrid w:val="0"/>
        </w:rPr>
        <w:t>På några punkter finns det dock skäl att rikta kritik mot den redogörelse r</w:t>
      </w:r>
      <w:r w:rsidRPr="002D5ACB">
        <w:rPr>
          <w:snapToGrid w:val="0"/>
        </w:rPr>
        <w:t>e</w:t>
      </w:r>
      <w:r w:rsidRPr="002D5ACB">
        <w:rPr>
          <w:snapToGrid w:val="0"/>
        </w:rPr>
        <w:t>geringen ger i skrivelsen. En grundläggande brist är att regeringen i huvudsak tycks se frihandel ur ett producentperspektiv. Målet är att säkra tillgång till utländska marknader för svenska företag. Gott så, men en minst lika viktig vinst av frihandel är att svenska konsumenter kan få tillgång till bättre och billigare varor och tjänster, och ett större utbud, tack vare att utländska för</w:t>
      </w:r>
      <w:r w:rsidRPr="002D5ACB">
        <w:rPr>
          <w:snapToGrid w:val="0"/>
        </w:rPr>
        <w:t>e</w:t>
      </w:r>
      <w:r w:rsidRPr="002D5ACB">
        <w:rPr>
          <w:snapToGrid w:val="0"/>
        </w:rPr>
        <w:t>tag får ökat tillträde t</w:t>
      </w:r>
      <w:r w:rsidR="002B061E" w:rsidRPr="002D5ACB">
        <w:rPr>
          <w:snapToGrid w:val="0"/>
        </w:rPr>
        <w:t>ill den svenska marknaden. Allt</w:t>
      </w:r>
      <w:r w:rsidRPr="002D5ACB">
        <w:rPr>
          <w:snapToGrid w:val="0"/>
        </w:rPr>
        <w:t>för ofta framställs ha</w:t>
      </w:r>
      <w:r w:rsidRPr="002D5ACB">
        <w:rPr>
          <w:snapToGrid w:val="0"/>
        </w:rPr>
        <w:t>n</w:t>
      </w:r>
      <w:r w:rsidRPr="002D5ACB">
        <w:rPr>
          <w:snapToGrid w:val="0"/>
        </w:rPr>
        <w:t xml:space="preserve">delspolitik som </w:t>
      </w:r>
      <w:r w:rsidR="0084336B" w:rsidRPr="002D5ACB">
        <w:rPr>
          <w:snapToGrid w:val="0"/>
        </w:rPr>
        <w:t>ett förhandlingsspel där målet är att tillförsäkra det egna la</w:t>
      </w:r>
      <w:r w:rsidR="0084336B" w:rsidRPr="002D5ACB">
        <w:rPr>
          <w:snapToGrid w:val="0"/>
        </w:rPr>
        <w:t>n</w:t>
      </w:r>
      <w:r w:rsidR="0084336B" w:rsidRPr="002D5ACB">
        <w:rPr>
          <w:snapToGrid w:val="0"/>
        </w:rPr>
        <w:t>dets företag så gott tillträde som möjligt till andra länders marknader, samt</w:t>
      </w:r>
      <w:r w:rsidR="0084336B" w:rsidRPr="002D5ACB">
        <w:rPr>
          <w:snapToGrid w:val="0"/>
        </w:rPr>
        <w:t>i</w:t>
      </w:r>
      <w:r w:rsidR="0084336B" w:rsidRPr="002D5ACB">
        <w:rPr>
          <w:snapToGrid w:val="0"/>
        </w:rPr>
        <w:t>digt som man ska</w:t>
      </w:r>
      <w:r w:rsidR="00F02332" w:rsidRPr="002D5ACB">
        <w:rPr>
          <w:snapToGrid w:val="0"/>
        </w:rPr>
        <w:t>ll</w:t>
      </w:r>
      <w:r w:rsidR="0084336B" w:rsidRPr="002D5ACB">
        <w:rPr>
          <w:snapToGrid w:val="0"/>
        </w:rPr>
        <w:t xml:space="preserve"> ge utländska företag så begränsat tillträde som möjligt till den egna inhemska marknaden.</w:t>
      </w:r>
      <w:r w:rsidR="00B476A9" w:rsidRPr="002D5ACB">
        <w:rPr>
          <w:snapToGrid w:val="0"/>
        </w:rPr>
        <w:t xml:space="preserve"> Att sänka inträdeshinder till den egna mar</w:t>
      </w:r>
      <w:r w:rsidR="00B476A9" w:rsidRPr="002D5ACB">
        <w:rPr>
          <w:snapToGrid w:val="0"/>
        </w:rPr>
        <w:t>k</w:t>
      </w:r>
      <w:r w:rsidR="00B476A9" w:rsidRPr="002D5ACB">
        <w:rPr>
          <w:snapToGrid w:val="0"/>
        </w:rPr>
        <w:t>naden ses som en eftergift</w:t>
      </w:r>
      <w:r w:rsidR="00DE4E6C" w:rsidRPr="002D5ACB">
        <w:rPr>
          <w:snapToGrid w:val="0"/>
        </w:rPr>
        <w:t>, och den enes vinst blir den andres förlust</w:t>
      </w:r>
      <w:r w:rsidR="00B476A9" w:rsidRPr="002D5ACB">
        <w:rPr>
          <w:snapToGrid w:val="0"/>
        </w:rPr>
        <w:t>.</w:t>
      </w:r>
    </w:p>
    <w:p w:rsidR="00DE4E6C" w:rsidRPr="002D5ACB" w:rsidRDefault="00DE4E6C" w:rsidP="00DE4E6C">
      <w:pPr>
        <w:pStyle w:val="Normaltindrag"/>
      </w:pPr>
      <w:r w:rsidRPr="002D5ACB">
        <w:rPr>
          <w:snapToGrid w:val="0"/>
        </w:rPr>
        <w:t>I själva verket är ökad frihandel något som i grunden bara har vinnare. Ökad specialisering mellan länder gör, på samma vis som ökad specialisering inom länder, att priserna kan bli lägre, lönerna högre och att nyttan från te</w:t>
      </w:r>
      <w:r w:rsidRPr="002D5ACB">
        <w:rPr>
          <w:snapToGrid w:val="0"/>
        </w:rPr>
        <w:t>k</w:t>
      </w:r>
      <w:r w:rsidRPr="002D5ACB">
        <w:rPr>
          <w:snapToGrid w:val="0"/>
        </w:rPr>
        <w:t>niska framsteg snabbare kan spridas.</w:t>
      </w:r>
    </w:p>
    <w:p w:rsidR="000B33CA" w:rsidRPr="002D5ACB" w:rsidRDefault="00FE3153" w:rsidP="000B33CA">
      <w:pPr>
        <w:pStyle w:val="Normaltindrag"/>
        <w:rPr>
          <w:snapToGrid w:val="0"/>
        </w:rPr>
      </w:pPr>
      <w:r w:rsidRPr="002D5ACB">
        <w:rPr>
          <w:snapToGrid w:val="0"/>
        </w:rPr>
        <w:t>S</w:t>
      </w:r>
      <w:r w:rsidR="000B33CA" w:rsidRPr="002D5ACB">
        <w:rPr>
          <w:snapToGrid w:val="0"/>
        </w:rPr>
        <w:t xml:space="preserve">krivelsen </w:t>
      </w:r>
      <w:r w:rsidRPr="002D5ACB">
        <w:rPr>
          <w:snapToGrid w:val="0"/>
        </w:rPr>
        <w:t xml:space="preserve">är också </w:t>
      </w:r>
      <w:r w:rsidR="000B33CA" w:rsidRPr="002D5ACB">
        <w:rPr>
          <w:snapToGrid w:val="0"/>
        </w:rPr>
        <w:t xml:space="preserve">otydlig på </w:t>
      </w:r>
      <w:r w:rsidRPr="002D5ACB">
        <w:rPr>
          <w:snapToGrid w:val="0"/>
        </w:rPr>
        <w:t>några</w:t>
      </w:r>
      <w:r w:rsidR="000B33CA" w:rsidRPr="002D5ACB">
        <w:rPr>
          <w:snapToGrid w:val="0"/>
        </w:rPr>
        <w:t xml:space="preserve"> punkter när det kommer till hur rege</w:t>
      </w:r>
      <w:r w:rsidR="000B33CA" w:rsidRPr="002D5ACB">
        <w:rPr>
          <w:snapToGrid w:val="0"/>
        </w:rPr>
        <w:t>r</w:t>
      </w:r>
      <w:r w:rsidR="000B33CA" w:rsidRPr="002D5ACB">
        <w:rPr>
          <w:snapToGrid w:val="0"/>
        </w:rPr>
        <w:t>ingen har ställt sig i konkreta frågor. Det ligger i sakens natur att förhan</w:t>
      </w:r>
      <w:r w:rsidR="000B33CA" w:rsidRPr="002D5ACB">
        <w:rPr>
          <w:snapToGrid w:val="0"/>
        </w:rPr>
        <w:t>d</w:t>
      </w:r>
      <w:r w:rsidR="000B33CA" w:rsidRPr="002D5ACB">
        <w:rPr>
          <w:snapToGrid w:val="0"/>
        </w:rPr>
        <w:t xml:space="preserve">lingspositioner inte kan tydliggöras alltför mycket innan förhandlingar och ett konkret handlingsresultat finns att ta ställning till, men regeringen borde vara mycket mer tydlig beträffande vilka positioner man hittills tagit i </w:t>
      </w:r>
      <w:r w:rsidR="009B30E6" w:rsidRPr="002D5ACB">
        <w:rPr>
          <w:snapToGrid w:val="0"/>
        </w:rPr>
        <w:t xml:space="preserve">EU:s </w:t>
      </w:r>
      <w:r w:rsidR="000B33CA" w:rsidRPr="002D5ACB">
        <w:rPr>
          <w:snapToGrid w:val="0"/>
        </w:rPr>
        <w:t>mini</w:t>
      </w:r>
      <w:r w:rsidR="000B33CA" w:rsidRPr="002D5ACB">
        <w:rPr>
          <w:snapToGrid w:val="0"/>
        </w:rPr>
        <w:t>s</w:t>
      </w:r>
      <w:r w:rsidR="000B33CA" w:rsidRPr="002D5ACB">
        <w:rPr>
          <w:snapToGrid w:val="0"/>
        </w:rPr>
        <w:t>terråd och hur man tänker agera framöver samt vilka strategiska prioriteringar som görs. Det riskerar inte att äventyra kommissionens förhandlingsposition. Regeringen skrive</w:t>
      </w:r>
      <w:r w:rsidR="004F4B17" w:rsidRPr="002D5ACB">
        <w:rPr>
          <w:snapToGrid w:val="0"/>
        </w:rPr>
        <w:t>r</w:t>
      </w:r>
      <w:r w:rsidR="000B33CA" w:rsidRPr="002D5ACB">
        <w:rPr>
          <w:snapToGrid w:val="0"/>
        </w:rPr>
        <w:t xml:space="preserve"> t ex att man vill att reglerna för skyddsåtgärder ska</w:t>
      </w:r>
      <w:r w:rsidR="00F02332" w:rsidRPr="002D5ACB">
        <w:rPr>
          <w:snapToGrid w:val="0"/>
        </w:rPr>
        <w:t>ll</w:t>
      </w:r>
      <w:r w:rsidR="000B33CA" w:rsidRPr="002D5ACB">
        <w:rPr>
          <w:snapToGrid w:val="0"/>
        </w:rPr>
        <w:t xml:space="preserve"> str</w:t>
      </w:r>
      <w:r w:rsidR="000B33CA" w:rsidRPr="002D5ACB">
        <w:rPr>
          <w:snapToGrid w:val="0"/>
        </w:rPr>
        <w:t>a</w:t>
      </w:r>
      <w:r w:rsidR="000B33CA" w:rsidRPr="002D5ACB">
        <w:rPr>
          <w:snapToGrid w:val="0"/>
        </w:rPr>
        <w:t>mas upp. Detta är en ståndpunkt som i princip delas av alla länder. Skiljeli</w:t>
      </w:r>
      <w:r w:rsidR="000B33CA" w:rsidRPr="002D5ACB">
        <w:rPr>
          <w:snapToGrid w:val="0"/>
        </w:rPr>
        <w:t>n</w:t>
      </w:r>
      <w:r w:rsidR="000B33CA" w:rsidRPr="002D5ACB">
        <w:rPr>
          <w:snapToGrid w:val="0"/>
        </w:rPr>
        <w:t>jerna består i</w:t>
      </w:r>
      <w:r w:rsidR="00F02332" w:rsidRPr="002D5ACB">
        <w:rPr>
          <w:snapToGrid w:val="0"/>
        </w:rPr>
        <w:t xml:space="preserve"> </w:t>
      </w:r>
      <w:r w:rsidR="000B33CA" w:rsidRPr="002D5ACB">
        <w:rPr>
          <w:snapToGrid w:val="0"/>
        </w:rPr>
        <w:t>stället i hur detta ska</w:t>
      </w:r>
      <w:r w:rsidR="002B061E" w:rsidRPr="002D5ACB">
        <w:rPr>
          <w:snapToGrid w:val="0"/>
        </w:rPr>
        <w:t>ll</w:t>
      </w:r>
      <w:r w:rsidR="000B33CA" w:rsidRPr="002D5ACB">
        <w:rPr>
          <w:snapToGrid w:val="0"/>
        </w:rPr>
        <w:t xml:space="preserve"> ske. Regeringen ger ingen indikation om sin egen linje.</w:t>
      </w:r>
      <w:r w:rsidRPr="002D5ACB">
        <w:rPr>
          <w:snapToGrid w:val="0"/>
        </w:rPr>
        <w:t xml:space="preserve"> Avseende liberaliseringen av tjänstehandeln framgår att rege</w:t>
      </w:r>
      <w:r w:rsidRPr="002D5ACB">
        <w:rPr>
          <w:snapToGrid w:val="0"/>
        </w:rPr>
        <w:t>r</w:t>
      </w:r>
      <w:r w:rsidRPr="002D5ACB">
        <w:rPr>
          <w:snapToGrid w:val="0"/>
        </w:rPr>
        <w:t>ingen gör vissa prioriteringar, men det framgår inte hur man ämnar främja dessa syften.</w:t>
      </w:r>
    </w:p>
    <w:p w:rsidR="005C6E57" w:rsidRPr="002D5ACB" w:rsidRDefault="00CA509B" w:rsidP="005C6E57">
      <w:pPr>
        <w:pStyle w:val="Normaltindrag"/>
        <w:rPr>
          <w:snapToGrid w:val="0"/>
        </w:rPr>
      </w:pPr>
      <w:r w:rsidRPr="002D5ACB">
        <w:rPr>
          <w:snapToGrid w:val="0"/>
        </w:rPr>
        <w:t>Skrivelsen är vidare inte bara en positionering för Sveriges önskemål och prioriteringar i Doharundan eller inför WTO:s ministerkonferens i december i Hongkong. Skrivelsen skisserar på en mycket större strategi som involverar både synen på handelspolitiken utanför WTO, synen på WTO:s framtid efter Doharundans slut och synen på samarbete i andra organisationer, såsom FN. Vi menar att denna strategi har brister.</w:t>
      </w:r>
      <w:r w:rsidR="00CF67B9" w:rsidRPr="002D5ACB">
        <w:rPr>
          <w:snapToGrid w:val="0"/>
        </w:rPr>
        <w:t xml:space="preserve"> Det är lätt att få intrycket att regerin</w:t>
      </w:r>
      <w:r w:rsidR="00CF67B9" w:rsidRPr="002D5ACB">
        <w:rPr>
          <w:snapToGrid w:val="0"/>
        </w:rPr>
        <w:t>g</w:t>
      </w:r>
      <w:r w:rsidR="00CF67B9" w:rsidRPr="002D5ACB">
        <w:rPr>
          <w:snapToGrid w:val="0"/>
        </w:rPr>
        <w:t>ens huvudmål är att framtidens WTO ska</w:t>
      </w:r>
      <w:r w:rsidR="00F02332" w:rsidRPr="002D5ACB">
        <w:rPr>
          <w:snapToGrid w:val="0"/>
        </w:rPr>
        <w:t>ll</w:t>
      </w:r>
      <w:r w:rsidR="00CF67B9" w:rsidRPr="002D5ACB">
        <w:rPr>
          <w:snapToGrid w:val="0"/>
        </w:rPr>
        <w:t xml:space="preserve"> inkorporera arbetsrättsfrågor, miljö och jämställdhet. Detta är förvisso viktiga frågor, men dels är det mär</w:t>
      </w:r>
      <w:r w:rsidR="00CF67B9" w:rsidRPr="002D5ACB">
        <w:rPr>
          <w:snapToGrid w:val="0"/>
        </w:rPr>
        <w:t>k</w:t>
      </w:r>
      <w:r w:rsidR="00CF67B9" w:rsidRPr="002D5ACB">
        <w:rPr>
          <w:snapToGrid w:val="0"/>
        </w:rPr>
        <w:t>ligt att regeringen inte har fler önskemål och visioner för hur det internati</w:t>
      </w:r>
      <w:r w:rsidR="00CF67B9" w:rsidRPr="002D5ACB">
        <w:rPr>
          <w:snapToGrid w:val="0"/>
        </w:rPr>
        <w:t>o</w:t>
      </w:r>
      <w:r w:rsidR="00CF67B9" w:rsidRPr="002D5ACB">
        <w:rPr>
          <w:snapToGrid w:val="0"/>
        </w:rPr>
        <w:t>nella arbetet för ökad frihandel bör utvecklas, dels är det inte självklart att dessa frågor hanteras bäst inom ramen för WTO.</w:t>
      </w:r>
      <w:r w:rsidR="00CA6AFB" w:rsidRPr="002D5ACB">
        <w:rPr>
          <w:snapToGrid w:val="0"/>
        </w:rPr>
        <w:t xml:space="preserve"> Regeringen har inget att säga om vad ”nästa generations” marknadsöppningar ska</w:t>
      </w:r>
      <w:r w:rsidR="00F02332" w:rsidRPr="002D5ACB">
        <w:rPr>
          <w:snapToGrid w:val="0"/>
        </w:rPr>
        <w:t>ll</w:t>
      </w:r>
      <w:r w:rsidR="00CA6AFB" w:rsidRPr="002D5ACB">
        <w:rPr>
          <w:snapToGrid w:val="0"/>
        </w:rPr>
        <w:t xml:space="preserve"> vara. Den för in</w:t>
      </w:r>
      <w:r w:rsidR="00CA6AFB" w:rsidRPr="002D5ACB">
        <w:rPr>
          <w:snapToGrid w:val="0"/>
        </w:rPr>
        <w:t>g</w:t>
      </w:r>
      <w:r w:rsidR="00CA6AFB" w:rsidRPr="002D5ACB">
        <w:rPr>
          <w:snapToGrid w:val="0"/>
        </w:rPr>
        <w:t>en diskussion om andra mer pressande frågor för WTO:s utveckling: utvec</w:t>
      </w:r>
      <w:r w:rsidR="00CA6AFB" w:rsidRPr="002D5ACB">
        <w:rPr>
          <w:snapToGrid w:val="0"/>
        </w:rPr>
        <w:t>k</w:t>
      </w:r>
      <w:r w:rsidR="00CA6AFB" w:rsidRPr="002D5ACB">
        <w:rPr>
          <w:snapToGrid w:val="0"/>
        </w:rPr>
        <w:t>lingsländernas roll, SDT-frågan (</w:t>
      </w:r>
      <w:r w:rsidR="005E2973" w:rsidRPr="002D5ACB">
        <w:rPr>
          <w:snapToGrid w:val="0"/>
        </w:rPr>
        <w:t xml:space="preserve">”special and differential treatment”, dvs. </w:t>
      </w:r>
      <w:r w:rsidR="00CA6AFB" w:rsidRPr="002D5ACB">
        <w:rPr>
          <w:snapToGrid w:val="0"/>
        </w:rPr>
        <w:t>särskilda rättigheter för u-länder, respektive skyldigheter för i-länder), och de problem som följer av att WTO med det stora antalet medlemsländer har svårt att fungera effektivt som arena för nya handelsliberaliseringar under single-undertaking-vil</w:t>
      </w:r>
      <w:r w:rsidR="00EC631D" w:rsidRPr="002D5ACB">
        <w:rPr>
          <w:snapToGrid w:val="0"/>
        </w:rPr>
        <w:t>l</w:t>
      </w:r>
      <w:r w:rsidR="00CA6AFB" w:rsidRPr="002D5ACB">
        <w:rPr>
          <w:snapToGrid w:val="0"/>
        </w:rPr>
        <w:t>kor.</w:t>
      </w:r>
    </w:p>
    <w:p w:rsidR="005C6E57" w:rsidRPr="002D5ACB" w:rsidRDefault="005C6E57" w:rsidP="005C6E57">
      <w:pPr>
        <w:pStyle w:val="Normaltindrag"/>
        <w:rPr>
          <w:snapToGrid w:val="0"/>
        </w:rPr>
      </w:pPr>
      <w:r w:rsidRPr="002D5ACB">
        <w:rPr>
          <w:snapToGrid w:val="0"/>
        </w:rPr>
        <w:t xml:space="preserve">När det gäller </w:t>
      </w:r>
      <w:r w:rsidR="004F4B17" w:rsidRPr="002D5ACB">
        <w:rPr>
          <w:snapToGrid w:val="0"/>
        </w:rPr>
        <w:t xml:space="preserve">principen om </w:t>
      </w:r>
      <w:r w:rsidRPr="002D5ACB">
        <w:rPr>
          <w:snapToGrid w:val="0"/>
        </w:rPr>
        <w:t>grundläggande arbetsvillkor skiljer vi oss på inget vis från regeringen när det gäller sakfrågan – det är av stor vikt att Sv</w:t>
      </w:r>
      <w:r w:rsidRPr="002D5ACB">
        <w:rPr>
          <w:snapToGrid w:val="0"/>
        </w:rPr>
        <w:t>e</w:t>
      </w:r>
      <w:r w:rsidRPr="002D5ACB">
        <w:rPr>
          <w:snapToGrid w:val="0"/>
        </w:rPr>
        <w:t>rige bedriver ett arbete för att förbättra arbetsvillkoren i u-länderna. Vår u</w:t>
      </w:r>
      <w:r w:rsidRPr="002D5ACB">
        <w:rPr>
          <w:snapToGrid w:val="0"/>
        </w:rPr>
        <w:t>t</w:t>
      </w:r>
      <w:r w:rsidRPr="002D5ACB">
        <w:rPr>
          <w:snapToGrid w:val="0"/>
        </w:rPr>
        <w:t>gångspunkt är dock, tydligen till skillnad från regeringens, att detta arbete måste bedrivas med stor lyhördhet för utvecklingsländernas synpunkter. R</w:t>
      </w:r>
      <w:r w:rsidRPr="002D5ACB">
        <w:rPr>
          <w:snapToGrid w:val="0"/>
        </w:rPr>
        <w:t>e</w:t>
      </w:r>
      <w:r w:rsidRPr="002D5ACB">
        <w:rPr>
          <w:snapToGrid w:val="0"/>
        </w:rPr>
        <w:t>geringen skriver att förslaget att få till stånd ett närmare samarbete mellan ILO och WTO ”mötte motstånd från i första hand utvecklingsländerna som befarade förtäckt protektionism”. Uppenbarligen drar man dock inga slutsa</w:t>
      </w:r>
      <w:r w:rsidRPr="002D5ACB">
        <w:rPr>
          <w:snapToGrid w:val="0"/>
        </w:rPr>
        <w:t>t</w:t>
      </w:r>
      <w:r w:rsidRPr="002D5ACB">
        <w:rPr>
          <w:snapToGrid w:val="0"/>
        </w:rPr>
        <w:t xml:space="preserve">ser </w:t>
      </w:r>
      <w:r w:rsidR="00F02332" w:rsidRPr="002D5ACB">
        <w:rPr>
          <w:snapToGrid w:val="0"/>
        </w:rPr>
        <w:t>av</w:t>
      </w:r>
      <w:r w:rsidRPr="002D5ACB">
        <w:rPr>
          <w:snapToGrid w:val="0"/>
        </w:rPr>
        <w:t xml:space="preserve"> detta, utan vill även fortsättningsvis söka tvinga in dessa frågor i WTO-förhandlingarna mot u-ländernas vilja. Vår bedömning är också att farhågan för förtäckt protektionism är välgrundad. Vi misstänker inte den svenska regeringen för </w:t>
      </w:r>
      <w:r w:rsidR="00611AB1" w:rsidRPr="002D5ACB">
        <w:rPr>
          <w:snapToGrid w:val="0"/>
        </w:rPr>
        <w:t xml:space="preserve">att ha </w:t>
      </w:r>
      <w:r w:rsidRPr="002D5ACB">
        <w:rPr>
          <w:snapToGrid w:val="0"/>
        </w:rPr>
        <w:t>några sådana</w:t>
      </w:r>
      <w:r w:rsidR="00611AB1" w:rsidRPr="002D5ACB">
        <w:rPr>
          <w:snapToGrid w:val="0"/>
        </w:rPr>
        <w:t xml:space="preserve"> dolda</w:t>
      </w:r>
      <w:r w:rsidRPr="002D5ACB">
        <w:rPr>
          <w:snapToGrid w:val="0"/>
        </w:rPr>
        <w:t xml:space="preserve"> motiv, men det finns all anledning att vara orolig för att såväl vissa av våra EU-part</w:t>
      </w:r>
      <w:r w:rsidR="002B061E" w:rsidRPr="002D5ACB">
        <w:rPr>
          <w:snapToGrid w:val="0"/>
        </w:rPr>
        <w:t>ner</w:t>
      </w:r>
      <w:r w:rsidRPr="002D5ACB">
        <w:rPr>
          <w:snapToGrid w:val="0"/>
        </w:rPr>
        <w:t xml:space="preserve"> som </w:t>
      </w:r>
      <w:r w:rsidR="002B061E" w:rsidRPr="002D5ACB">
        <w:rPr>
          <w:snapToGrid w:val="0"/>
        </w:rPr>
        <w:t>t.</w:t>
      </w:r>
      <w:r w:rsidRPr="002D5ACB">
        <w:rPr>
          <w:snapToGrid w:val="0"/>
        </w:rPr>
        <w:t>ex</w:t>
      </w:r>
      <w:r w:rsidR="002B061E" w:rsidRPr="002D5ACB">
        <w:rPr>
          <w:snapToGrid w:val="0"/>
        </w:rPr>
        <w:t>.</w:t>
      </w:r>
      <w:r w:rsidRPr="002D5ACB">
        <w:rPr>
          <w:snapToGrid w:val="0"/>
        </w:rPr>
        <w:t xml:space="preserve"> USA kan tänkas utnyttja denna typ av frågor för att skydda sin inhemska industri. Det finns också en betydande risk att de redan besvärliga förhandlingarna kompliceras ytterligare om fler frågor förs in i förhandlingarna</w:t>
      </w:r>
      <w:r w:rsidR="007D110F" w:rsidRPr="002D5ACB">
        <w:rPr>
          <w:snapToGrid w:val="0"/>
        </w:rPr>
        <w:t xml:space="preserve"> </w:t>
      </w:r>
      <w:r w:rsidRPr="002D5ACB">
        <w:rPr>
          <w:snapToGrid w:val="0"/>
        </w:rPr>
        <w:t xml:space="preserve">– </w:t>
      </w:r>
      <w:r w:rsidR="007D110F" w:rsidRPr="002D5ACB">
        <w:rPr>
          <w:snapToGrid w:val="0"/>
        </w:rPr>
        <w:t xml:space="preserve">frågor </w:t>
      </w:r>
      <w:r w:rsidRPr="002D5ACB">
        <w:rPr>
          <w:snapToGrid w:val="0"/>
        </w:rPr>
        <w:t xml:space="preserve">som </w:t>
      </w:r>
      <w:r w:rsidR="004F4B17" w:rsidRPr="002D5ACB">
        <w:rPr>
          <w:snapToGrid w:val="0"/>
        </w:rPr>
        <w:t>i direkt m</w:t>
      </w:r>
      <w:r w:rsidR="004F4B17" w:rsidRPr="002D5ACB">
        <w:rPr>
          <w:snapToGrid w:val="0"/>
        </w:rPr>
        <w:t>e</w:t>
      </w:r>
      <w:r w:rsidR="004F4B17" w:rsidRPr="002D5ACB">
        <w:rPr>
          <w:snapToGrid w:val="0"/>
        </w:rPr>
        <w:t xml:space="preserve">ning </w:t>
      </w:r>
      <w:r w:rsidRPr="002D5ACB">
        <w:rPr>
          <w:snapToGrid w:val="0"/>
        </w:rPr>
        <w:t>inte berör frihandel.</w:t>
      </w:r>
    </w:p>
    <w:p w:rsidR="00FA2A61" w:rsidRPr="002D5ACB" w:rsidRDefault="00CF67B9" w:rsidP="00D40192">
      <w:pPr>
        <w:pStyle w:val="Normaltindrag"/>
        <w:rPr>
          <w:snapToGrid w:val="0"/>
        </w:rPr>
      </w:pPr>
      <w:r w:rsidRPr="002D5ACB">
        <w:rPr>
          <w:snapToGrid w:val="0"/>
        </w:rPr>
        <w:t>Vi anser också att EU-samarbetet är märkligt frånvarande i analysen.</w:t>
      </w:r>
      <w:r w:rsidR="00FA2A61" w:rsidRPr="002D5ACB">
        <w:rPr>
          <w:snapToGrid w:val="0"/>
        </w:rPr>
        <w:t xml:space="preserve"> Ingen diskussion förs om hur EU kan användas som brygga eller hävstång för reella framgångar i WTO eller vilka reformer som behövs i EU för att framgångar skall kunna nås. Jordbruket och tjänstehandeln är bra illustrationer av detta. I skrivelsen hävdar regeringen att Sverige drivit på för reformer av EU:s g</w:t>
      </w:r>
      <w:r w:rsidR="00FA2A61" w:rsidRPr="002D5ACB">
        <w:rPr>
          <w:snapToGrid w:val="0"/>
        </w:rPr>
        <w:t>e</w:t>
      </w:r>
      <w:r w:rsidR="00FA2A61" w:rsidRPr="002D5ACB">
        <w:rPr>
          <w:snapToGrid w:val="0"/>
        </w:rPr>
        <w:t>mensamma jordbrukspolitik. Det är sant, men samtidigt inte hela sanningen. Regeringen har drivit på för reformer men samtidigt önskat undanta vissa områden som är känsliga i Sverige. Sverige är för tjänstehandelsliberalis</w:t>
      </w:r>
      <w:r w:rsidR="00FA2A61" w:rsidRPr="002D5ACB">
        <w:rPr>
          <w:snapToGrid w:val="0"/>
        </w:rPr>
        <w:t>e</w:t>
      </w:r>
      <w:r w:rsidR="00FA2A61" w:rsidRPr="002D5ACB">
        <w:rPr>
          <w:snapToGrid w:val="0"/>
        </w:rPr>
        <w:t>ringar på områden som är viktiga för Sverige men emot en del andra reformer på området. Sverige driver heller inte på för att EU ska</w:t>
      </w:r>
      <w:r w:rsidR="00F02332" w:rsidRPr="002D5ACB">
        <w:rPr>
          <w:snapToGrid w:val="0"/>
        </w:rPr>
        <w:t>ll</w:t>
      </w:r>
      <w:r w:rsidR="00FA2A61" w:rsidRPr="002D5ACB">
        <w:rPr>
          <w:snapToGrid w:val="0"/>
        </w:rPr>
        <w:t xml:space="preserve"> vara mer kreativt och beslutsamt i preferenshandelsavtal. </w:t>
      </w:r>
      <w:r w:rsidR="00616147" w:rsidRPr="002D5ACB">
        <w:rPr>
          <w:snapToGrid w:val="0"/>
        </w:rPr>
        <w:t xml:space="preserve">Sannolikt behöver </w:t>
      </w:r>
      <w:r w:rsidR="00FA2A61" w:rsidRPr="002D5ACB">
        <w:rPr>
          <w:snapToGrid w:val="0"/>
        </w:rPr>
        <w:t xml:space="preserve">reella WTO-reformer föregripas av mindre avtal med andra länder först. Den strategin är viktig för att prova metoder och </w:t>
      </w:r>
      <w:r w:rsidR="00E423B6" w:rsidRPr="002D5ACB">
        <w:rPr>
          <w:snapToGrid w:val="0"/>
        </w:rPr>
        <w:t>förhandlingslösningar</w:t>
      </w:r>
      <w:r w:rsidR="00FA2A61" w:rsidRPr="002D5ACB">
        <w:rPr>
          <w:snapToGrid w:val="0"/>
        </w:rPr>
        <w:t xml:space="preserve"> för senare multilaterala förhan</w:t>
      </w:r>
      <w:r w:rsidR="00FA2A61" w:rsidRPr="002D5ACB">
        <w:rPr>
          <w:snapToGrid w:val="0"/>
        </w:rPr>
        <w:t>d</w:t>
      </w:r>
      <w:r w:rsidR="00FA2A61" w:rsidRPr="002D5ACB">
        <w:rPr>
          <w:snapToGrid w:val="0"/>
        </w:rPr>
        <w:t>lingar, t ex inom tjänstehandeln, men också för att lösa upp en del särintress</w:t>
      </w:r>
      <w:r w:rsidR="00FA2A61" w:rsidRPr="002D5ACB">
        <w:rPr>
          <w:snapToGrid w:val="0"/>
        </w:rPr>
        <w:t>e</w:t>
      </w:r>
      <w:r w:rsidR="00FA2A61" w:rsidRPr="002D5ACB">
        <w:rPr>
          <w:snapToGrid w:val="0"/>
        </w:rPr>
        <w:t>koalitioner. Varken EU:s inre marknad eller EU-avtal med andra länder eller regioner har utvecklats särskilt det senaste decenniet. Det är inte bara probl</w:t>
      </w:r>
      <w:r w:rsidR="00FA2A61" w:rsidRPr="002D5ACB">
        <w:rPr>
          <w:snapToGrid w:val="0"/>
        </w:rPr>
        <w:t>e</w:t>
      </w:r>
      <w:r w:rsidR="00FA2A61" w:rsidRPr="002D5ACB">
        <w:rPr>
          <w:snapToGrid w:val="0"/>
        </w:rPr>
        <w:t>matiskt för att företag i EU därmed inte får samma fördelar som företag fr</w:t>
      </w:r>
      <w:r w:rsidR="004F4B17" w:rsidRPr="002D5ACB">
        <w:rPr>
          <w:snapToGrid w:val="0"/>
        </w:rPr>
        <w:t xml:space="preserve">ån andra länder </w:t>
      </w:r>
      <w:r w:rsidR="00F02332" w:rsidRPr="002D5ACB">
        <w:rPr>
          <w:snapToGrid w:val="0"/>
        </w:rPr>
        <w:t xml:space="preserve">och världsdelar </w:t>
      </w:r>
      <w:r w:rsidR="004F4B17" w:rsidRPr="002D5ACB">
        <w:rPr>
          <w:snapToGrid w:val="0"/>
        </w:rPr>
        <w:t>som varit aktiva</w:t>
      </w:r>
      <w:r w:rsidR="00FA2A61" w:rsidRPr="002D5ACB">
        <w:rPr>
          <w:snapToGrid w:val="0"/>
        </w:rPr>
        <w:t xml:space="preserve"> på området, t ex USA, Austral</w:t>
      </w:r>
      <w:r w:rsidR="00FA2A61" w:rsidRPr="002D5ACB">
        <w:rPr>
          <w:snapToGrid w:val="0"/>
        </w:rPr>
        <w:t>i</w:t>
      </w:r>
      <w:r w:rsidR="00FA2A61" w:rsidRPr="002D5ACB">
        <w:rPr>
          <w:snapToGrid w:val="0"/>
        </w:rPr>
        <w:t>en, Japan, Asien, men också för att EU</w:t>
      </w:r>
      <w:r w:rsidR="00616147" w:rsidRPr="002D5ACB">
        <w:rPr>
          <w:snapToGrid w:val="0"/>
        </w:rPr>
        <w:t xml:space="preserve"> inte</w:t>
      </w:r>
      <w:r w:rsidR="00FA2A61" w:rsidRPr="002D5ACB">
        <w:rPr>
          <w:snapToGrid w:val="0"/>
        </w:rPr>
        <w:t xml:space="preserve"> tar det ledarskap i handelspolit</w:t>
      </w:r>
      <w:r w:rsidR="00FA2A61" w:rsidRPr="002D5ACB">
        <w:rPr>
          <w:snapToGrid w:val="0"/>
        </w:rPr>
        <w:t>i</w:t>
      </w:r>
      <w:r w:rsidR="00FA2A61" w:rsidRPr="002D5ACB">
        <w:rPr>
          <w:snapToGrid w:val="0"/>
        </w:rPr>
        <w:t xml:space="preserve">ken som behövs. I </w:t>
      </w:r>
      <w:r w:rsidR="00B1201B" w:rsidRPr="002D5ACB">
        <w:rPr>
          <w:snapToGrid w:val="0"/>
        </w:rPr>
        <w:t>regeringens</w:t>
      </w:r>
      <w:r w:rsidR="00FA2A61" w:rsidRPr="002D5ACB">
        <w:rPr>
          <w:snapToGrid w:val="0"/>
        </w:rPr>
        <w:t xml:space="preserve"> skrivelse finns en viss lutning åt att EU bör vara mer aktivt, men det sägs ingenting om</w:t>
      </w:r>
      <w:r w:rsidR="00D40192" w:rsidRPr="002D5ACB">
        <w:rPr>
          <w:snapToGrid w:val="0"/>
        </w:rPr>
        <w:t xml:space="preserve"> hur.</w:t>
      </w:r>
    </w:p>
    <w:p w:rsidR="004B3B9F" w:rsidRPr="002D5ACB" w:rsidRDefault="005F711B" w:rsidP="00EC7DCB">
      <w:pPr>
        <w:pStyle w:val="Rubrik1"/>
        <w:rPr>
          <w:snapToGrid w:val="0"/>
        </w:rPr>
      </w:pPr>
      <w:r w:rsidRPr="002D5ACB">
        <w:rPr>
          <w:snapToGrid w:val="0"/>
        </w:rPr>
        <w:t>En offensivare frihandelspolitik</w:t>
      </w:r>
    </w:p>
    <w:p w:rsidR="005F711B" w:rsidRPr="002D5ACB" w:rsidRDefault="005F711B" w:rsidP="005F711B">
      <w:pPr>
        <w:rPr>
          <w:snapToGrid w:val="0"/>
        </w:rPr>
      </w:pPr>
      <w:r w:rsidRPr="002D5ACB">
        <w:t xml:space="preserve">Regeringen föreslår några konkreta och bra reformer, främst </w:t>
      </w:r>
      <w:r w:rsidR="00535AE4" w:rsidRPr="002D5ACB">
        <w:t>i fråga om ha</w:t>
      </w:r>
      <w:r w:rsidR="00535AE4" w:rsidRPr="002D5ACB">
        <w:t>n</w:t>
      </w:r>
      <w:r w:rsidR="00535AE4" w:rsidRPr="002D5ACB">
        <w:t>del med industrivaror</w:t>
      </w:r>
      <w:r w:rsidRPr="002D5ACB">
        <w:t xml:space="preserve">. På andra områden är </w:t>
      </w:r>
      <w:r w:rsidR="004F4B17" w:rsidRPr="002D5ACB">
        <w:t>den</w:t>
      </w:r>
      <w:r w:rsidRPr="002D5ACB">
        <w:t xml:space="preserve"> däremot märkligt defensiv. Det gäller </w:t>
      </w:r>
      <w:r w:rsidRPr="002D5ACB">
        <w:rPr>
          <w:snapToGrid w:val="0"/>
        </w:rPr>
        <w:t>t ex</w:t>
      </w:r>
      <w:r w:rsidRPr="002D5ACB">
        <w:t xml:space="preserve"> på jordbruksområdet. Regeringen skriver att man prioriterar att förbättra utvecklingsländernas tillträde till industrilandsmarknader och att svensk livsmedelsexport ska</w:t>
      </w:r>
      <w:r w:rsidR="00F02332" w:rsidRPr="002D5ACB">
        <w:t>ll</w:t>
      </w:r>
      <w:r w:rsidRPr="002D5ACB">
        <w:t xml:space="preserve"> få bättre förutsättningar. Återigen sägs mycket lite om hur detta ska ske. Som framförts ovan anser vi att EU bör gå före </w:t>
      </w:r>
      <w:r w:rsidR="004F4B17" w:rsidRPr="002D5ACB">
        <w:t xml:space="preserve">i </w:t>
      </w:r>
      <w:r w:rsidRPr="002D5ACB">
        <w:t xml:space="preserve">WTO-förhandlingarna och </w:t>
      </w:r>
      <w:r w:rsidRPr="002D5ACB">
        <w:rPr>
          <w:snapToGrid w:val="0"/>
        </w:rPr>
        <w:t>avskaffa de låga tullsatserna, stegvis sänka de högre tullsatserna, direkt avskaffa exportsubventionerna samt stegvis minska jordbrukssubventionerna från 2007.</w:t>
      </w:r>
    </w:p>
    <w:p w:rsidR="00215489" w:rsidRPr="002D5ACB" w:rsidRDefault="005F711B" w:rsidP="005F711B">
      <w:pPr>
        <w:pStyle w:val="Normaltindrag"/>
        <w:rPr>
          <w:snapToGrid w:val="0"/>
        </w:rPr>
      </w:pPr>
      <w:r w:rsidRPr="002D5ACB">
        <w:rPr>
          <w:snapToGrid w:val="0"/>
        </w:rPr>
        <w:t xml:space="preserve">Vi har också en annan syn än regeringen avseende </w:t>
      </w:r>
      <w:r w:rsidR="008D09D8" w:rsidRPr="002D5ACB">
        <w:rPr>
          <w:snapToGrid w:val="0"/>
        </w:rPr>
        <w:t xml:space="preserve">förhandlingarna inom </w:t>
      </w:r>
      <w:r w:rsidR="002B061E" w:rsidRPr="002D5ACB">
        <w:rPr>
          <w:snapToGrid w:val="0"/>
        </w:rPr>
        <w:t xml:space="preserve">Gats </w:t>
      </w:r>
      <w:r w:rsidR="008D09D8" w:rsidRPr="002D5ACB">
        <w:rPr>
          <w:snapToGrid w:val="0"/>
        </w:rPr>
        <w:t>(General Agreement on Trade in Services). Regeringen betonar här särskilt att Sverige inte har, och inte avser att göra, åtaganden inom flera tjänstesektorer, däribland hälso- och sjukvård och utbildningstjänster.</w:t>
      </w:r>
      <w:r w:rsidR="003B5B63" w:rsidRPr="002D5ACB">
        <w:rPr>
          <w:snapToGrid w:val="0"/>
        </w:rPr>
        <w:t xml:space="preserve"> Det ter sig märkligt att inte sträva efter ökad frihandel på dessa områden</w:t>
      </w:r>
      <w:r w:rsidR="00BB7A0C" w:rsidRPr="002D5ACB">
        <w:rPr>
          <w:snapToGrid w:val="0"/>
        </w:rPr>
        <w:t>,</w:t>
      </w:r>
      <w:r w:rsidR="003B5B63" w:rsidRPr="002D5ACB">
        <w:rPr>
          <w:snapToGrid w:val="0"/>
        </w:rPr>
        <w:t xml:space="preserve"> där Sverige</w:t>
      </w:r>
      <w:r w:rsidR="00A92974" w:rsidRPr="002D5ACB">
        <w:rPr>
          <w:snapToGrid w:val="0"/>
        </w:rPr>
        <w:t xml:space="preserve"> har många företag som redan är internationellt verksamma</w:t>
      </w:r>
      <w:r w:rsidR="003B5B63" w:rsidRPr="002D5ACB">
        <w:rPr>
          <w:snapToGrid w:val="0"/>
        </w:rPr>
        <w:t xml:space="preserve">, eller </w:t>
      </w:r>
      <w:r w:rsidR="00A92974" w:rsidRPr="002D5ACB">
        <w:rPr>
          <w:snapToGrid w:val="0"/>
        </w:rPr>
        <w:t xml:space="preserve">som </w:t>
      </w:r>
      <w:r w:rsidR="003B5B63" w:rsidRPr="002D5ACB">
        <w:rPr>
          <w:snapToGrid w:val="0"/>
        </w:rPr>
        <w:t xml:space="preserve">skulle kunna expandera till andra länder. </w:t>
      </w:r>
      <w:r w:rsidR="004036B0" w:rsidRPr="002D5ACB">
        <w:rPr>
          <w:snapToGrid w:val="0"/>
        </w:rPr>
        <w:t>Sjukvårdsföretaget Capio har t ex ver</w:t>
      </w:r>
      <w:r w:rsidR="004036B0" w:rsidRPr="002D5ACB">
        <w:rPr>
          <w:snapToGrid w:val="0"/>
        </w:rPr>
        <w:t>k</w:t>
      </w:r>
      <w:r w:rsidR="004036B0" w:rsidRPr="002D5ACB">
        <w:rPr>
          <w:snapToGrid w:val="0"/>
        </w:rPr>
        <w:t>samhet i åtta länder.</w:t>
      </w:r>
      <w:r w:rsidR="00BD3BAC" w:rsidRPr="002D5ACB">
        <w:rPr>
          <w:snapToGrid w:val="0"/>
        </w:rPr>
        <w:t xml:space="preserve"> </w:t>
      </w:r>
      <w:r w:rsidR="002866ED" w:rsidRPr="002D5ACB">
        <w:rPr>
          <w:snapToGrid w:val="0"/>
        </w:rPr>
        <w:t>Vårdföretage</w:t>
      </w:r>
      <w:r w:rsidR="00301C29" w:rsidRPr="002D5ACB">
        <w:rPr>
          <w:snapToGrid w:val="0"/>
        </w:rPr>
        <w:t>t</w:t>
      </w:r>
      <w:r w:rsidR="002866ED" w:rsidRPr="002D5ACB">
        <w:rPr>
          <w:snapToGrid w:val="0"/>
        </w:rPr>
        <w:t xml:space="preserve"> </w:t>
      </w:r>
      <w:r w:rsidR="00BD3BAC" w:rsidRPr="002D5ACB">
        <w:rPr>
          <w:snapToGrid w:val="0"/>
        </w:rPr>
        <w:t>Carema</w:t>
      </w:r>
      <w:r w:rsidR="002866ED" w:rsidRPr="002D5ACB">
        <w:rPr>
          <w:snapToGrid w:val="0"/>
        </w:rPr>
        <w:t xml:space="preserve"> </w:t>
      </w:r>
      <w:r w:rsidR="00BD3BAC" w:rsidRPr="002D5ACB">
        <w:rPr>
          <w:snapToGrid w:val="0"/>
        </w:rPr>
        <w:t>har verksamhet i Sverige, Norge och Finland</w:t>
      </w:r>
      <w:r w:rsidR="00301C29" w:rsidRPr="002D5ACB">
        <w:rPr>
          <w:snapToGrid w:val="0"/>
        </w:rPr>
        <w:t>, och Attendo Care finns i Danmark, Norge och Sverige</w:t>
      </w:r>
      <w:r w:rsidR="00BD3BAC" w:rsidRPr="002D5ACB">
        <w:rPr>
          <w:snapToGrid w:val="0"/>
        </w:rPr>
        <w:t>.</w:t>
      </w:r>
      <w:r w:rsidR="002866ED" w:rsidRPr="002D5ACB">
        <w:rPr>
          <w:snapToGrid w:val="0"/>
        </w:rPr>
        <w:t xml:space="preserve"> </w:t>
      </w:r>
      <w:r w:rsidR="00B1429A" w:rsidRPr="002D5ACB">
        <w:rPr>
          <w:snapToGrid w:val="0"/>
        </w:rPr>
        <w:t>Inom skolområdet har Sverige, tack vare friskolereformen, fått ett antal framgång</w:t>
      </w:r>
      <w:r w:rsidR="00B1429A" w:rsidRPr="002D5ACB">
        <w:rPr>
          <w:snapToGrid w:val="0"/>
        </w:rPr>
        <w:t>s</w:t>
      </w:r>
      <w:r w:rsidR="00B1429A" w:rsidRPr="002D5ACB">
        <w:rPr>
          <w:snapToGrid w:val="0"/>
        </w:rPr>
        <w:t>rika och nyskapande företag som driver skolor. Det finns inge</w:t>
      </w:r>
      <w:r w:rsidR="000A21B9" w:rsidRPr="002D5ACB">
        <w:rPr>
          <w:snapToGrid w:val="0"/>
        </w:rPr>
        <w:t>t skäl att tro att dessa företag inte skulle kunna bli framgångsrika även utomlands. Sverige bör mot denna bakgrund</w:t>
      </w:r>
      <w:r w:rsidR="00F02332" w:rsidRPr="002D5ACB">
        <w:rPr>
          <w:snapToGrid w:val="0"/>
        </w:rPr>
        <w:t>,</w:t>
      </w:r>
      <w:r w:rsidR="000A21B9" w:rsidRPr="002D5ACB">
        <w:rPr>
          <w:snapToGrid w:val="0"/>
        </w:rPr>
        <w:t xml:space="preserve"> tvärtemot regeringens intention</w:t>
      </w:r>
      <w:r w:rsidR="00F02332" w:rsidRPr="002D5ACB">
        <w:rPr>
          <w:snapToGrid w:val="0"/>
        </w:rPr>
        <w:t>,</w:t>
      </w:r>
      <w:r w:rsidR="000A21B9" w:rsidRPr="002D5ACB">
        <w:rPr>
          <w:snapToGrid w:val="0"/>
        </w:rPr>
        <w:t xml:space="preserve"> prioritera ökad frihandel på dessa områden. Detta står på inget sätt i motsättning till att vi, liksom regeringen, även i fortsättningen vill att sjukvård och skola ska</w:t>
      </w:r>
      <w:r w:rsidR="00F02332" w:rsidRPr="002D5ACB">
        <w:rPr>
          <w:snapToGrid w:val="0"/>
        </w:rPr>
        <w:t>ll</w:t>
      </w:r>
      <w:r w:rsidR="000A21B9" w:rsidRPr="002D5ACB">
        <w:rPr>
          <w:snapToGrid w:val="0"/>
        </w:rPr>
        <w:t xml:space="preserve"> vara skattefinansierade verksamheter.</w:t>
      </w:r>
      <w:r w:rsidR="00535AE4" w:rsidRPr="002D5ACB">
        <w:rPr>
          <w:snapToGrid w:val="0"/>
        </w:rPr>
        <w:t xml:space="preserve"> Det finns också skäl att påpeka att frihandel på detta område inte kräver att ett land mot sin vilja ska</w:t>
      </w:r>
      <w:r w:rsidR="00F02332" w:rsidRPr="002D5ACB">
        <w:rPr>
          <w:snapToGrid w:val="0"/>
        </w:rPr>
        <w:t>ll</w:t>
      </w:r>
      <w:r w:rsidR="00535AE4" w:rsidRPr="002D5ACB">
        <w:rPr>
          <w:snapToGrid w:val="0"/>
        </w:rPr>
        <w:t xml:space="preserve"> tillåta privata entr</w:t>
      </w:r>
      <w:r w:rsidR="00535AE4" w:rsidRPr="002D5ACB">
        <w:rPr>
          <w:snapToGrid w:val="0"/>
        </w:rPr>
        <w:t>e</w:t>
      </w:r>
      <w:r w:rsidR="00535AE4" w:rsidRPr="002D5ACB">
        <w:rPr>
          <w:snapToGrid w:val="0"/>
        </w:rPr>
        <w:t>prenörer inom olika sektorer, utan endast att diskriminerande regler inte tillåts om så sker.</w:t>
      </w:r>
    </w:p>
    <w:p w:rsidR="005C6E57" w:rsidRPr="002D5ACB" w:rsidRDefault="005F711B" w:rsidP="005C6E57">
      <w:pPr>
        <w:pStyle w:val="Normaltindrag"/>
        <w:rPr>
          <w:snapToGrid w:val="0"/>
        </w:rPr>
      </w:pPr>
      <w:r w:rsidRPr="002D5ACB">
        <w:rPr>
          <w:snapToGrid w:val="0"/>
        </w:rPr>
        <w:t xml:space="preserve">Regeringen intar generellt en defensiv attityd </w:t>
      </w:r>
      <w:r w:rsidR="00F034B6" w:rsidRPr="002D5ACB">
        <w:rPr>
          <w:snapToGrid w:val="0"/>
        </w:rPr>
        <w:t>i frågan om tjänstehandel. Vi anser att regeringen har en olycklig låsning till att förhandlingarna ska</w:t>
      </w:r>
      <w:r w:rsidR="00F02332" w:rsidRPr="002D5ACB">
        <w:rPr>
          <w:snapToGrid w:val="0"/>
        </w:rPr>
        <w:t>ll</w:t>
      </w:r>
      <w:r w:rsidR="00F034B6" w:rsidRPr="002D5ACB">
        <w:rPr>
          <w:snapToGrid w:val="0"/>
        </w:rPr>
        <w:t xml:space="preserve"> sk</w:t>
      </w:r>
      <w:r w:rsidR="00D75DD6" w:rsidRPr="002D5ACB">
        <w:rPr>
          <w:snapToGrid w:val="0"/>
        </w:rPr>
        <w:t>e</w:t>
      </w:r>
      <w:r w:rsidR="00F034B6" w:rsidRPr="002D5ACB">
        <w:rPr>
          <w:snapToGrid w:val="0"/>
        </w:rPr>
        <w:t xml:space="preserve"> sektorsvis. I</w:t>
      </w:r>
      <w:r w:rsidR="00F02332" w:rsidRPr="002D5ACB">
        <w:rPr>
          <w:snapToGrid w:val="0"/>
        </w:rPr>
        <w:t xml:space="preserve"> </w:t>
      </w:r>
      <w:r w:rsidR="00F034B6" w:rsidRPr="002D5ACB">
        <w:rPr>
          <w:snapToGrid w:val="0"/>
        </w:rPr>
        <w:t xml:space="preserve">stället bör förhandlingarna </w:t>
      </w:r>
      <w:r w:rsidR="00A30A79" w:rsidRPr="002D5ACB">
        <w:rPr>
          <w:snapToGrid w:val="0"/>
        </w:rPr>
        <w:t xml:space="preserve">först </w:t>
      </w:r>
      <w:r w:rsidR="00F034B6" w:rsidRPr="002D5ACB">
        <w:rPr>
          <w:snapToGrid w:val="0"/>
        </w:rPr>
        <w:t xml:space="preserve">inriktas mot att låsa in redan gjorda liberaliseringar och den handelsfrihet som redan finns. </w:t>
      </w:r>
      <w:r w:rsidR="00A30A79" w:rsidRPr="002D5ACB">
        <w:rPr>
          <w:snapToGrid w:val="0"/>
        </w:rPr>
        <w:t xml:space="preserve">Vidare bör förhandlingarna inom </w:t>
      </w:r>
      <w:r w:rsidR="002B061E" w:rsidRPr="002D5ACB">
        <w:rPr>
          <w:snapToGrid w:val="0"/>
        </w:rPr>
        <w:t>det s.k. Mode 3</w:t>
      </w:r>
      <w:r w:rsidR="005C6E57" w:rsidRPr="002D5ACB">
        <w:rPr>
          <w:snapToGrid w:val="0"/>
        </w:rPr>
        <w:t xml:space="preserve"> – cross-border supply inom </w:t>
      </w:r>
      <w:r w:rsidR="002B061E" w:rsidRPr="002D5ACB">
        <w:rPr>
          <w:snapToGrid w:val="0"/>
        </w:rPr>
        <w:t xml:space="preserve">Gats </w:t>
      </w:r>
      <w:r w:rsidR="00A30A79" w:rsidRPr="002D5ACB">
        <w:rPr>
          <w:snapToGrid w:val="0"/>
        </w:rPr>
        <w:t>utgå ifrån principen om icke-diskriminering. Därefter kan man fortsätta sekto</w:t>
      </w:r>
      <w:r w:rsidR="001B2CBD" w:rsidRPr="002D5ACB">
        <w:rPr>
          <w:snapToGrid w:val="0"/>
        </w:rPr>
        <w:t>r</w:t>
      </w:r>
      <w:r w:rsidR="002B061E" w:rsidRPr="002D5ACB">
        <w:rPr>
          <w:snapToGrid w:val="0"/>
        </w:rPr>
        <w:t>s</w:t>
      </w:r>
      <w:r w:rsidR="00A30A79" w:rsidRPr="002D5ACB">
        <w:rPr>
          <w:snapToGrid w:val="0"/>
        </w:rPr>
        <w:t xml:space="preserve">vis med ytterligare liberaliseringar. Vår inställning är också att alla områden där </w:t>
      </w:r>
      <w:r w:rsidR="00F779AA" w:rsidRPr="002D5ACB">
        <w:rPr>
          <w:snapToGrid w:val="0"/>
        </w:rPr>
        <w:t xml:space="preserve">olika länders </w:t>
      </w:r>
      <w:r w:rsidR="00A30A79" w:rsidRPr="002D5ACB">
        <w:rPr>
          <w:snapToGrid w:val="0"/>
        </w:rPr>
        <w:t>regeringar inte vill ha ytterligare liberaliseringar utöver icke-diskriminering bör läggas i en s.k. negative list. Detta skulle tjäna dels till att klargöra vilka områden som inte är uppe för diskussion, dels till att genera länder med långa negativa listor. Slutligen skulle det klargöra att alla nya tjänster som kan dyka upp framöver ska</w:t>
      </w:r>
      <w:r w:rsidR="00F02332" w:rsidRPr="002D5ACB">
        <w:rPr>
          <w:snapToGrid w:val="0"/>
        </w:rPr>
        <w:t>ll</w:t>
      </w:r>
      <w:r w:rsidR="00A30A79" w:rsidRPr="002D5ACB">
        <w:rPr>
          <w:snapToGrid w:val="0"/>
        </w:rPr>
        <w:t xml:space="preserve"> omfattas av en öppenhetsprincip om inget annan överenskommes i senare förhandlingar.</w:t>
      </w:r>
    </w:p>
    <w:p w:rsidR="00D75DD6" w:rsidRPr="002D5ACB" w:rsidRDefault="00D75DD6" w:rsidP="00D75DD6">
      <w:pPr>
        <w:pStyle w:val="Normaltindrag"/>
        <w:rPr>
          <w:snapToGrid w:val="0"/>
        </w:rPr>
      </w:pPr>
      <w:r w:rsidRPr="002D5ACB">
        <w:rPr>
          <w:snapToGrid w:val="0"/>
        </w:rPr>
        <w:t>Slutligen anser vi att regeringen visserligen har goda intentioner när det gäller att minska bruket av antidump</w:t>
      </w:r>
      <w:r w:rsidR="002B061E" w:rsidRPr="002D5ACB">
        <w:rPr>
          <w:snapToGrid w:val="0"/>
        </w:rPr>
        <w:t>nings</w:t>
      </w:r>
      <w:r w:rsidRPr="002D5ACB">
        <w:rPr>
          <w:snapToGrid w:val="0"/>
        </w:rPr>
        <w:t>åtgärder, men man pekar inte på åtgärder för att uppnå detta syfte. Vi anser att två saker är av central betyde</w:t>
      </w:r>
      <w:r w:rsidRPr="002D5ACB">
        <w:rPr>
          <w:snapToGrid w:val="0"/>
        </w:rPr>
        <w:t>l</w:t>
      </w:r>
      <w:r w:rsidRPr="002D5ACB">
        <w:rPr>
          <w:snapToGrid w:val="0"/>
        </w:rPr>
        <w:t xml:space="preserve">se. För det första </w:t>
      </w:r>
      <w:r w:rsidR="00983F3B" w:rsidRPr="002D5ACB">
        <w:rPr>
          <w:snapToGrid w:val="0"/>
        </w:rPr>
        <w:t>ska</w:t>
      </w:r>
      <w:r w:rsidR="00F02332" w:rsidRPr="002D5ACB">
        <w:rPr>
          <w:snapToGrid w:val="0"/>
        </w:rPr>
        <w:t>ll</w:t>
      </w:r>
      <w:r w:rsidR="00983F3B" w:rsidRPr="002D5ACB">
        <w:rPr>
          <w:snapToGrid w:val="0"/>
        </w:rPr>
        <w:t xml:space="preserve"> </w:t>
      </w:r>
      <w:r w:rsidRPr="002D5ACB">
        <w:rPr>
          <w:snapToGrid w:val="0"/>
        </w:rPr>
        <w:t>antidump</w:t>
      </w:r>
      <w:r w:rsidR="002B061E" w:rsidRPr="002D5ACB">
        <w:rPr>
          <w:snapToGrid w:val="0"/>
        </w:rPr>
        <w:t>nings</w:t>
      </w:r>
      <w:r w:rsidRPr="002D5ACB">
        <w:rPr>
          <w:snapToGrid w:val="0"/>
        </w:rPr>
        <w:t>åtgärder bara få användas där de exist</w:t>
      </w:r>
      <w:r w:rsidRPr="002D5ACB">
        <w:rPr>
          <w:snapToGrid w:val="0"/>
        </w:rPr>
        <w:t>e</w:t>
      </w:r>
      <w:r w:rsidRPr="002D5ACB">
        <w:rPr>
          <w:snapToGrid w:val="0"/>
        </w:rPr>
        <w:t>rar ren dump</w:t>
      </w:r>
      <w:r w:rsidR="002B061E" w:rsidRPr="002D5ACB">
        <w:rPr>
          <w:snapToGrid w:val="0"/>
        </w:rPr>
        <w:t>n</w:t>
      </w:r>
      <w:r w:rsidRPr="002D5ACB">
        <w:rPr>
          <w:snapToGrid w:val="0"/>
        </w:rPr>
        <w:t>ing enligt uppställda regler. Det räcker med andra ord inte att det finns prisolikheter mellan hemlandet och exportlandet. Verklig dump</w:t>
      </w:r>
      <w:r w:rsidR="00AF6C1C" w:rsidRPr="002D5ACB">
        <w:rPr>
          <w:snapToGrid w:val="0"/>
        </w:rPr>
        <w:t>n</w:t>
      </w:r>
      <w:r w:rsidRPr="002D5ACB">
        <w:rPr>
          <w:snapToGrid w:val="0"/>
        </w:rPr>
        <w:t>ing är s.k. state-trading dumping när ett exportland gagnas av hemlandsstaten när det gäller priser på exportmarknaden. I WTO bör det nu tydliggöras att ant</w:t>
      </w:r>
      <w:r w:rsidRPr="002D5ACB">
        <w:rPr>
          <w:snapToGrid w:val="0"/>
        </w:rPr>
        <w:t>i</w:t>
      </w:r>
      <w:r w:rsidRPr="002D5ACB">
        <w:rPr>
          <w:snapToGrid w:val="0"/>
        </w:rPr>
        <w:t>dump</w:t>
      </w:r>
      <w:r w:rsidR="00AF6C1C" w:rsidRPr="002D5ACB">
        <w:rPr>
          <w:snapToGrid w:val="0"/>
        </w:rPr>
        <w:t>n</w:t>
      </w:r>
      <w:r w:rsidRPr="002D5ACB">
        <w:rPr>
          <w:snapToGrid w:val="0"/>
        </w:rPr>
        <w:t>ing</w:t>
      </w:r>
      <w:r w:rsidR="00AF6C1C" w:rsidRPr="002D5ACB">
        <w:rPr>
          <w:snapToGrid w:val="0"/>
        </w:rPr>
        <w:t>s</w:t>
      </w:r>
      <w:r w:rsidRPr="002D5ACB">
        <w:rPr>
          <w:snapToGrid w:val="0"/>
        </w:rPr>
        <w:t>åtgärder enbart är motiverade i sådana fall och att det ska</w:t>
      </w:r>
      <w:r w:rsidR="00F02332" w:rsidRPr="002D5ACB">
        <w:rPr>
          <w:snapToGrid w:val="0"/>
        </w:rPr>
        <w:t>ll</w:t>
      </w:r>
      <w:r w:rsidRPr="002D5ACB">
        <w:rPr>
          <w:snapToGrid w:val="0"/>
        </w:rPr>
        <w:t xml:space="preserve"> finnas såväl process- som innehållsregler för att använda sig av antidump</w:t>
      </w:r>
      <w:r w:rsidR="00AF6C1C" w:rsidRPr="002D5ACB">
        <w:rPr>
          <w:snapToGrid w:val="0"/>
        </w:rPr>
        <w:t>n</w:t>
      </w:r>
      <w:r w:rsidRPr="002D5ACB">
        <w:rPr>
          <w:snapToGrid w:val="0"/>
        </w:rPr>
        <w:t>ing</w:t>
      </w:r>
      <w:r w:rsidR="00AF6C1C" w:rsidRPr="002D5ACB">
        <w:rPr>
          <w:snapToGrid w:val="0"/>
        </w:rPr>
        <w:t>s</w:t>
      </w:r>
      <w:r w:rsidRPr="002D5ACB">
        <w:rPr>
          <w:snapToGrid w:val="0"/>
        </w:rPr>
        <w:t>va</w:t>
      </w:r>
      <w:r w:rsidRPr="002D5ACB">
        <w:rPr>
          <w:snapToGrid w:val="0"/>
        </w:rPr>
        <w:t>p</w:t>
      </w:r>
      <w:r w:rsidRPr="002D5ACB">
        <w:rPr>
          <w:snapToGrid w:val="0"/>
        </w:rPr>
        <w:t>net. I dag används olika metoder för att försöka uppskatta om och i vilken mån dump</w:t>
      </w:r>
      <w:r w:rsidR="00AF6C1C" w:rsidRPr="002D5ACB">
        <w:rPr>
          <w:snapToGrid w:val="0"/>
        </w:rPr>
        <w:t>n</w:t>
      </w:r>
      <w:r w:rsidRPr="002D5ACB">
        <w:rPr>
          <w:snapToGrid w:val="0"/>
        </w:rPr>
        <w:t>ing skett. Målet för förhandlingarna är att alla länder använder sig av samma metod.</w:t>
      </w:r>
    </w:p>
    <w:p w:rsidR="00CE1E11" w:rsidRPr="002D5ACB" w:rsidRDefault="00D75DD6" w:rsidP="00D75DD6">
      <w:pPr>
        <w:pStyle w:val="Normaltindrag"/>
        <w:rPr>
          <w:snapToGrid w:val="0"/>
        </w:rPr>
      </w:pPr>
      <w:r w:rsidRPr="002D5ACB">
        <w:rPr>
          <w:snapToGrid w:val="0"/>
        </w:rPr>
        <w:t>För det andra</w:t>
      </w:r>
      <w:r w:rsidR="00302E56" w:rsidRPr="002D5ACB">
        <w:rPr>
          <w:snapToGrid w:val="0"/>
        </w:rPr>
        <w:t>,</w:t>
      </w:r>
      <w:r w:rsidRPr="002D5ACB">
        <w:rPr>
          <w:snapToGrid w:val="0"/>
        </w:rPr>
        <w:t xml:space="preserve"> anser vi, mot bakgrund av att EU är en av de ansvariga för den nuvarande explosionen av antidump</w:t>
      </w:r>
      <w:r w:rsidR="00AF6C1C" w:rsidRPr="002D5ACB">
        <w:rPr>
          <w:snapToGrid w:val="0"/>
        </w:rPr>
        <w:t>n</w:t>
      </w:r>
      <w:r w:rsidRPr="002D5ACB">
        <w:rPr>
          <w:snapToGrid w:val="0"/>
        </w:rPr>
        <w:t>ing</w:t>
      </w:r>
      <w:r w:rsidR="00AF6C1C" w:rsidRPr="002D5ACB">
        <w:rPr>
          <w:snapToGrid w:val="0"/>
        </w:rPr>
        <w:t>s</w:t>
      </w:r>
      <w:r w:rsidRPr="002D5ACB">
        <w:rPr>
          <w:snapToGrid w:val="0"/>
        </w:rPr>
        <w:t xml:space="preserve">åtgärder, </w:t>
      </w:r>
      <w:r w:rsidR="00983F3B" w:rsidRPr="002D5ACB">
        <w:rPr>
          <w:snapToGrid w:val="0"/>
        </w:rPr>
        <w:t xml:space="preserve">att </w:t>
      </w:r>
      <w:r w:rsidRPr="002D5ACB">
        <w:rPr>
          <w:snapToGrid w:val="0"/>
        </w:rPr>
        <w:t xml:space="preserve">EU också </w:t>
      </w:r>
      <w:r w:rsidR="00983F3B" w:rsidRPr="002D5ACB">
        <w:rPr>
          <w:snapToGrid w:val="0"/>
        </w:rPr>
        <w:t xml:space="preserve">bör </w:t>
      </w:r>
      <w:r w:rsidRPr="002D5ACB">
        <w:rPr>
          <w:snapToGrid w:val="0"/>
        </w:rPr>
        <w:t xml:space="preserve">leda vägen tillbaka. Det bör ske genom att EU redan nu tydliggör sina egna regler för när </w:t>
      </w:r>
      <w:r w:rsidR="004F4B17" w:rsidRPr="002D5ACB">
        <w:rPr>
          <w:snapToGrid w:val="0"/>
        </w:rPr>
        <w:t xml:space="preserve">och hur </w:t>
      </w:r>
      <w:r w:rsidRPr="002D5ACB">
        <w:rPr>
          <w:snapToGrid w:val="0"/>
        </w:rPr>
        <w:t>en antidumpingåtgärd kan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B061E" w:rsidRPr="002D5ACB">
        <w:tblPrEx>
          <w:tblCellMar>
            <w:top w:w="0" w:type="dxa"/>
            <w:bottom w:w="0" w:type="dxa"/>
          </w:tblCellMar>
        </w:tblPrEx>
        <w:trPr>
          <w:cantSplit/>
        </w:trPr>
        <w:tc>
          <w:tcPr>
            <w:tcW w:w="3046" w:type="dxa"/>
          </w:tcPr>
          <w:p w:rsidR="002B061E" w:rsidRPr="002D5ACB" w:rsidRDefault="002B061E" w:rsidP="002B061E">
            <w:pPr>
              <w:pStyle w:val="UnderskriftDatum"/>
              <w:spacing w:before="240"/>
              <w:rPr>
                <w:snapToGrid w:val="0"/>
              </w:rPr>
            </w:pPr>
            <w:r w:rsidRPr="002D5ACB">
              <w:rPr>
                <w:snapToGrid w:val="0"/>
              </w:rPr>
              <w:t>Stockholm den 17 oktober 2005</w:t>
            </w:r>
          </w:p>
        </w:tc>
        <w:tc>
          <w:tcPr>
            <w:tcW w:w="3047" w:type="dxa"/>
          </w:tcPr>
          <w:p w:rsidR="002B061E" w:rsidRPr="002D5ACB" w:rsidRDefault="002B061E" w:rsidP="002B061E">
            <w:pPr>
              <w:pStyle w:val="Underskrifter"/>
              <w:spacing w:before="240"/>
              <w:rPr>
                <w:snapToGrid w:val="0"/>
              </w:rPr>
            </w:pPr>
          </w:p>
        </w:tc>
      </w:tr>
      <w:tr w:rsidR="002B061E" w:rsidRPr="002D5ACB">
        <w:tblPrEx>
          <w:tblCellMar>
            <w:top w:w="0" w:type="dxa"/>
            <w:bottom w:w="0" w:type="dxa"/>
          </w:tblCellMar>
        </w:tblPrEx>
        <w:trPr>
          <w:cantSplit/>
        </w:trPr>
        <w:tc>
          <w:tcPr>
            <w:tcW w:w="3046" w:type="dxa"/>
          </w:tcPr>
          <w:p w:rsidR="002B061E" w:rsidRPr="002D5ACB" w:rsidRDefault="002B061E" w:rsidP="002B061E">
            <w:pPr>
              <w:pStyle w:val="Underskrifter"/>
              <w:rPr>
                <w:snapToGrid w:val="0"/>
              </w:rPr>
            </w:pPr>
            <w:r w:rsidRPr="002D5ACB">
              <w:rPr>
                <w:snapToGrid w:val="0"/>
              </w:rPr>
              <w:t>Per Bill (m)</w:t>
            </w:r>
          </w:p>
        </w:tc>
        <w:tc>
          <w:tcPr>
            <w:tcW w:w="3047" w:type="dxa"/>
          </w:tcPr>
          <w:p w:rsidR="002B061E" w:rsidRPr="002D5ACB" w:rsidRDefault="002B061E" w:rsidP="002B061E">
            <w:pPr>
              <w:pStyle w:val="Underskrifter"/>
              <w:rPr>
                <w:snapToGrid w:val="0"/>
              </w:rPr>
            </w:pPr>
          </w:p>
        </w:tc>
      </w:tr>
      <w:tr w:rsidR="002B061E" w:rsidRPr="002D5ACB">
        <w:tblPrEx>
          <w:tblCellMar>
            <w:top w:w="0" w:type="dxa"/>
            <w:bottom w:w="0" w:type="dxa"/>
          </w:tblCellMar>
        </w:tblPrEx>
        <w:trPr>
          <w:cantSplit/>
        </w:trPr>
        <w:tc>
          <w:tcPr>
            <w:tcW w:w="3046" w:type="dxa"/>
          </w:tcPr>
          <w:p w:rsidR="002B061E" w:rsidRPr="002D5ACB" w:rsidRDefault="002B061E" w:rsidP="002B061E">
            <w:pPr>
              <w:pStyle w:val="Underskrifter"/>
              <w:rPr>
                <w:snapToGrid w:val="0"/>
              </w:rPr>
            </w:pPr>
            <w:r w:rsidRPr="002D5ACB">
              <w:rPr>
                <w:snapToGrid w:val="0"/>
              </w:rPr>
              <w:t>Ulla Löfgren (m)</w:t>
            </w:r>
          </w:p>
        </w:tc>
        <w:tc>
          <w:tcPr>
            <w:tcW w:w="3047" w:type="dxa"/>
          </w:tcPr>
          <w:p w:rsidR="002B061E" w:rsidRPr="002D5ACB" w:rsidRDefault="002B061E" w:rsidP="002B061E">
            <w:pPr>
              <w:pStyle w:val="Underskrifter"/>
              <w:rPr>
                <w:snapToGrid w:val="0"/>
              </w:rPr>
            </w:pPr>
            <w:r w:rsidRPr="002D5ACB">
              <w:rPr>
                <w:snapToGrid w:val="0"/>
              </w:rPr>
              <w:t>Anne-Marie Pålsson (m)</w:t>
            </w:r>
          </w:p>
        </w:tc>
      </w:tr>
      <w:tr w:rsidR="002B061E" w:rsidRPr="002D5ACB">
        <w:tblPrEx>
          <w:tblCellMar>
            <w:top w:w="0" w:type="dxa"/>
            <w:bottom w:w="0" w:type="dxa"/>
          </w:tblCellMar>
        </w:tblPrEx>
        <w:trPr>
          <w:cantSplit/>
        </w:trPr>
        <w:tc>
          <w:tcPr>
            <w:tcW w:w="3046" w:type="dxa"/>
          </w:tcPr>
          <w:p w:rsidR="002B061E" w:rsidRPr="002D5ACB" w:rsidRDefault="002B061E" w:rsidP="002B061E">
            <w:pPr>
              <w:pStyle w:val="Underskrifter"/>
              <w:rPr>
                <w:snapToGrid w:val="0"/>
              </w:rPr>
            </w:pPr>
            <w:r w:rsidRPr="002D5ACB">
              <w:rPr>
                <w:snapToGrid w:val="0"/>
              </w:rPr>
              <w:t>Krister Hammarbergh (m)</w:t>
            </w:r>
          </w:p>
        </w:tc>
        <w:tc>
          <w:tcPr>
            <w:tcW w:w="3047" w:type="dxa"/>
          </w:tcPr>
          <w:p w:rsidR="002B061E" w:rsidRPr="002D5ACB" w:rsidRDefault="002B061E" w:rsidP="002B061E">
            <w:pPr>
              <w:pStyle w:val="Underskrifter"/>
              <w:rPr>
                <w:snapToGrid w:val="0"/>
              </w:rPr>
            </w:pPr>
            <w:r w:rsidRPr="002D5ACB">
              <w:rPr>
                <w:snapToGrid w:val="0"/>
              </w:rPr>
              <w:t>Bertil Kjellberg (m)</w:t>
            </w:r>
          </w:p>
        </w:tc>
      </w:tr>
      <w:tr w:rsidR="002B061E" w:rsidRPr="002D5ACB">
        <w:tblPrEx>
          <w:tblCellMar>
            <w:top w:w="0" w:type="dxa"/>
            <w:bottom w:w="0" w:type="dxa"/>
          </w:tblCellMar>
        </w:tblPrEx>
        <w:trPr>
          <w:cantSplit/>
        </w:trPr>
        <w:tc>
          <w:tcPr>
            <w:tcW w:w="3046" w:type="dxa"/>
          </w:tcPr>
          <w:p w:rsidR="002B061E" w:rsidRPr="002D5ACB" w:rsidRDefault="002B061E" w:rsidP="002B061E">
            <w:pPr>
              <w:pStyle w:val="Underskrifter"/>
              <w:rPr>
                <w:snapToGrid w:val="0"/>
              </w:rPr>
            </w:pPr>
            <w:r w:rsidRPr="002D5ACB">
              <w:rPr>
                <w:snapToGrid w:val="0"/>
              </w:rPr>
              <w:t>Peter Danielsson (m)</w:t>
            </w:r>
          </w:p>
        </w:tc>
        <w:tc>
          <w:tcPr>
            <w:tcW w:w="3047" w:type="dxa"/>
          </w:tcPr>
          <w:p w:rsidR="002B061E" w:rsidRPr="002D5ACB" w:rsidRDefault="002B061E" w:rsidP="002B061E">
            <w:pPr>
              <w:pStyle w:val="Underskrifter"/>
              <w:rPr>
                <w:snapToGrid w:val="0"/>
              </w:rPr>
            </w:pPr>
            <w:r w:rsidRPr="002D5ACB">
              <w:rPr>
                <w:snapToGrid w:val="0"/>
              </w:rPr>
              <w:t>Stefan Hagfeldt (m)</w:t>
            </w:r>
          </w:p>
        </w:tc>
      </w:tr>
      <w:tr w:rsidR="002B061E" w:rsidRPr="002D5ACB">
        <w:tblPrEx>
          <w:tblCellMar>
            <w:top w:w="0" w:type="dxa"/>
            <w:bottom w:w="0" w:type="dxa"/>
          </w:tblCellMar>
        </w:tblPrEx>
        <w:trPr>
          <w:cantSplit/>
        </w:trPr>
        <w:tc>
          <w:tcPr>
            <w:tcW w:w="3046" w:type="dxa"/>
          </w:tcPr>
          <w:p w:rsidR="002B061E" w:rsidRPr="002D5ACB" w:rsidRDefault="002B061E" w:rsidP="002B061E">
            <w:pPr>
              <w:pStyle w:val="Underskrifter"/>
              <w:rPr>
                <w:snapToGrid w:val="0"/>
              </w:rPr>
            </w:pPr>
            <w:r w:rsidRPr="002D5ACB">
              <w:rPr>
                <w:snapToGrid w:val="0"/>
              </w:rPr>
              <w:t>Bengt-Anders Johansson (m)</w:t>
            </w:r>
          </w:p>
        </w:tc>
        <w:tc>
          <w:tcPr>
            <w:tcW w:w="3047" w:type="dxa"/>
          </w:tcPr>
          <w:p w:rsidR="002B061E" w:rsidRPr="002D5ACB" w:rsidRDefault="002B061E" w:rsidP="002B061E">
            <w:pPr>
              <w:pStyle w:val="Underskrifter"/>
              <w:rPr>
                <w:snapToGrid w:val="0"/>
              </w:rPr>
            </w:pPr>
          </w:p>
        </w:tc>
      </w:tr>
    </w:tbl>
    <w:p w:rsidR="00D75DD6" w:rsidRPr="002D5ACB" w:rsidRDefault="00D75DD6" w:rsidP="002B061E">
      <w:pPr>
        <w:pStyle w:val="Normaltindrag"/>
        <w:rPr>
          <w:snapToGrid w:val="0"/>
        </w:rPr>
      </w:pPr>
    </w:p>
    <w:sectPr w:rsidR="00D75DD6" w:rsidRPr="002D5ACB" w:rsidSect="002B06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2FF" w:rsidRPr="002D5ACB" w:rsidRDefault="00CC72FF">
      <w:r w:rsidRPr="002D5ACB">
        <w:separator/>
      </w:r>
    </w:p>
  </w:endnote>
  <w:endnote w:type="continuationSeparator" w:id="0">
    <w:p w:rsidR="00CC72FF" w:rsidRPr="002D5ACB" w:rsidRDefault="00CC72FF">
      <w:r w:rsidRPr="002D5A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9C5" w:rsidRPr="002D5ACB" w:rsidRDefault="002D5ACB" w:rsidP="002B061E">
    <w:pPr>
      <w:pStyle w:val="Sidfot"/>
    </w:pPr>
    <w:r w:rsidRPr="002D5A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14650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61E" w:rsidRDefault="002B061E">
                          <w:pPr>
                            <w:pStyle w:val="NormalS5sidnrV"/>
                          </w:pPr>
                          <w:r>
                            <w:fldChar w:fldCharType="begin"/>
                          </w:r>
                          <w:r>
                            <w:instrText xml:space="preserve"> PAGE *\charformat</w:instrText>
                          </w:r>
                          <w:r>
                            <w:fldChar w:fldCharType="separate"/>
                          </w:r>
                          <w:r w:rsidR="00AF6C1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061E" w:rsidRDefault="002B061E">
                    <w:pPr>
                      <w:pStyle w:val="NormalS5sidnrV"/>
                    </w:pPr>
                    <w:r>
                      <w:fldChar w:fldCharType="begin"/>
                    </w:r>
                    <w:r>
                      <w:instrText xml:space="preserve"> PAGE *\charformat</w:instrText>
                    </w:r>
                    <w:r>
                      <w:fldChar w:fldCharType="separate"/>
                    </w:r>
                    <w:r w:rsidR="00AF6C1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E11" w:rsidRPr="002D5ACB" w:rsidRDefault="002D5ACB" w:rsidP="002B061E">
    <w:pPr>
      <w:pStyle w:val="Sidfot"/>
    </w:pPr>
    <w:r w:rsidRPr="002D5A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1564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61E" w:rsidRDefault="002B061E">
                          <w:pPr>
                            <w:pStyle w:val="NormalS5sidnrH"/>
                            <w:ind w:right="0"/>
                          </w:pPr>
                          <w:r>
                            <w:fldChar w:fldCharType="begin"/>
                          </w:r>
                          <w:r>
                            <w:instrText xml:space="preserve"> PAGE *\charformat</w:instrText>
                          </w:r>
                          <w:r>
                            <w:fldChar w:fldCharType="separate"/>
                          </w:r>
                          <w:r w:rsidR="00AF6C1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061E" w:rsidRDefault="002B061E">
                    <w:pPr>
                      <w:pStyle w:val="NormalS5sidnrH"/>
                      <w:ind w:right="0"/>
                    </w:pPr>
                    <w:r>
                      <w:fldChar w:fldCharType="begin"/>
                    </w:r>
                    <w:r>
                      <w:instrText xml:space="preserve"> PAGE *\charformat</w:instrText>
                    </w:r>
                    <w:r>
                      <w:fldChar w:fldCharType="separate"/>
                    </w:r>
                    <w:r w:rsidR="00AF6C1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E11" w:rsidRPr="002D5ACB" w:rsidRDefault="002D5ACB" w:rsidP="002B061E">
    <w:pPr>
      <w:pStyle w:val="Sidfot"/>
    </w:pPr>
    <w:r w:rsidRPr="002D5A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098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61E" w:rsidRDefault="002B061E">
                          <w:pPr>
                            <w:pStyle w:val="NormalS5sidnrH"/>
                            <w:ind w:right="0"/>
                          </w:pPr>
                          <w:r>
                            <w:fldChar w:fldCharType="begin"/>
                          </w:r>
                          <w:r>
                            <w:instrText xml:space="preserve"> PAGE *\charformat</w:instrText>
                          </w:r>
                          <w:r>
                            <w:fldChar w:fldCharType="separate"/>
                          </w:r>
                          <w:r w:rsidR="00AF6C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061E" w:rsidRDefault="002B061E">
                    <w:pPr>
                      <w:pStyle w:val="NormalS5sidnrH"/>
                      <w:ind w:right="0"/>
                    </w:pPr>
                    <w:r>
                      <w:fldChar w:fldCharType="begin"/>
                    </w:r>
                    <w:r>
                      <w:instrText xml:space="preserve"> PAGE *\charformat</w:instrText>
                    </w:r>
                    <w:r>
                      <w:fldChar w:fldCharType="separate"/>
                    </w:r>
                    <w:r w:rsidR="00AF6C1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2FF" w:rsidRPr="002D5ACB" w:rsidRDefault="00CC72FF">
      <w:r w:rsidRPr="002D5ACB">
        <w:separator/>
      </w:r>
    </w:p>
  </w:footnote>
  <w:footnote w:type="continuationSeparator" w:id="0">
    <w:p w:rsidR="00CC72FF" w:rsidRPr="002D5ACB" w:rsidRDefault="00CC72FF">
      <w:r w:rsidRPr="002D5A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9C5" w:rsidRPr="002D5ACB" w:rsidRDefault="002D5ACB" w:rsidP="002B061E">
    <w:pPr>
      <w:pStyle w:val="Sidhuvud"/>
    </w:pPr>
    <w:r w:rsidRPr="002D5A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31240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61E" w:rsidRDefault="002B061E">
                          <w:pPr>
                            <w:pStyle w:val="KantRubrikS5V"/>
                          </w:pPr>
                          <w:r>
                            <w:fldChar w:fldCharType="begin"/>
                          </w:r>
                          <w:r>
                            <w:instrText xml:space="preserve"> DOCPROPERTY "YearUser" *\charformat </w:instrText>
                          </w:r>
                          <w:r>
                            <w:fldChar w:fldCharType="separate"/>
                          </w:r>
                          <w:r w:rsidR="00AF6C1C">
                            <w:t>2005/06</w:t>
                          </w:r>
                          <w:r>
                            <w:fldChar w:fldCharType="end"/>
                          </w:r>
                          <w:r>
                            <w:t>:</w:t>
                          </w:r>
                          <w:r>
                            <w:fldChar w:fldCharType="begin"/>
                          </w:r>
                          <w:r>
                            <w:instrText xml:space="preserve"> DOCPROPERTY "Motionsnummer" *\charformat </w:instrText>
                          </w:r>
                          <w:r>
                            <w:fldChar w:fldCharType="separate"/>
                          </w:r>
                          <w:r w:rsidR="00AF6C1C">
                            <w:t>N2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061E" w:rsidRDefault="002B061E">
                    <w:pPr>
                      <w:pStyle w:val="KantRubrikS5V"/>
                    </w:pPr>
                    <w:r>
                      <w:fldChar w:fldCharType="begin"/>
                    </w:r>
                    <w:r>
                      <w:instrText xml:space="preserve"> DOCPROPERTY "YearUser" *\charformat </w:instrText>
                    </w:r>
                    <w:r>
                      <w:fldChar w:fldCharType="separate"/>
                    </w:r>
                    <w:r w:rsidR="00AF6C1C">
                      <w:t>2005/06</w:t>
                    </w:r>
                    <w:r>
                      <w:fldChar w:fldCharType="end"/>
                    </w:r>
                    <w:r>
                      <w:t>:</w:t>
                    </w:r>
                    <w:r>
                      <w:fldChar w:fldCharType="begin"/>
                    </w:r>
                    <w:r>
                      <w:instrText xml:space="preserve"> DOCPROPERTY "Motionsnummer" *\charformat </w:instrText>
                    </w:r>
                    <w:r>
                      <w:fldChar w:fldCharType="separate"/>
                    </w:r>
                    <w:r w:rsidR="00AF6C1C">
                      <w:t>N2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E11" w:rsidRPr="002D5ACB" w:rsidRDefault="002D5ACB" w:rsidP="002B061E">
    <w:pPr>
      <w:pStyle w:val="Sidhuvud"/>
    </w:pPr>
    <w:r w:rsidRPr="002D5A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14856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61E" w:rsidRDefault="002B061E">
                          <w:pPr>
                            <w:pStyle w:val="KantRubrikS5H"/>
                            <w:ind w:right="0"/>
                          </w:pPr>
                          <w:r>
                            <w:fldChar w:fldCharType="begin"/>
                          </w:r>
                          <w:r>
                            <w:instrText xml:space="preserve"> DOCPROPERTY "YearUser" *\charformat </w:instrText>
                          </w:r>
                          <w:r>
                            <w:fldChar w:fldCharType="separate"/>
                          </w:r>
                          <w:r w:rsidR="00AF6C1C">
                            <w:t>2005/06</w:t>
                          </w:r>
                          <w:r>
                            <w:fldChar w:fldCharType="end"/>
                          </w:r>
                          <w:r>
                            <w:t>:</w:t>
                          </w:r>
                          <w:r>
                            <w:fldChar w:fldCharType="begin"/>
                          </w:r>
                          <w:r>
                            <w:instrText xml:space="preserve"> DOCPROPERTY "Motionsnummer" *\charformat </w:instrText>
                          </w:r>
                          <w:r>
                            <w:fldChar w:fldCharType="separate"/>
                          </w:r>
                          <w:r w:rsidR="00AF6C1C">
                            <w:t>N2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061E" w:rsidRDefault="002B061E">
                    <w:pPr>
                      <w:pStyle w:val="KantRubrikS5H"/>
                      <w:ind w:right="0"/>
                    </w:pPr>
                    <w:r>
                      <w:fldChar w:fldCharType="begin"/>
                    </w:r>
                    <w:r>
                      <w:instrText xml:space="preserve"> DOCPROPERTY "YearUser" *\charformat </w:instrText>
                    </w:r>
                    <w:r>
                      <w:fldChar w:fldCharType="separate"/>
                    </w:r>
                    <w:r w:rsidR="00AF6C1C">
                      <w:t>2005/06</w:t>
                    </w:r>
                    <w:r>
                      <w:fldChar w:fldCharType="end"/>
                    </w:r>
                    <w:r>
                      <w:t>:</w:t>
                    </w:r>
                    <w:r>
                      <w:fldChar w:fldCharType="begin"/>
                    </w:r>
                    <w:r>
                      <w:instrText xml:space="preserve"> DOCPROPERTY "Motionsnummer" *\charformat </w:instrText>
                    </w:r>
                    <w:r>
                      <w:fldChar w:fldCharType="separate"/>
                    </w:r>
                    <w:r w:rsidR="00AF6C1C">
                      <w:t>N2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61E" w:rsidRPr="002D5ACB" w:rsidRDefault="002B061E">
    <w:pPr>
      <w:pStyle w:val="FSHNormal"/>
      <w:tabs>
        <w:tab w:val="right" w:pos="5840"/>
      </w:tabs>
    </w:pPr>
    <w:r w:rsidRPr="002D5ACB">
      <w:br/>
    </w:r>
    <w:r w:rsidRPr="002D5ACB">
      <w:fldChar w:fldCharType="begin" w:fldLock="1"/>
    </w:r>
    <w:r w:rsidRPr="002D5ACB">
      <w:instrText xml:space="preserve"> DOCPROPERTY</w:instrText>
    </w:r>
    <w:r w:rsidRPr="002D5ACB">
      <w:rPr>
        <w:sz w:val="18"/>
      </w:rPr>
      <w:instrText xml:space="preserve"> "YearUser" *\charformat </w:instrText>
    </w:r>
    <w:r w:rsidRPr="002D5ACB">
      <w:fldChar w:fldCharType="separate"/>
    </w:r>
    <w:r w:rsidR="00AF6C1C" w:rsidRPr="002D5ACB">
      <w:t>2005/06</w:t>
    </w:r>
    <w:r w:rsidRPr="002D5ACB">
      <w:fldChar w:fldCharType="end"/>
    </w:r>
    <w:r w:rsidRPr="002D5ACB">
      <w:t xml:space="preserve"> </w:t>
    </w:r>
    <w:r w:rsidRPr="002D5ACB">
      <w:tab/>
      <w:t xml:space="preserve">mnr: </w:t>
    </w:r>
    <w:r w:rsidRPr="002D5ACB">
      <w:fldChar w:fldCharType="begin" w:fldLock="1"/>
    </w:r>
    <w:r w:rsidRPr="002D5ACB">
      <w:instrText xml:space="preserve"> DOCPROPERTY</w:instrText>
    </w:r>
    <w:r w:rsidRPr="002D5ACB">
      <w:rPr>
        <w:sz w:val="18"/>
      </w:rPr>
      <w:instrText xml:space="preserve"> "Motionsnummer" *\charformat </w:instrText>
    </w:r>
    <w:r w:rsidRPr="002D5ACB">
      <w:fldChar w:fldCharType="separate"/>
    </w:r>
    <w:r w:rsidR="00AF6C1C" w:rsidRPr="002D5ACB">
      <w:t>N2</w:t>
    </w:r>
    <w:r w:rsidRPr="002D5ACB">
      <w:fldChar w:fldCharType="end"/>
    </w:r>
    <w:r w:rsidRPr="002D5ACB">
      <w:br/>
    </w:r>
    <w:r w:rsidRPr="002D5ACB">
      <w:fldChar w:fldCharType="begin" w:fldLock="1"/>
    </w:r>
    <w:r w:rsidRPr="002D5ACB">
      <w:instrText xml:space="preserve"> DOCPROPERTY</w:instrText>
    </w:r>
    <w:r w:rsidRPr="002D5ACB">
      <w:rPr>
        <w:sz w:val="18"/>
      </w:rPr>
      <w:instrText xml:space="preserve"> "Samling" *\charformat </w:instrText>
    </w:r>
    <w:r w:rsidRPr="002D5ACB">
      <w:fldChar w:fldCharType="end"/>
    </w:r>
    <w:r w:rsidRPr="002D5ACB">
      <w:tab/>
      <w:t xml:space="preserve">pnr: </w:t>
    </w:r>
    <w:r w:rsidRPr="002D5ACB">
      <w:fldChar w:fldCharType="begin" w:fldLock="1"/>
    </w:r>
    <w:r w:rsidRPr="002D5ACB">
      <w:instrText xml:space="preserve"> DOCPROPERTY</w:instrText>
    </w:r>
    <w:r w:rsidRPr="002D5ACB">
      <w:rPr>
        <w:sz w:val="18"/>
      </w:rPr>
      <w:instrText xml:space="preserve"> "Partinummer" *\charformat </w:instrText>
    </w:r>
    <w:r w:rsidRPr="002D5ACB">
      <w:fldChar w:fldCharType="separate"/>
    </w:r>
    <w:r w:rsidR="00AF6C1C" w:rsidRPr="002D5ACB">
      <w:t>m183</w:t>
    </w:r>
    <w:r w:rsidRPr="002D5ACB">
      <w:fldChar w:fldCharType="end"/>
    </w:r>
  </w:p>
  <w:p w:rsidR="002B061E" w:rsidRPr="002D5ACB" w:rsidRDefault="002B061E">
    <w:pPr>
      <w:pStyle w:val="FSHRub1"/>
    </w:pPr>
    <w:r w:rsidRPr="002D5ACB">
      <w:t>Motion till riksdagen</w:t>
    </w:r>
    <w:r w:rsidRPr="002D5ACB">
      <w:br/>
    </w:r>
    <w:r w:rsidRPr="002D5ACB">
      <w:fldChar w:fldCharType="begin" w:fldLock="1"/>
    </w:r>
    <w:r w:rsidRPr="002D5ACB">
      <w:instrText xml:space="preserve"> DOCPROPERTY "YearUser" *\charformat </w:instrText>
    </w:r>
    <w:r w:rsidRPr="002D5ACB">
      <w:fldChar w:fldCharType="separate"/>
    </w:r>
    <w:r w:rsidR="00AF6C1C" w:rsidRPr="002D5ACB">
      <w:t>2005/06</w:t>
    </w:r>
    <w:r w:rsidRPr="002D5ACB">
      <w:fldChar w:fldCharType="end"/>
    </w:r>
    <w:r w:rsidRPr="002D5ACB">
      <w:t>:</w:t>
    </w:r>
    <w:r w:rsidRPr="002D5ACB">
      <w:fldChar w:fldCharType="begin" w:fldLock="1"/>
    </w:r>
    <w:r w:rsidRPr="002D5ACB">
      <w:instrText xml:space="preserve"> DOCPROPERTY "Motionsnummer" *\charformat </w:instrText>
    </w:r>
    <w:r w:rsidRPr="002D5ACB">
      <w:fldChar w:fldCharType="separate"/>
    </w:r>
    <w:r w:rsidR="00AF6C1C" w:rsidRPr="002D5ACB">
      <w:t>N2</w:t>
    </w:r>
    <w:r w:rsidRPr="002D5ACB">
      <w:fldChar w:fldCharType="end"/>
    </w:r>
  </w:p>
  <w:p w:rsidR="002B061E" w:rsidRPr="002D5ACB" w:rsidRDefault="002B061E">
    <w:pPr>
      <w:pStyle w:val="FSHNormalS5"/>
    </w:pPr>
    <w:r w:rsidRPr="002D5ACB">
      <w:fldChar w:fldCharType="begin" w:fldLock="1"/>
    </w:r>
    <w:r w:rsidRPr="002D5ACB">
      <w:instrText xml:space="preserve"> DOCPROPERTY "MotionarText" *\charformat </w:instrText>
    </w:r>
    <w:r w:rsidRPr="002D5ACB">
      <w:fldChar w:fldCharType="separate"/>
    </w:r>
    <w:r w:rsidR="00AF6C1C" w:rsidRPr="002D5ACB">
      <w:t>av Per Bill m.fl. (m)</w:t>
    </w:r>
    <w:r w:rsidRPr="002D5ACB">
      <w:fldChar w:fldCharType="end"/>
    </w:r>
    <w:r w:rsidRPr="002D5ACB">
      <w:br/>
    </w:r>
    <w:r w:rsidRPr="002D5ACB">
      <w:fldChar w:fldCharType="begin" w:fldLock="1"/>
    </w:r>
    <w:r w:rsidRPr="002D5ACB">
      <w:instrText xml:space="preserve"> DOCPROPERTY "SvarFrasKort" *\charformat </w:instrText>
    </w:r>
    <w:r w:rsidRPr="002D5ACB">
      <w:fldChar w:fldCharType="separate"/>
    </w:r>
    <w:r w:rsidR="00AF6C1C" w:rsidRPr="002D5ACB">
      <w:t>med anledning av skr. 2005/06:9</w:t>
    </w:r>
    <w:r w:rsidRPr="002D5ACB">
      <w:fldChar w:fldCharType="end"/>
    </w:r>
  </w:p>
  <w:p w:rsidR="002B061E" w:rsidRPr="002D5ACB" w:rsidRDefault="002B061E">
    <w:pPr>
      <w:pStyle w:val="FSHTitel"/>
    </w:pPr>
    <w:r w:rsidRPr="002D5ACB">
      <w:fldChar w:fldCharType="begin" w:fldLock="1"/>
    </w:r>
    <w:r w:rsidRPr="002D5ACB">
      <w:instrText xml:space="preserve"> DOCPROPERTY</w:instrText>
    </w:r>
    <w:r w:rsidRPr="002D5ACB">
      <w:rPr>
        <w:sz w:val="18"/>
      </w:rPr>
      <w:instrText xml:space="preserve"> "RubrikSvar" *\charformat </w:instrText>
    </w:r>
    <w:r w:rsidRPr="002D5ACB">
      <w:fldChar w:fldCharType="separate"/>
    </w:r>
    <w:r w:rsidR="00AF6C1C" w:rsidRPr="002D5ACB">
      <w:t>Ökad välfärd och global utveckling – svensk handelspolitik i WTO:s Doharunda</w:t>
    </w:r>
    <w:r w:rsidRPr="002D5ACB">
      <w:fldChar w:fldCharType="end"/>
    </w:r>
  </w:p>
  <w:p w:rsidR="002B061E" w:rsidRPr="002D5ACB" w:rsidRDefault="002B061E" w:rsidP="002B061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2619641">
    <w:abstractNumId w:val="13"/>
  </w:num>
  <w:num w:numId="2" w16cid:durableId="1153254453">
    <w:abstractNumId w:val="10"/>
  </w:num>
  <w:num w:numId="3" w16cid:durableId="1941981863">
    <w:abstractNumId w:val="11"/>
  </w:num>
  <w:num w:numId="4" w16cid:durableId="504172422">
    <w:abstractNumId w:val="12"/>
  </w:num>
  <w:num w:numId="5" w16cid:durableId="1181117314">
    <w:abstractNumId w:val="8"/>
  </w:num>
  <w:num w:numId="6" w16cid:durableId="886255657">
    <w:abstractNumId w:val="3"/>
  </w:num>
  <w:num w:numId="7" w16cid:durableId="1635064906">
    <w:abstractNumId w:val="2"/>
  </w:num>
  <w:num w:numId="8" w16cid:durableId="110436746">
    <w:abstractNumId w:val="1"/>
  </w:num>
  <w:num w:numId="9" w16cid:durableId="1553541654">
    <w:abstractNumId w:val="0"/>
  </w:num>
  <w:num w:numId="10" w16cid:durableId="1378313042">
    <w:abstractNumId w:val="9"/>
  </w:num>
  <w:num w:numId="11" w16cid:durableId="2119250594">
    <w:abstractNumId w:val="7"/>
  </w:num>
  <w:num w:numId="12" w16cid:durableId="860316129">
    <w:abstractNumId w:val="6"/>
  </w:num>
  <w:num w:numId="13" w16cid:durableId="952632731">
    <w:abstractNumId w:val="5"/>
  </w:num>
  <w:num w:numId="14" w16cid:durableId="870607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FB0571"/>
    <w:rsid w:val="00000634"/>
    <w:rsid w:val="000417FA"/>
    <w:rsid w:val="0004381F"/>
    <w:rsid w:val="00064BC3"/>
    <w:rsid w:val="00066775"/>
    <w:rsid w:val="00072FB9"/>
    <w:rsid w:val="000A21B9"/>
    <w:rsid w:val="000B33CA"/>
    <w:rsid w:val="000E1105"/>
    <w:rsid w:val="00100531"/>
    <w:rsid w:val="00151037"/>
    <w:rsid w:val="001627D8"/>
    <w:rsid w:val="001B2CBD"/>
    <w:rsid w:val="00201DFB"/>
    <w:rsid w:val="00204A63"/>
    <w:rsid w:val="00212FF1"/>
    <w:rsid w:val="00215489"/>
    <w:rsid w:val="00230193"/>
    <w:rsid w:val="0025068A"/>
    <w:rsid w:val="002514FE"/>
    <w:rsid w:val="002818D3"/>
    <w:rsid w:val="002866ED"/>
    <w:rsid w:val="00293550"/>
    <w:rsid w:val="002B061E"/>
    <w:rsid w:val="002D11A8"/>
    <w:rsid w:val="002D5ACB"/>
    <w:rsid w:val="00301C29"/>
    <w:rsid w:val="00302E56"/>
    <w:rsid w:val="003135FA"/>
    <w:rsid w:val="00331D30"/>
    <w:rsid w:val="00345004"/>
    <w:rsid w:val="003A7F29"/>
    <w:rsid w:val="003B5B63"/>
    <w:rsid w:val="004036B0"/>
    <w:rsid w:val="00445271"/>
    <w:rsid w:val="004A0504"/>
    <w:rsid w:val="004B3B9F"/>
    <w:rsid w:val="004D2A37"/>
    <w:rsid w:val="004E38D9"/>
    <w:rsid w:val="004F4B17"/>
    <w:rsid w:val="00527F34"/>
    <w:rsid w:val="00535AE4"/>
    <w:rsid w:val="00583DC7"/>
    <w:rsid w:val="005B145B"/>
    <w:rsid w:val="005C6E57"/>
    <w:rsid w:val="005E2973"/>
    <w:rsid w:val="005F42AE"/>
    <w:rsid w:val="005F49C5"/>
    <w:rsid w:val="005F711B"/>
    <w:rsid w:val="00611AB1"/>
    <w:rsid w:val="00611CD1"/>
    <w:rsid w:val="00616147"/>
    <w:rsid w:val="006174B6"/>
    <w:rsid w:val="0064781A"/>
    <w:rsid w:val="00740D6D"/>
    <w:rsid w:val="00794149"/>
    <w:rsid w:val="007B67A7"/>
    <w:rsid w:val="007C6092"/>
    <w:rsid w:val="007D110F"/>
    <w:rsid w:val="0084336B"/>
    <w:rsid w:val="00883C47"/>
    <w:rsid w:val="008D09D8"/>
    <w:rsid w:val="008E0480"/>
    <w:rsid w:val="00951E96"/>
    <w:rsid w:val="009654F3"/>
    <w:rsid w:val="00983F3B"/>
    <w:rsid w:val="009932CA"/>
    <w:rsid w:val="009A79A6"/>
    <w:rsid w:val="009B30E6"/>
    <w:rsid w:val="00A053C6"/>
    <w:rsid w:val="00A1370C"/>
    <w:rsid w:val="00A30A79"/>
    <w:rsid w:val="00A92974"/>
    <w:rsid w:val="00AA1360"/>
    <w:rsid w:val="00AF6C1C"/>
    <w:rsid w:val="00B1201B"/>
    <w:rsid w:val="00B13BF0"/>
    <w:rsid w:val="00B1429A"/>
    <w:rsid w:val="00B21C5B"/>
    <w:rsid w:val="00B476A9"/>
    <w:rsid w:val="00B62210"/>
    <w:rsid w:val="00BB7A0C"/>
    <w:rsid w:val="00BD3BAC"/>
    <w:rsid w:val="00C1285C"/>
    <w:rsid w:val="00C27B7D"/>
    <w:rsid w:val="00C356FB"/>
    <w:rsid w:val="00C80032"/>
    <w:rsid w:val="00CA509B"/>
    <w:rsid w:val="00CA6AFB"/>
    <w:rsid w:val="00CC72FF"/>
    <w:rsid w:val="00CE1E11"/>
    <w:rsid w:val="00CF67B9"/>
    <w:rsid w:val="00CF7A43"/>
    <w:rsid w:val="00D050A8"/>
    <w:rsid w:val="00D1174F"/>
    <w:rsid w:val="00D40192"/>
    <w:rsid w:val="00D446DB"/>
    <w:rsid w:val="00D75DD6"/>
    <w:rsid w:val="00DC6C70"/>
    <w:rsid w:val="00DE4E6C"/>
    <w:rsid w:val="00E22893"/>
    <w:rsid w:val="00E360DE"/>
    <w:rsid w:val="00E423B6"/>
    <w:rsid w:val="00E75D28"/>
    <w:rsid w:val="00E84F25"/>
    <w:rsid w:val="00EC631D"/>
    <w:rsid w:val="00EC7DCB"/>
    <w:rsid w:val="00F02332"/>
    <w:rsid w:val="00F034B6"/>
    <w:rsid w:val="00F03737"/>
    <w:rsid w:val="00F26B78"/>
    <w:rsid w:val="00F779AA"/>
    <w:rsid w:val="00FA2A61"/>
    <w:rsid w:val="00FA3374"/>
    <w:rsid w:val="00FB0571"/>
    <w:rsid w:val="00FD1EF5"/>
    <w:rsid w:val="00FE3153"/>
    <w:rsid w:val="00FE68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B69AAF-5D98-46B1-BB97-F6D444C0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NormaltindragChar">
    <w:name w:val="Normalt indrag Char"/>
    <w:aliases w:val="Normal_indrag Char,Normal Indrag Char"/>
    <w:basedOn w:val="Standardstycketeckensnitt"/>
    <w:link w:val="Normaltindrag"/>
    <w:rsid w:val="00F03737"/>
    <w:rPr>
      <w:sz w:val="19"/>
      <w:lang w:val="sv-SE" w:eastAsia="sv-SE" w:bidi="ar-SA"/>
    </w:rPr>
  </w:style>
  <w:style w:type="paragraph" w:styleId="Ballongtext">
    <w:name w:val="Balloon Text"/>
    <w:basedOn w:val="Normal"/>
    <w:semiHidden/>
    <w:rsid w:val="009A79A6"/>
    <w:rPr>
      <w:rFonts w:ascii="Tahoma" w:hAnsi="Tahoma" w:cs="Tahoma"/>
      <w:sz w:val="16"/>
      <w:szCs w:val="16"/>
    </w:rPr>
  </w:style>
  <w:style w:type="paragraph" w:customStyle="1" w:styleId="Hemstlrubrik">
    <w:name w:val="Hemstl_rubrik"/>
    <w:basedOn w:val="Rubrik1"/>
    <w:next w:val="Normal"/>
    <w:rsid w:val="005F49C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1953</Words>
  <Characters>11272</Characters>
  <Application>Microsoft Office Word</Application>
  <DocSecurity>4</DocSecurity>
  <Lines>194</Lines>
  <Paragraphs>35</Paragraphs>
  <ScaleCrop>false</ScaleCrop>
  <HeadingPairs>
    <vt:vector size="2" baseType="variant">
      <vt:variant>
        <vt:lpstr>Rubrik</vt:lpstr>
      </vt:variant>
      <vt:variant>
        <vt:i4>1</vt:i4>
      </vt:variant>
    </vt:vector>
  </HeadingPairs>
  <TitlesOfParts>
    <vt:vector size="1" baseType="lpstr">
      <vt:lpstr>N2</vt:lpstr>
    </vt:vector>
  </TitlesOfParts>
  <Company>Riksdagen</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dc:title>
  <dc:subject>N2</dc:subject>
  <dc:creator>Riksdagen</dc:creator>
  <cp:keywords>Riksdagen</cp:keywords>
  <dc:description/>
  <cp:lastModifiedBy>Lars Brink</cp:lastModifiedBy>
  <cp:revision>2</cp:revision>
  <cp:lastPrinted>2005-10-21T11:15:00Z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mot2000_418_2005-10-13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2005/06:9 Ökad välfärd och global utveckling – svensk handelspolitik i WTO:s Doharunda</vt:lpwstr>
  </property>
  <property fmtid="{D5CDD505-2E9C-101B-9397-08002B2CF9AE}" pid="11" name="SvarFrasKort">
    <vt:lpwstr>med anledning av skr. 2005/06:9</vt:lpwstr>
  </property>
  <property fmtid="{D5CDD505-2E9C-101B-9397-08002B2CF9AE}" pid="12" name="Svar">
    <vt:lpwstr>skrivelse</vt:lpwstr>
  </property>
  <property fmtid="{D5CDD505-2E9C-101B-9397-08002B2CF9AE}" pid="13" name="SvarNr">
    <vt:lpwstr>2005/06:9</vt:lpwstr>
  </property>
  <property fmtid="{D5CDD505-2E9C-101B-9397-08002B2CF9AE}" pid="14" name="RubrikSvar">
    <vt:lpwstr>Ökad välfärd och global utveckling – svensk handelspolitik i WTO:s Doharunda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Per Bill m.fl. (m)</vt:lpwstr>
  </property>
  <property fmtid="{D5CDD505-2E9C-101B-9397-08002B2CF9AE}" pid="26" name="MotionarLista">
    <vt:lpwstr>Bill, Per (m)\Löfgren, Ulla (m)\Pålsson, Anne-Marie (m)\Hammarbergh, Krister (m)\Kjellberg, Bertil (m)\Danielsson, Peter (m)\Hagfeldt, Stefan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Ulla Löfgren (m), Anne-Marie Pålsson (m), Krister Hammarbergh (m), Bertil Kjellberg (m), Peter Danielsson (m), Stefan Hagfeldt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oktober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20052006000000000109000001830075</vt:lpwstr>
  </property>
  <property fmtid="{D5CDD505-2E9C-101B-9397-08002B2CF9AE}" pid="47" name="datum">
    <vt:lpwstr>051017</vt:lpwstr>
  </property>
  <property fmtid="{D5CDD505-2E9C-101B-9397-08002B2CF9AE}" pid="48" name="avsändar-e-post">
    <vt:lpwstr>siv.lindgren@riksdagen.se</vt:lpwstr>
  </property>
  <property fmtid="{D5CDD505-2E9C-101B-9397-08002B2CF9AE}" pid="49" name="id">
    <vt:lpwstr>20052006000000000109000001830075</vt:lpwstr>
  </property>
  <property fmtid="{D5CDD505-2E9C-101B-9397-08002B2CF9AE}" pid="50" name="nummer">
    <vt:lpwstr>2</vt:lpwstr>
  </property>
  <property fmtid="{D5CDD505-2E9C-101B-9397-08002B2CF9AE}" pid="51" name="utskottsbeteckning">
    <vt:lpwstr>N</vt:lpwstr>
  </property>
</Properties>
</file>