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12290" w14:textId="77777777" w:rsidR="00FB32B9" w:rsidRDefault="006F4449" w:rsidP="00FB32B9">
      <w:pPr>
        <w:pStyle w:val="UDrubrik"/>
        <w:tabs>
          <w:tab w:val="left" w:pos="1701"/>
          <w:tab w:val="left" w:pos="1985"/>
        </w:tabs>
        <w:rPr>
          <w:rFonts w:cs="Arial"/>
          <w:sz w:val="28"/>
        </w:rPr>
      </w:pPr>
    </w:p>
    <w:p w14:paraId="0A012291" w14:textId="77777777" w:rsidR="00FB32B9" w:rsidRDefault="006F4449" w:rsidP="00FB32B9">
      <w:pPr>
        <w:pStyle w:val="UDrubrik"/>
        <w:tabs>
          <w:tab w:val="left" w:pos="1701"/>
          <w:tab w:val="left" w:pos="1985"/>
        </w:tabs>
        <w:rPr>
          <w:rFonts w:cs="Arial"/>
          <w:sz w:val="28"/>
        </w:rPr>
      </w:pPr>
    </w:p>
    <w:p w14:paraId="0A012292" w14:textId="77777777" w:rsidR="00FB32B9" w:rsidRDefault="006F4449" w:rsidP="00FB32B9">
      <w:pPr>
        <w:pStyle w:val="UDrubrik"/>
        <w:tabs>
          <w:tab w:val="left" w:pos="1701"/>
          <w:tab w:val="left" w:pos="1985"/>
        </w:tabs>
        <w:rPr>
          <w:rFonts w:cs="Arial"/>
          <w:sz w:val="28"/>
        </w:rPr>
      </w:pPr>
    </w:p>
    <w:p w14:paraId="0A012293" w14:textId="77777777" w:rsidR="00FB32B9" w:rsidRDefault="006F4449" w:rsidP="00FB32B9">
      <w:pPr>
        <w:pStyle w:val="UDrubrik"/>
        <w:tabs>
          <w:tab w:val="left" w:pos="1701"/>
          <w:tab w:val="left" w:pos="1985"/>
        </w:tabs>
        <w:rPr>
          <w:rFonts w:cs="Arial"/>
          <w:sz w:val="28"/>
        </w:rPr>
      </w:pPr>
    </w:p>
    <w:p w14:paraId="0A012294" w14:textId="19E345DA" w:rsidR="00FB32B9" w:rsidRDefault="006F4449" w:rsidP="00FB32B9">
      <w:pPr>
        <w:pStyle w:val="UDrubrik"/>
        <w:tabs>
          <w:tab w:val="left" w:pos="1701"/>
          <w:tab w:val="left" w:pos="1985"/>
        </w:tabs>
        <w:rPr>
          <w:rFonts w:cs="Arial"/>
          <w:sz w:val="28"/>
        </w:rPr>
      </w:pPr>
      <w:r>
        <w:rPr>
          <w:rFonts w:cs="Arial"/>
          <w:sz w:val="28"/>
        </w:rPr>
        <w:t xml:space="preserve">Troliga A-punkter inför kommande rådsmöten som </w:t>
      </w:r>
      <w:r w:rsidR="009C6C09">
        <w:rPr>
          <w:rFonts w:cs="Arial"/>
          <w:sz w:val="28"/>
        </w:rPr>
        <w:t>förväntas godkännas</w:t>
      </w:r>
      <w:r>
        <w:rPr>
          <w:rFonts w:cs="Arial"/>
          <w:sz w:val="28"/>
        </w:rPr>
        <w:t xml:space="preserve"> vid </w:t>
      </w:r>
      <w:r>
        <w:rPr>
          <w:rFonts w:cs="Arial"/>
          <w:sz w:val="28"/>
        </w:rPr>
        <w:t>Coreper I</w:t>
      </w:r>
      <w:r>
        <w:rPr>
          <w:rFonts w:cs="Arial"/>
          <w:sz w:val="28"/>
        </w:rPr>
        <w:t xml:space="preserve"> den</w:t>
      </w:r>
      <w:r w:rsidR="009C6C09">
        <w:rPr>
          <w:rFonts w:cs="Arial"/>
          <w:sz w:val="28"/>
        </w:rPr>
        <w:t xml:space="preserve"> 25 januari 2017</w:t>
      </w:r>
      <w:r>
        <w:rPr>
          <w:rFonts w:cs="Arial"/>
          <w:sz w:val="28"/>
        </w:rPr>
        <w:t>.</w:t>
      </w:r>
    </w:p>
    <w:p w14:paraId="0A012295" w14:textId="77777777" w:rsidR="00FB32B9" w:rsidRDefault="006F4449" w:rsidP="00FB32B9">
      <w:pPr>
        <w:pStyle w:val="Brdtext"/>
      </w:pPr>
    </w:p>
    <w:p w14:paraId="0A012297" w14:textId="77777777" w:rsidR="00FB32B9" w:rsidRDefault="006F4449">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A012298" w14:textId="77777777" w:rsidR="00D957FB" w:rsidRPr="00283DF3" w:rsidRDefault="006F4449">
          <w:pPr>
            <w:pStyle w:val="Innehllsfrteckningsrubrik"/>
            <w:rPr>
              <w:color w:val="auto"/>
              <w:lang w:val="sv-SE"/>
            </w:rPr>
          </w:pPr>
          <w:r w:rsidRPr="00283DF3">
            <w:rPr>
              <w:color w:val="auto"/>
              <w:lang w:val="sv-SE"/>
            </w:rPr>
            <w:t>Innehållsförteckning</w:t>
          </w:r>
        </w:p>
        <w:p w14:paraId="0A012299" w14:textId="77777777" w:rsidR="00DA7250" w:rsidRPr="00283DF3" w:rsidRDefault="006F4449" w:rsidP="00DA7250">
          <w:pPr>
            <w:rPr>
              <w:lang w:eastAsia="ja-JP"/>
            </w:rPr>
          </w:pPr>
        </w:p>
        <w:p w14:paraId="1050BBBF" w14:textId="77777777" w:rsidR="009C6C09" w:rsidRDefault="006F4449">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73039223" w:history="1">
            <w:r w:rsidR="009C6C09" w:rsidRPr="001A743A">
              <w:rPr>
                <w:rStyle w:val="Hyperlnk"/>
                <w:noProof/>
              </w:rPr>
              <w:t>1.</w:t>
            </w:r>
            <w:r w:rsidR="009C6C09">
              <w:rPr>
                <w:rFonts w:asciiTheme="minorHAnsi" w:eastAsiaTheme="minorEastAsia" w:hAnsiTheme="minorHAnsi" w:cstheme="minorBidi"/>
                <w:noProof/>
                <w:lang w:eastAsia="sv-SE"/>
              </w:rPr>
              <w:tab/>
            </w:r>
            <w:r w:rsidR="009C6C09" w:rsidRPr="001A743A">
              <w:rPr>
                <w:rStyle w:val="Hyperlnk"/>
                <w:noProof/>
              </w:rPr>
              <w:t>Replies to written questions put to the Council by Members of the European Parliament</w:t>
            </w:r>
            <w:r w:rsidR="009C6C09">
              <w:rPr>
                <w:noProof/>
                <w:webHidden/>
              </w:rPr>
              <w:tab/>
            </w:r>
            <w:r w:rsidR="009C6C09">
              <w:rPr>
                <w:noProof/>
                <w:webHidden/>
              </w:rPr>
              <w:fldChar w:fldCharType="begin"/>
            </w:r>
            <w:r w:rsidR="009C6C09">
              <w:rPr>
                <w:noProof/>
                <w:webHidden/>
              </w:rPr>
              <w:instrText xml:space="preserve"> PAGEREF _Toc473039223 \h </w:instrText>
            </w:r>
            <w:r w:rsidR="009C6C09">
              <w:rPr>
                <w:noProof/>
                <w:webHidden/>
              </w:rPr>
            </w:r>
            <w:r w:rsidR="009C6C09">
              <w:rPr>
                <w:noProof/>
                <w:webHidden/>
              </w:rPr>
              <w:fldChar w:fldCharType="separate"/>
            </w:r>
            <w:r w:rsidR="009C6C09">
              <w:rPr>
                <w:noProof/>
                <w:webHidden/>
              </w:rPr>
              <w:t>3</w:t>
            </w:r>
            <w:r w:rsidR="009C6C09">
              <w:rPr>
                <w:noProof/>
                <w:webHidden/>
              </w:rPr>
              <w:fldChar w:fldCharType="end"/>
            </w:r>
          </w:hyperlink>
        </w:p>
        <w:p w14:paraId="043F3B33" w14:textId="77777777" w:rsidR="009C6C09" w:rsidRDefault="009C6C09">
          <w:pPr>
            <w:pStyle w:val="Innehll1"/>
            <w:tabs>
              <w:tab w:val="left" w:pos="440"/>
              <w:tab w:val="right" w:leader="dot" w:pos="9062"/>
            </w:tabs>
            <w:rPr>
              <w:rFonts w:asciiTheme="minorHAnsi" w:eastAsiaTheme="minorEastAsia" w:hAnsiTheme="minorHAnsi" w:cstheme="minorBidi"/>
              <w:noProof/>
              <w:lang w:eastAsia="sv-SE"/>
            </w:rPr>
          </w:pPr>
          <w:hyperlink w:anchor="_Toc473039224" w:history="1">
            <w:r w:rsidRPr="001A743A">
              <w:rPr>
                <w:rStyle w:val="Hyperlnk"/>
                <w:noProof/>
              </w:rPr>
              <w:t>2.</w:t>
            </w:r>
            <w:r>
              <w:rPr>
                <w:rFonts w:asciiTheme="minorHAnsi" w:eastAsiaTheme="minorEastAsia" w:hAnsiTheme="minorHAnsi" w:cstheme="minorBidi"/>
                <w:noProof/>
                <w:lang w:eastAsia="sv-SE"/>
              </w:rPr>
              <w:tab/>
            </w:r>
            <w:r w:rsidRPr="001A743A">
              <w:rPr>
                <w:rStyle w:val="Hyperlnk"/>
                <w:noProof/>
              </w:rPr>
              <w:t>Proposal for a Regulation of the European Parliament and of the Council amending Regulation (EC) No 1059/2003 as regards the territorial typologies (Tercet)</w:t>
            </w:r>
            <w:r>
              <w:rPr>
                <w:noProof/>
                <w:webHidden/>
              </w:rPr>
              <w:tab/>
            </w:r>
            <w:r>
              <w:rPr>
                <w:noProof/>
                <w:webHidden/>
              </w:rPr>
              <w:fldChar w:fldCharType="begin"/>
            </w:r>
            <w:r>
              <w:rPr>
                <w:noProof/>
                <w:webHidden/>
              </w:rPr>
              <w:instrText xml:space="preserve"> PAGEREF _Toc473039224 \h </w:instrText>
            </w:r>
            <w:r>
              <w:rPr>
                <w:noProof/>
                <w:webHidden/>
              </w:rPr>
            </w:r>
            <w:r>
              <w:rPr>
                <w:noProof/>
                <w:webHidden/>
              </w:rPr>
              <w:fldChar w:fldCharType="separate"/>
            </w:r>
            <w:r>
              <w:rPr>
                <w:noProof/>
                <w:webHidden/>
              </w:rPr>
              <w:t>3</w:t>
            </w:r>
            <w:r>
              <w:rPr>
                <w:noProof/>
                <w:webHidden/>
              </w:rPr>
              <w:fldChar w:fldCharType="end"/>
            </w:r>
          </w:hyperlink>
        </w:p>
        <w:p w14:paraId="08CEB878" w14:textId="77777777" w:rsidR="009C6C09" w:rsidRDefault="009C6C09">
          <w:pPr>
            <w:pStyle w:val="Innehll1"/>
            <w:tabs>
              <w:tab w:val="left" w:pos="440"/>
              <w:tab w:val="right" w:leader="dot" w:pos="9062"/>
            </w:tabs>
            <w:rPr>
              <w:rFonts w:asciiTheme="minorHAnsi" w:eastAsiaTheme="minorEastAsia" w:hAnsiTheme="minorHAnsi" w:cstheme="minorBidi"/>
              <w:noProof/>
              <w:lang w:eastAsia="sv-SE"/>
            </w:rPr>
          </w:pPr>
          <w:hyperlink w:anchor="_Toc473039225" w:history="1">
            <w:r w:rsidRPr="001A743A">
              <w:rPr>
                <w:rStyle w:val="Hyperlnk"/>
                <w:noProof/>
              </w:rPr>
              <w:t>3.</w:t>
            </w:r>
            <w:r>
              <w:rPr>
                <w:rFonts w:asciiTheme="minorHAnsi" w:eastAsiaTheme="minorEastAsia" w:hAnsiTheme="minorHAnsi" w:cstheme="minorBidi"/>
                <w:noProof/>
                <w:lang w:eastAsia="sv-SE"/>
              </w:rPr>
              <w:tab/>
            </w:r>
            <w:r w:rsidRPr="001A743A">
              <w:rPr>
                <w:rStyle w:val="Hyperlnk"/>
                <w:noProof/>
              </w:rPr>
              <w:t>Commission Regulation (EU) …/… of XXX laying down methods of sampling and analysis for the control of levels of dioxins, dioxin-like PCBs and non-dioxin-like PCBs in certain foodstuffs and repealing Regulation (EU) No 589/2014</w:t>
            </w:r>
            <w:r>
              <w:rPr>
                <w:noProof/>
                <w:webHidden/>
              </w:rPr>
              <w:tab/>
            </w:r>
            <w:r>
              <w:rPr>
                <w:noProof/>
                <w:webHidden/>
              </w:rPr>
              <w:fldChar w:fldCharType="begin"/>
            </w:r>
            <w:r>
              <w:rPr>
                <w:noProof/>
                <w:webHidden/>
              </w:rPr>
              <w:instrText xml:space="preserve"> PAGEREF _Toc473039225 \h </w:instrText>
            </w:r>
            <w:r>
              <w:rPr>
                <w:noProof/>
                <w:webHidden/>
              </w:rPr>
            </w:r>
            <w:r>
              <w:rPr>
                <w:noProof/>
                <w:webHidden/>
              </w:rPr>
              <w:fldChar w:fldCharType="separate"/>
            </w:r>
            <w:r>
              <w:rPr>
                <w:noProof/>
                <w:webHidden/>
              </w:rPr>
              <w:t>3</w:t>
            </w:r>
            <w:r>
              <w:rPr>
                <w:noProof/>
                <w:webHidden/>
              </w:rPr>
              <w:fldChar w:fldCharType="end"/>
            </w:r>
          </w:hyperlink>
        </w:p>
        <w:p w14:paraId="7D879C1F" w14:textId="77777777" w:rsidR="009C6C09" w:rsidRDefault="009C6C09">
          <w:pPr>
            <w:pStyle w:val="Innehll1"/>
            <w:tabs>
              <w:tab w:val="left" w:pos="440"/>
              <w:tab w:val="right" w:leader="dot" w:pos="9062"/>
            </w:tabs>
            <w:rPr>
              <w:rFonts w:asciiTheme="minorHAnsi" w:eastAsiaTheme="minorEastAsia" w:hAnsiTheme="minorHAnsi" w:cstheme="minorBidi"/>
              <w:noProof/>
              <w:lang w:eastAsia="sv-SE"/>
            </w:rPr>
          </w:pPr>
          <w:hyperlink w:anchor="_Toc473039226" w:history="1">
            <w:r w:rsidRPr="001A743A">
              <w:rPr>
                <w:rStyle w:val="Hyperlnk"/>
                <w:noProof/>
              </w:rPr>
              <w:t>4.</w:t>
            </w:r>
            <w:r>
              <w:rPr>
                <w:rFonts w:asciiTheme="minorHAnsi" w:eastAsiaTheme="minorEastAsia" w:hAnsiTheme="minorHAnsi" w:cstheme="minorBidi"/>
                <w:noProof/>
                <w:lang w:eastAsia="sv-SE"/>
              </w:rPr>
              <w:tab/>
            </w:r>
            <w:r w:rsidRPr="001A743A">
              <w:rPr>
                <w:rStyle w:val="Hyperlnk"/>
                <w:noProof/>
              </w:rPr>
              <w:t>Commission Regulation (EU) …/… of XXX amending Annexes II and III to Regulation (EC) No 396/2005 of the European Parliament and of the Council as regards maximum residue levels for sulfoxaflor in or on certain products</w:t>
            </w:r>
            <w:r>
              <w:rPr>
                <w:noProof/>
                <w:webHidden/>
              </w:rPr>
              <w:tab/>
            </w:r>
            <w:r>
              <w:rPr>
                <w:noProof/>
                <w:webHidden/>
              </w:rPr>
              <w:fldChar w:fldCharType="begin"/>
            </w:r>
            <w:r>
              <w:rPr>
                <w:noProof/>
                <w:webHidden/>
              </w:rPr>
              <w:instrText xml:space="preserve"> PAGEREF _Toc473039226 \h </w:instrText>
            </w:r>
            <w:r>
              <w:rPr>
                <w:noProof/>
                <w:webHidden/>
              </w:rPr>
            </w:r>
            <w:r>
              <w:rPr>
                <w:noProof/>
                <w:webHidden/>
              </w:rPr>
              <w:fldChar w:fldCharType="separate"/>
            </w:r>
            <w:r>
              <w:rPr>
                <w:noProof/>
                <w:webHidden/>
              </w:rPr>
              <w:t>4</w:t>
            </w:r>
            <w:r>
              <w:rPr>
                <w:noProof/>
                <w:webHidden/>
              </w:rPr>
              <w:fldChar w:fldCharType="end"/>
            </w:r>
          </w:hyperlink>
        </w:p>
        <w:p w14:paraId="567D4ADF" w14:textId="77777777" w:rsidR="009C6C09" w:rsidRDefault="009C6C09">
          <w:pPr>
            <w:pStyle w:val="Innehll1"/>
            <w:tabs>
              <w:tab w:val="left" w:pos="440"/>
              <w:tab w:val="right" w:leader="dot" w:pos="9062"/>
            </w:tabs>
            <w:rPr>
              <w:rFonts w:asciiTheme="minorHAnsi" w:eastAsiaTheme="minorEastAsia" w:hAnsiTheme="minorHAnsi" w:cstheme="minorBidi"/>
              <w:noProof/>
              <w:lang w:eastAsia="sv-SE"/>
            </w:rPr>
          </w:pPr>
          <w:hyperlink w:anchor="_Toc473039227" w:history="1">
            <w:r w:rsidRPr="001A743A">
              <w:rPr>
                <w:rStyle w:val="Hyperlnk"/>
                <w:noProof/>
              </w:rPr>
              <w:t>5.</w:t>
            </w:r>
            <w:r>
              <w:rPr>
                <w:rFonts w:asciiTheme="minorHAnsi" w:eastAsiaTheme="minorEastAsia" w:hAnsiTheme="minorHAnsi" w:cstheme="minorBidi"/>
                <w:noProof/>
                <w:lang w:eastAsia="sv-SE"/>
              </w:rPr>
              <w:tab/>
            </w:r>
            <w:r w:rsidRPr="001A743A">
              <w:rPr>
                <w:rStyle w:val="Hyperlnk"/>
                <w:noProof/>
              </w:rPr>
              <w:t>Commission Regulation (EU) …/… of XXX amending Annex VII to Regulation (EC) No 1907/2006 of the European Parliament and of the Council on the Registration, Evaluation, Authorisation and Restriction of Chemicals (REACH) as regards skin sensitisation and repealing Commission Regulation (EU) 2016/1688</w:t>
            </w:r>
            <w:r>
              <w:rPr>
                <w:noProof/>
                <w:webHidden/>
              </w:rPr>
              <w:tab/>
            </w:r>
            <w:r>
              <w:rPr>
                <w:noProof/>
                <w:webHidden/>
              </w:rPr>
              <w:fldChar w:fldCharType="begin"/>
            </w:r>
            <w:r>
              <w:rPr>
                <w:noProof/>
                <w:webHidden/>
              </w:rPr>
              <w:instrText xml:space="preserve"> PAGEREF _Toc473039227 \h </w:instrText>
            </w:r>
            <w:r>
              <w:rPr>
                <w:noProof/>
                <w:webHidden/>
              </w:rPr>
            </w:r>
            <w:r>
              <w:rPr>
                <w:noProof/>
                <w:webHidden/>
              </w:rPr>
              <w:fldChar w:fldCharType="separate"/>
            </w:r>
            <w:r>
              <w:rPr>
                <w:noProof/>
                <w:webHidden/>
              </w:rPr>
              <w:t>4</w:t>
            </w:r>
            <w:r>
              <w:rPr>
                <w:noProof/>
                <w:webHidden/>
              </w:rPr>
              <w:fldChar w:fldCharType="end"/>
            </w:r>
          </w:hyperlink>
        </w:p>
        <w:p w14:paraId="1FAE1F5C" w14:textId="77777777" w:rsidR="009C6C09" w:rsidRDefault="009C6C09">
          <w:pPr>
            <w:pStyle w:val="Innehll1"/>
            <w:tabs>
              <w:tab w:val="left" w:pos="440"/>
              <w:tab w:val="right" w:leader="dot" w:pos="9062"/>
            </w:tabs>
            <w:rPr>
              <w:rFonts w:asciiTheme="minorHAnsi" w:eastAsiaTheme="minorEastAsia" w:hAnsiTheme="minorHAnsi" w:cstheme="minorBidi"/>
              <w:noProof/>
              <w:lang w:eastAsia="sv-SE"/>
            </w:rPr>
          </w:pPr>
          <w:hyperlink w:anchor="_Toc473039228" w:history="1">
            <w:r w:rsidRPr="001A743A">
              <w:rPr>
                <w:rStyle w:val="Hyperlnk"/>
                <w:noProof/>
              </w:rPr>
              <w:t>6.</w:t>
            </w:r>
            <w:r>
              <w:rPr>
                <w:rFonts w:asciiTheme="minorHAnsi" w:eastAsiaTheme="minorEastAsia" w:hAnsiTheme="minorHAnsi" w:cstheme="minorBidi"/>
                <w:noProof/>
                <w:lang w:eastAsia="sv-SE"/>
              </w:rPr>
              <w:tab/>
            </w:r>
            <w:r w:rsidRPr="001A743A">
              <w:rPr>
                <w:rStyle w:val="Hyperlnk"/>
                <w:noProof/>
              </w:rPr>
              <w:t>Commission Regulation (EU) …/.. establishing a network code on harmonised transmission tariff structures for gas</w:t>
            </w:r>
            <w:r>
              <w:rPr>
                <w:noProof/>
                <w:webHidden/>
              </w:rPr>
              <w:tab/>
            </w:r>
            <w:r>
              <w:rPr>
                <w:noProof/>
                <w:webHidden/>
              </w:rPr>
              <w:fldChar w:fldCharType="begin"/>
            </w:r>
            <w:r>
              <w:rPr>
                <w:noProof/>
                <w:webHidden/>
              </w:rPr>
              <w:instrText xml:space="preserve"> PAGEREF _Toc473039228 \h </w:instrText>
            </w:r>
            <w:r>
              <w:rPr>
                <w:noProof/>
                <w:webHidden/>
              </w:rPr>
            </w:r>
            <w:r>
              <w:rPr>
                <w:noProof/>
                <w:webHidden/>
              </w:rPr>
              <w:fldChar w:fldCharType="separate"/>
            </w:r>
            <w:r>
              <w:rPr>
                <w:noProof/>
                <w:webHidden/>
              </w:rPr>
              <w:t>4</w:t>
            </w:r>
            <w:r>
              <w:rPr>
                <w:noProof/>
                <w:webHidden/>
              </w:rPr>
              <w:fldChar w:fldCharType="end"/>
            </w:r>
          </w:hyperlink>
        </w:p>
        <w:p w14:paraId="75F5D7CC" w14:textId="77777777" w:rsidR="009C6C09" w:rsidRDefault="009C6C09">
          <w:pPr>
            <w:pStyle w:val="Innehll1"/>
            <w:tabs>
              <w:tab w:val="left" w:pos="440"/>
              <w:tab w:val="right" w:leader="dot" w:pos="9062"/>
            </w:tabs>
            <w:rPr>
              <w:rFonts w:asciiTheme="minorHAnsi" w:eastAsiaTheme="minorEastAsia" w:hAnsiTheme="minorHAnsi" w:cstheme="minorBidi"/>
              <w:noProof/>
              <w:lang w:eastAsia="sv-SE"/>
            </w:rPr>
          </w:pPr>
          <w:hyperlink w:anchor="_Toc473039229" w:history="1">
            <w:r w:rsidRPr="001A743A">
              <w:rPr>
                <w:rStyle w:val="Hyperlnk"/>
                <w:noProof/>
              </w:rPr>
              <w:t>7.</w:t>
            </w:r>
            <w:r>
              <w:rPr>
                <w:rFonts w:asciiTheme="minorHAnsi" w:eastAsiaTheme="minorEastAsia" w:hAnsiTheme="minorHAnsi" w:cstheme="minorBidi"/>
                <w:noProof/>
                <w:lang w:eastAsia="sv-SE"/>
              </w:rPr>
              <w:tab/>
            </w:r>
            <w:r w:rsidRPr="001A743A">
              <w:rPr>
                <w:rStyle w:val="Hyperlnk"/>
                <w:noProof/>
              </w:rPr>
              <w:t>Draft Council Decision (EU) 2016/... of ... determining, for the General Secretariat of the Council, the appointing authority and the authority empowered to conclude contracts of employment and repealing Decision 2013/811/EU</w:t>
            </w:r>
            <w:r>
              <w:rPr>
                <w:noProof/>
                <w:webHidden/>
              </w:rPr>
              <w:tab/>
            </w:r>
            <w:r>
              <w:rPr>
                <w:noProof/>
                <w:webHidden/>
              </w:rPr>
              <w:fldChar w:fldCharType="begin"/>
            </w:r>
            <w:r>
              <w:rPr>
                <w:noProof/>
                <w:webHidden/>
              </w:rPr>
              <w:instrText xml:space="preserve"> PAGEREF _Toc473039229 \h </w:instrText>
            </w:r>
            <w:r>
              <w:rPr>
                <w:noProof/>
                <w:webHidden/>
              </w:rPr>
            </w:r>
            <w:r>
              <w:rPr>
                <w:noProof/>
                <w:webHidden/>
              </w:rPr>
              <w:fldChar w:fldCharType="separate"/>
            </w:r>
            <w:r>
              <w:rPr>
                <w:noProof/>
                <w:webHidden/>
              </w:rPr>
              <w:t>5</w:t>
            </w:r>
            <w:r>
              <w:rPr>
                <w:noProof/>
                <w:webHidden/>
              </w:rPr>
              <w:fldChar w:fldCharType="end"/>
            </w:r>
          </w:hyperlink>
        </w:p>
        <w:p w14:paraId="0A0122A1" w14:textId="77777777" w:rsidR="00D957FB" w:rsidRDefault="006F4449">
          <w:r>
            <w:rPr>
              <w:b/>
              <w:bCs/>
              <w:noProof/>
            </w:rPr>
            <w:fldChar w:fldCharType="end"/>
          </w:r>
        </w:p>
      </w:sdtContent>
    </w:sdt>
    <w:p w14:paraId="0A0122A2" w14:textId="77777777" w:rsidR="00D957FB" w:rsidRDefault="006F4449">
      <w:pPr>
        <w:ind w:left="0"/>
      </w:pPr>
      <w:r>
        <w:br w:type="page"/>
      </w:r>
    </w:p>
    <w:p w14:paraId="0A0122A4" w14:textId="77777777" w:rsidR="00643D86" w:rsidRDefault="006F4449" w:rsidP="00643D86">
      <w:pPr>
        <w:pStyle w:val="Rubrik1"/>
      </w:pPr>
      <w:bookmarkStart w:id="0" w:name="_Toc364854645"/>
      <w:bookmarkStart w:id="1" w:name="_Toc473039223"/>
      <w:r>
        <w:rPr>
          <w:noProof/>
        </w:rPr>
        <w:lastRenderedPageBreak/>
        <w:t>Replies</w:t>
      </w:r>
      <w:r>
        <w:rPr>
          <w:noProof/>
        </w:rPr>
        <w:t xml:space="preserve"> to written questions put to the </w:t>
      </w:r>
      <w:r>
        <w:rPr>
          <w:noProof/>
        </w:rPr>
        <w:t>Council by Members of the European Parliament</w:t>
      </w:r>
      <w:bookmarkEnd w:id="1"/>
    </w:p>
    <w:p w14:paraId="0A0122A5" w14:textId="0734B311" w:rsidR="00643D86" w:rsidRDefault="006F4449" w:rsidP="00643D86">
      <w:pPr>
        <w:rPr>
          <w:lang w:val="en-US"/>
        </w:rPr>
      </w:pPr>
      <w:r>
        <w:rPr>
          <w:noProof/>
          <w:lang w:val="en-US"/>
        </w:rPr>
        <w:t>=</w:t>
      </w:r>
      <w:r>
        <w:rPr>
          <w:lang w:val="en-US"/>
        </w:rPr>
        <w:t xml:space="preserve">Adoption by silence procedure (+) </w:t>
      </w:r>
      <w:r w:rsidR="009C6C09">
        <w:rPr>
          <w:lang w:val="en-US"/>
        </w:rPr>
        <w:br/>
      </w:r>
      <w:r>
        <w:rPr>
          <w:lang w:val="en-US"/>
        </w:rPr>
        <w:t>a)E-006800/2016 - Konstantinos Papadakis (NI) Resumption of return of refugees to Greece from other European countries5352/17 PE-QE 18</w:t>
      </w:r>
      <w:r w:rsidR="009C6C09">
        <w:rPr>
          <w:lang w:val="en-US"/>
        </w:rPr>
        <w:br/>
      </w:r>
      <w:r>
        <w:rPr>
          <w:lang w:val="en-US"/>
        </w:rPr>
        <w:t>b)E-007292/2016 - Kazimierz Michał Ujazdo</w:t>
      </w:r>
      <w:r>
        <w:rPr>
          <w:lang w:val="en-US"/>
        </w:rPr>
        <w:t>wski (ECR) EU visa liberalisation for Ukrainian citizens5354/17 PE-QE 19</w:t>
      </w:r>
      <w:r w:rsidR="009C6C09">
        <w:rPr>
          <w:lang w:val="en-US"/>
        </w:rPr>
        <w:br/>
      </w:r>
      <w:r>
        <w:rPr>
          <w:lang w:val="en-US"/>
        </w:rPr>
        <w:t>c)E-007781/2016 - Anne-Marie Mineur (GUE/NGL) Consequences of ruling by German Constitutional Court5355/17 PE-QE 20</w:t>
      </w:r>
      <w:r w:rsidR="009C6C09">
        <w:rPr>
          <w:lang w:val="en-US"/>
        </w:rPr>
        <w:br/>
      </w:r>
      <w:r>
        <w:rPr>
          <w:lang w:val="en-US"/>
        </w:rPr>
        <w:t>d)E-008152/2016 - Frédérique Ries (ALDE) IWC refusal to establish a w</w:t>
      </w:r>
      <w:r>
        <w:rPr>
          <w:lang w:val="en-US"/>
        </w:rPr>
        <w:t>hale sanctuary in the South Atlantic5356/17 PE-QE 21</w:t>
      </w:r>
    </w:p>
    <w:p w14:paraId="0A0122A6" w14:textId="77777777" w:rsidR="00643D86" w:rsidRDefault="006F4449" w:rsidP="00643D86">
      <w:r>
        <w:rPr>
          <w:b/>
        </w:rPr>
        <w:t>Ansvarigt statsråd</w:t>
      </w:r>
      <w:r>
        <w:rPr>
          <w:b/>
        </w:rPr>
        <w:br/>
      </w:r>
      <w:r>
        <w:rPr>
          <w:noProof/>
        </w:rPr>
        <w:t>Stefan</w:t>
      </w:r>
      <w:r>
        <w:t xml:space="preserve"> Löfven</w:t>
      </w:r>
    </w:p>
    <w:p w14:paraId="0A0122A7" w14:textId="77777777" w:rsidR="00E0653A" w:rsidRDefault="006F4449"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A0122A8" w14:textId="77777777" w:rsidR="00E0653A" w:rsidRDefault="006F4449"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A0122A9" w14:textId="77777777" w:rsidR="00E0653A" w:rsidRDefault="006F4449"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A0122AA" w14:textId="77777777" w:rsidR="00E0653A" w:rsidRDefault="006F444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A0122AB" w14:textId="77777777" w:rsidR="00E0653A" w:rsidRDefault="006F4449"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A0122AC" w14:textId="77777777" w:rsidR="00E0653A" w:rsidRDefault="006F4449"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A0122AD" w14:textId="77777777" w:rsidR="00E0653A" w:rsidRDefault="006F444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w:instrText>
      </w:r>
      <w:r>
        <w:rPr>
          <w:b/>
        </w:rPr>
        <w:instrText xml:space="preserve">-" </w:instrText>
      </w:r>
      <w:r>
        <w:rPr>
          <w:b/>
        </w:rPr>
        <w:fldChar w:fldCharType="begin"/>
      </w:r>
      <w:r>
        <w:rPr>
          <w:b/>
        </w:rPr>
        <w:instrText xml:space="preserve"> IF "-" = "-" "" "Tidigare behandlat i utskottet </w:instrText>
      </w:r>
      <w:r>
        <w:rPr>
          <w:b/>
        </w:rPr>
        <w:br/>
      </w:r>
      <w:r w:rsidRPr="002F0461">
        <w:instrText>-</w:instrText>
      </w:r>
    </w:p>
    <w:p w14:paraId="0A0122AE" w14:textId="77777777" w:rsidR="00E0653A" w:rsidRDefault="006F4449"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A0122AF" w14:textId="77777777" w:rsidR="00E0653A" w:rsidRDefault="006F4449"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A0122B0" w14:textId="77777777" w:rsidR="00643D86" w:rsidRDefault="006F4449" w:rsidP="00643D86">
      <w:r>
        <w:instrText>"</w:instrText>
      </w:r>
      <w:r>
        <w:rPr>
          <w:b/>
        </w:rPr>
        <w:instrText xml:space="preserve"> </w:instrText>
      </w:r>
      <w:r>
        <w:rPr>
          <w:b/>
        </w:rPr>
        <w:fldChar w:fldCharType="end"/>
      </w:r>
      <w:r w:rsidRPr="00B44CE2">
        <w:rPr>
          <w:b/>
        </w:rPr>
        <w:t>Annotering</w:t>
      </w:r>
      <w:r>
        <w:rPr>
          <w:b/>
        </w:rPr>
        <w:br/>
      </w:r>
      <w:r>
        <w:t>Föranleder ingen annotering.</w:t>
      </w:r>
    </w:p>
    <w:p w14:paraId="0A0122B1" w14:textId="77777777" w:rsidR="00643D86" w:rsidRDefault="006F4449" w:rsidP="00643D86">
      <w:pPr>
        <w:pStyle w:val="Rubrik1"/>
      </w:pPr>
      <w:bookmarkStart w:id="2" w:name="_Toc473039224"/>
      <w:r>
        <w:rPr>
          <w:noProof/>
        </w:rPr>
        <w:t>Proposal</w:t>
      </w:r>
      <w:r>
        <w:rPr>
          <w:noProof/>
        </w:rPr>
        <w:t xml:space="preserve"> for a Regulation of the European Parliament and of the Council </w:t>
      </w:r>
      <w:r>
        <w:rPr>
          <w:noProof/>
        </w:rPr>
        <w:t>amending Regulation (EC) No 1059/2003 as regards the territorial typologies (Tercet)</w:t>
      </w:r>
      <w:bookmarkEnd w:id="2"/>
    </w:p>
    <w:p w14:paraId="0A0122B2" w14:textId="77777777" w:rsidR="00643D86" w:rsidRDefault="006F4449" w:rsidP="00643D86">
      <w:pPr>
        <w:rPr>
          <w:lang w:val="en-US"/>
        </w:rPr>
      </w:pPr>
      <w:r>
        <w:rPr>
          <w:noProof/>
          <w:lang w:val="en-US"/>
        </w:rPr>
        <w:t>=</w:t>
      </w:r>
      <w:r>
        <w:rPr>
          <w:lang w:val="en-US"/>
        </w:rPr>
        <w:t>Optional consultation of the European Economic and Social Committee and Committee of the Regions</w:t>
      </w:r>
      <w:r>
        <w:rPr>
          <w:lang w:val="en-US"/>
        </w:rPr>
        <w:br/>
      </w:r>
      <w:r>
        <w:rPr>
          <w:noProof/>
          <w:lang w:val="en-US"/>
        </w:rPr>
        <w:t>5279</w:t>
      </w:r>
      <w:r>
        <w:rPr>
          <w:lang w:val="en-US"/>
        </w:rPr>
        <w:t>/17 STATIS 1 REGIO 5 CODEC 35</w:t>
      </w:r>
    </w:p>
    <w:p w14:paraId="0A0122B3" w14:textId="77777777" w:rsidR="00643D86" w:rsidRDefault="006F4449" w:rsidP="00643D86">
      <w:r>
        <w:rPr>
          <w:b/>
        </w:rPr>
        <w:t>Ansvarigt statsråd</w:t>
      </w:r>
      <w:r>
        <w:rPr>
          <w:b/>
        </w:rPr>
        <w:br/>
      </w:r>
      <w:r>
        <w:rPr>
          <w:noProof/>
        </w:rPr>
        <w:t>Ardalan</w:t>
      </w:r>
      <w:r>
        <w:t xml:space="preserve"> Shekarabi</w:t>
      </w:r>
    </w:p>
    <w:p w14:paraId="0A0122B4" w14:textId="77777777" w:rsidR="00E0653A" w:rsidRDefault="006F4449" w:rsidP="00C8338E">
      <w:r>
        <w:rPr>
          <w:b/>
        </w:rPr>
        <w:fldChar w:fldCharType="begin"/>
      </w:r>
      <w:r>
        <w:rPr>
          <w:b/>
        </w:rPr>
        <w:instrText xml:space="preserve"> I</w:instrText>
      </w:r>
      <w:r>
        <w:rPr>
          <w:b/>
        </w:rPr>
        <w:instrText>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A0122B5" w14:textId="77777777" w:rsidR="00E0653A" w:rsidRDefault="006F4449"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A0122B6" w14:textId="77777777" w:rsidR="00E0653A" w:rsidRDefault="006F4449"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A0122B7" w14:textId="77777777" w:rsidR="00E0653A" w:rsidRDefault="006F444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A0122B8" w14:textId="77777777" w:rsidR="00E0653A" w:rsidRDefault="006F4449"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A0122B9" w14:textId="77777777" w:rsidR="00E0653A" w:rsidRDefault="006F4449"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A0122BA" w14:textId="77777777" w:rsidR="00E0653A" w:rsidRDefault="006F444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A0122BB" w14:textId="77777777" w:rsidR="00E0653A" w:rsidRDefault="006F4449"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A0122BC" w14:textId="77777777" w:rsidR="00E0653A" w:rsidRDefault="006F4449"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A0122BE" w14:textId="1F20D599" w:rsidR="00C07F73" w:rsidRDefault="006F4449" w:rsidP="009C6C09">
      <w:r>
        <w:instrText>"</w:instrText>
      </w:r>
      <w:r>
        <w:rPr>
          <w:b/>
        </w:rPr>
        <w:instrText xml:space="preserve"> </w:instrText>
      </w:r>
      <w:r>
        <w:rPr>
          <w:b/>
        </w:rPr>
        <w:fldChar w:fldCharType="end"/>
      </w:r>
      <w:r w:rsidRPr="00B44CE2">
        <w:rPr>
          <w:b/>
        </w:rPr>
        <w:t>Annotering</w:t>
      </w:r>
      <w:r>
        <w:rPr>
          <w:b/>
        </w:rPr>
        <w:br/>
      </w:r>
      <w:r>
        <w:rPr>
          <w:b/>
          <w:bCs/>
        </w:rPr>
        <w:t>Avsikt med</w:t>
      </w:r>
      <w:r>
        <w:rPr>
          <w:b/>
          <w:bCs/>
        </w:rPr>
        <w:t xml:space="preserve"> behandlingen i rådet:</w:t>
      </w:r>
      <w:r>
        <w:t xml:space="preserve"> Rådet ska godkänna att Europeiska ekonomiska och sociala kommittén och Regionkommittén konsulteras om förslaget.</w:t>
      </w:r>
    </w:p>
    <w:p w14:paraId="0A0122BF" w14:textId="51CBEF96" w:rsidR="00C07F73" w:rsidRDefault="006F4449">
      <w:pPr>
        <w:spacing w:after="280" w:afterAutospacing="1"/>
      </w:pPr>
      <w:r>
        <w:rPr>
          <w:b/>
          <w:bCs/>
        </w:rPr>
        <w:t>Hur regeringen ställer sig till den blivande A-punkten:</w:t>
      </w:r>
      <w:r>
        <w:t xml:space="preserve"> Regeringen kan godkänna A-punkten.</w:t>
      </w:r>
    </w:p>
    <w:p w14:paraId="0A0122C1" w14:textId="455B6C6E" w:rsidR="00FB32B9" w:rsidRDefault="006F4449">
      <w:pPr>
        <w:spacing w:after="280" w:afterAutospacing="1"/>
        <w:rPr>
          <w:noProof/>
        </w:rPr>
      </w:pPr>
      <w:r>
        <w:rPr>
          <w:b/>
          <w:bCs/>
        </w:rPr>
        <w:t>Bakgrund:</w:t>
      </w:r>
      <w:r>
        <w:t xml:space="preserve"> Kommissionen prese</w:t>
      </w:r>
      <w:r>
        <w:t>nterade sitt förslag den 13 december 2016. Förslaget, som baseras på artikel 338 i EUF-fördraget, kräver inte att synpunkter hämtas in från Europeiska ekonomiska och sociala kommittén och Regionkommittén. Det är dock lämpligt att konsultera kommittéerna fr</w:t>
      </w:r>
      <w:r w:rsidR="009C6C09">
        <w:t>ivilligt.</w:t>
      </w:r>
    </w:p>
    <w:p w14:paraId="0A0122C2" w14:textId="77777777" w:rsidR="00643D86" w:rsidRDefault="006F4449" w:rsidP="00643D86">
      <w:pPr>
        <w:pStyle w:val="Rubrik1"/>
      </w:pPr>
      <w:bookmarkStart w:id="3" w:name="_Toc473039225"/>
      <w:r>
        <w:rPr>
          <w:noProof/>
        </w:rPr>
        <w:lastRenderedPageBreak/>
        <w:t>Commission</w:t>
      </w:r>
      <w:r>
        <w:rPr>
          <w:noProof/>
        </w:rPr>
        <w:t xml:space="preserve"> Regulation (EU) …/… of XXX laying down methods of sampling and analysis for the control of levels of dioxins, dioxin-like PCBs and non-dioxin-like PCBs in certain foodstuffs and repealing Regulation (EU) No 589/2014</w:t>
      </w:r>
      <w:bookmarkEnd w:id="3"/>
    </w:p>
    <w:p w14:paraId="0A0122C3" w14:textId="5F5B9C97" w:rsidR="00643D86" w:rsidRDefault="006F4449" w:rsidP="00643D86">
      <w:pPr>
        <w:rPr>
          <w:lang w:val="en-US"/>
        </w:rPr>
      </w:pPr>
      <w:r>
        <w:rPr>
          <w:noProof/>
          <w:lang w:val="en-US"/>
        </w:rPr>
        <w:t>=</w:t>
      </w:r>
      <w:r>
        <w:rPr>
          <w:lang w:val="en-US"/>
        </w:rPr>
        <w:t>Decision</w:t>
      </w:r>
      <w:r>
        <w:rPr>
          <w:lang w:val="en-US"/>
        </w:rPr>
        <w:t xml:space="preserve"> not to oppose adoption</w:t>
      </w:r>
      <w:r>
        <w:rPr>
          <w:lang w:val="en-US"/>
        </w:rPr>
        <w:br/>
      </w:r>
      <w:r>
        <w:rPr>
          <w:noProof/>
          <w:lang w:val="en-US"/>
        </w:rPr>
        <w:t>5192</w:t>
      </w:r>
      <w:r>
        <w:rPr>
          <w:lang w:val="en-US"/>
        </w:rPr>
        <w:t>/17 AGRILEG 6 DENLEG 3 AGRI 14 SAN 19</w:t>
      </w:r>
      <w:r w:rsidR="009C6C09">
        <w:rPr>
          <w:lang w:val="en-US"/>
        </w:rPr>
        <w:br/>
      </w:r>
      <w:r>
        <w:rPr>
          <w:lang w:val="en-US"/>
        </w:rPr>
        <w:t>15465/16 AGRILEG 196 DENLEG 90 AGRI 672 SAN 430+ ADD 1</w:t>
      </w:r>
    </w:p>
    <w:p w14:paraId="0A0122C4" w14:textId="77777777" w:rsidR="00643D86" w:rsidRDefault="006F4449" w:rsidP="00643D86">
      <w:r>
        <w:rPr>
          <w:b/>
        </w:rPr>
        <w:t>Ansvarigt statsråd</w:t>
      </w:r>
      <w:r>
        <w:rPr>
          <w:b/>
        </w:rPr>
        <w:br/>
      </w:r>
      <w:r>
        <w:rPr>
          <w:noProof/>
        </w:rPr>
        <w:t>Sven-Erik</w:t>
      </w:r>
      <w:r>
        <w:t xml:space="preserve"> Bucht</w:t>
      </w:r>
    </w:p>
    <w:p w14:paraId="0A0122C5" w14:textId="77777777" w:rsidR="00E0653A" w:rsidRDefault="006F4449"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A0122C6" w14:textId="77777777" w:rsidR="00E0653A" w:rsidRDefault="006F4449" w:rsidP="00C8338E">
      <w:r>
        <w:instrText>"</w:instrText>
      </w:r>
      <w:r>
        <w:rPr>
          <w:b/>
        </w:rPr>
        <w:instrText xml:space="preserve"> </w:instrText>
      </w:r>
      <w:r>
        <w:rPr>
          <w:b/>
        </w:rPr>
        <w:fldChar w:fldCharType="end"/>
      </w:r>
      <w:r>
        <w:rPr>
          <w:b/>
        </w:rPr>
        <w:instrText xml:space="preserve"> </w:instrText>
      </w:r>
      <w:r>
        <w:rPr>
          <w:b/>
        </w:rPr>
        <w:instrText>"Tidigare behan</w:instrText>
      </w:r>
      <w:r>
        <w:rPr>
          <w:b/>
        </w:rPr>
        <w:instrText xml:space="preserve">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A0122C7" w14:textId="77777777" w:rsidR="00E0653A" w:rsidRDefault="006F4449"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A0122C8" w14:textId="77777777" w:rsidR="00E0653A" w:rsidRDefault="006F444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A0122C9" w14:textId="77777777" w:rsidR="00E0653A" w:rsidRDefault="006F4449"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A0122CA" w14:textId="77777777" w:rsidR="00E0653A" w:rsidRDefault="006F4449"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A0122CB" w14:textId="77777777" w:rsidR="00E0653A" w:rsidRDefault="006F444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w:instrText>
      </w:r>
      <w:r>
        <w:rPr>
          <w:b/>
        </w:rPr>
        <w:instrText xml:space="preserve">" = "-" "" "Tidigare behandlat i utskottet </w:instrText>
      </w:r>
      <w:r>
        <w:rPr>
          <w:b/>
        </w:rPr>
        <w:br/>
      </w:r>
      <w:r w:rsidRPr="002F0461">
        <w:instrText>-</w:instrText>
      </w:r>
    </w:p>
    <w:p w14:paraId="0A0122CC" w14:textId="77777777" w:rsidR="00E0653A" w:rsidRDefault="006F4449"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A0122CD" w14:textId="77777777" w:rsidR="00E0653A" w:rsidRDefault="006F4449"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A0122CE" w14:textId="77777777" w:rsidR="00643D86" w:rsidRDefault="006F4449" w:rsidP="00643D86">
      <w:r>
        <w:instrText>"</w:instrText>
      </w:r>
      <w:r>
        <w:rPr>
          <w:b/>
        </w:rPr>
        <w:instrText xml:space="preserve"> </w:instrText>
      </w:r>
      <w:r>
        <w:rPr>
          <w:b/>
        </w:rPr>
        <w:fldChar w:fldCharType="end"/>
      </w:r>
      <w:r w:rsidRPr="00B44CE2">
        <w:rPr>
          <w:b/>
        </w:rPr>
        <w:t>Annotering</w:t>
      </w:r>
      <w:r>
        <w:rPr>
          <w:b/>
        </w:rPr>
        <w:br/>
      </w:r>
      <w:r>
        <w:t>Föranleder ingen annotering.</w:t>
      </w:r>
    </w:p>
    <w:p w14:paraId="0A0122CF" w14:textId="77777777" w:rsidR="00643D86" w:rsidRDefault="006F4449" w:rsidP="00643D86">
      <w:pPr>
        <w:pStyle w:val="Rubrik1"/>
      </w:pPr>
      <w:bookmarkStart w:id="4" w:name="_Toc473039226"/>
      <w:r>
        <w:rPr>
          <w:noProof/>
        </w:rPr>
        <w:t>Commission</w:t>
      </w:r>
      <w:r>
        <w:rPr>
          <w:noProof/>
        </w:rPr>
        <w:t xml:space="preserve"> Regulation (EU) …/… of XXX amending Annexes II and III to Regulation (EC) No</w:t>
      </w:r>
      <w:r>
        <w:rPr>
          <w:noProof/>
        </w:rPr>
        <w:t xml:space="preserve"> 396/2005 of the European Parliament and of the Council as regards maximum residue levels for sulfoxaflor in or on certain products</w:t>
      </w:r>
      <w:bookmarkEnd w:id="4"/>
    </w:p>
    <w:p w14:paraId="0A0122D0" w14:textId="5FC359CD" w:rsidR="00643D86" w:rsidRDefault="006F4449" w:rsidP="00643D86">
      <w:pPr>
        <w:rPr>
          <w:lang w:val="en-US"/>
        </w:rPr>
      </w:pPr>
      <w:r>
        <w:rPr>
          <w:noProof/>
          <w:lang w:val="en-US"/>
        </w:rPr>
        <w:t>=</w:t>
      </w:r>
      <w:r>
        <w:rPr>
          <w:lang w:val="en-US"/>
        </w:rPr>
        <w:t>Decision not to oppose adoption</w:t>
      </w:r>
      <w:r>
        <w:rPr>
          <w:lang w:val="en-US"/>
        </w:rPr>
        <w:br/>
      </w:r>
      <w:r>
        <w:rPr>
          <w:noProof/>
          <w:lang w:val="en-US"/>
        </w:rPr>
        <w:t>5267</w:t>
      </w:r>
      <w:r>
        <w:rPr>
          <w:lang w:val="en-US"/>
        </w:rPr>
        <w:t>/17 AGRILEG 7</w:t>
      </w:r>
      <w:r w:rsidR="009C6C09">
        <w:rPr>
          <w:lang w:val="en-US"/>
        </w:rPr>
        <w:br/>
      </w:r>
      <w:r>
        <w:rPr>
          <w:lang w:val="en-US"/>
        </w:rPr>
        <w:t>15744/16 AGRILEG 200+ ADD 1–2</w:t>
      </w:r>
    </w:p>
    <w:p w14:paraId="0A0122D1" w14:textId="77777777" w:rsidR="00643D86" w:rsidRDefault="006F4449" w:rsidP="00643D86">
      <w:r>
        <w:rPr>
          <w:b/>
        </w:rPr>
        <w:t>Ansvarigt statsråd</w:t>
      </w:r>
      <w:r>
        <w:rPr>
          <w:b/>
        </w:rPr>
        <w:br/>
      </w:r>
      <w:r>
        <w:rPr>
          <w:noProof/>
        </w:rPr>
        <w:t>Sven-Erik</w:t>
      </w:r>
      <w:r>
        <w:t xml:space="preserve"> Bucht</w:t>
      </w:r>
    </w:p>
    <w:p w14:paraId="0A0122D2" w14:textId="77777777" w:rsidR="00E0653A" w:rsidRDefault="006F4449"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w:instrText>
      </w:r>
      <w:r>
        <w:rPr>
          <w:b/>
        </w:rPr>
        <w:instrText xml:space="preserve">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A0122D3" w14:textId="77777777" w:rsidR="00E0653A" w:rsidRDefault="006F4449"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A0122D4" w14:textId="77777777" w:rsidR="00E0653A" w:rsidRDefault="006F4449"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A0122D5" w14:textId="77777777" w:rsidR="00E0653A" w:rsidRDefault="006F444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A0122D6" w14:textId="77777777" w:rsidR="00E0653A" w:rsidRDefault="006F4449"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A0122D7" w14:textId="77777777" w:rsidR="00E0653A" w:rsidRDefault="006F4449"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A0122D8" w14:textId="77777777" w:rsidR="00E0653A" w:rsidRDefault="006F444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A0122D9" w14:textId="77777777" w:rsidR="00E0653A" w:rsidRDefault="006F4449"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A0122DA" w14:textId="77777777" w:rsidR="00E0653A" w:rsidRDefault="006F4449"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A0122DB" w14:textId="77777777" w:rsidR="00643D86" w:rsidRDefault="006F4449" w:rsidP="00643D86">
      <w:r>
        <w:instrText>"</w:instrText>
      </w:r>
      <w:r>
        <w:rPr>
          <w:b/>
        </w:rPr>
        <w:instrText xml:space="preserve"> </w:instrText>
      </w:r>
      <w:r>
        <w:rPr>
          <w:b/>
        </w:rPr>
        <w:fldChar w:fldCharType="end"/>
      </w:r>
      <w:r w:rsidRPr="00B44CE2">
        <w:rPr>
          <w:b/>
        </w:rPr>
        <w:t>Annotering</w:t>
      </w:r>
      <w:r>
        <w:rPr>
          <w:b/>
        </w:rPr>
        <w:br/>
      </w:r>
      <w:r>
        <w:t xml:space="preserve">Föranleder </w:t>
      </w:r>
      <w:r>
        <w:t>ingen annotering.</w:t>
      </w:r>
    </w:p>
    <w:p w14:paraId="0A0122DC" w14:textId="77777777" w:rsidR="00643D86" w:rsidRDefault="006F4449" w:rsidP="00643D86">
      <w:pPr>
        <w:pStyle w:val="Rubrik1"/>
      </w:pPr>
      <w:bookmarkStart w:id="5" w:name="_Toc473039227"/>
      <w:r>
        <w:rPr>
          <w:noProof/>
        </w:rPr>
        <w:t>Commission</w:t>
      </w:r>
      <w:r>
        <w:rPr>
          <w:noProof/>
        </w:rPr>
        <w:t xml:space="preserve"> Regulation (EU) …/… of XXX amending Annex VII to Regulation (EC) No 1907/2006 of the European Parliament and of the Council on the Registration, Evaluation, Authorisation and Restriction of Chemicals (REACH) as regards skin sen</w:t>
      </w:r>
      <w:r>
        <w:rPr>
          <w:noProof/>
        </w:rPr>
        <w:t>sitisation and repealing Commission Regulation (EU) 2016/1688</w:t>
      </w:r>
      <w:bookmarkEnd w:id="5"/>
    </w:p>
    <w:p w14:paraId="0A0122DD" w14:textId="3967EB82" w:rsidR="00643D86" w:rsidRDefault="006F4449" w:rsidP="00643D86">
      <w:pPr>
        <w:rPr>
          <w:lang w:val="en-US"/>
        </w:rPr>
      </w:pPr>
      <w:r>
        <w:rPr>
          <w:noProof/>
          <w:lang w:val="en-US"/>
        </w:rPr>
        <w:t>=</w:t>
      </w:r>
      <w:r>
        <w:rPr>
          <w:lang w:val="en-US"/>
        </w:rPr>
        <w:t>Decision not to oppose the adoption</w:t>
      </w:r>
      <w:r>
        <w:rPr>
          <w:lang w:val="en-US"/>
        </w:rPr>
        <w:br/>
      </w:r>
      <w:r>
        <w:rPr>
          <w:noProof/>
          <w:lang w:val="en-US"/>
        </w:rPr>
        <w:t>5459</w:t>
      </w:r>
      <w:r>
        <w:rPr>
          <w:lang w:val="en-US"/>
        </w:rPr>
        <w:t xml:space="preserve">/17 COMPET 36 ENV 37 CHIMIE 8 MI 55 ENT 17 SAN 32 CONSOM 22 </w:t>
      </w:r>
      <w:r w:rsidR="009C6C09">
        <w:rPr>
          <w:lang w:val="en-US"/>
        </w:rPr>
        <w:br/>
      </w:r>
      <w:r>
        <w:rPr>
          <w:lang w:val="en-US"/>
        </w:rPr>
        <w:t>15193/16 COMPET 647 ENV 768 CHIMIE 76 MI 779 ENT 225 SAN 421CONSOM 305+ ADD 1</w:t>
      </w:r>
    </w:p>
    <w:p w14:paraId="0A0122DE" w14:textId="77777777" w:rsidR="00643D86" w:rsidRDefault="006F4449" w:rsidP="00643D86">
      <w:r>
        <w:rPr>
          <w:b/>
        </w:rPr>
        <w:t xml:space="preserve">Ansvarigt </w:t>
      </w:r>
      <w:r>
        <w:rPr>
          <w:b/>
        </w:rPr>
        <w:t>statsråd</w:t>
      </w:r>
      <w:r>
        <w:rPr>
          <w:b/>
        </w:rPr>
        <w:br/>
      </w:r>
      <w:r>
        <w:rPr>
          <w:noProof/>
        </w:rPr>
        <w:t>Karolina</w:t>
      </w:r>
      <w:r>
        <w:t xml:space="preserve"> Skog</w:t>
      </w:r>
    </w:p>
    <w:p w14:paraId="0A0122DF" w14:textId="77777777" w:rsidR="00E0653A" w:rsidRDefault="006F4449"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A0122E0" w14:textId="77777777" w:rsidR="00E0653A" w:rsidRDefault="006F4449"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A0122E1" w14:textId="77777777" w:rsidR="00E0653A" w:rsidRDefault="006F4449"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A0122E2" w14:textId="77777777" w:rsidR="00E0653A" w:rsidRDefault="006F444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A0122E3" w14:textId="77777777" w:rsidR="00E0653A" w:rsidRDefault="006F4449"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A0122E4" w14:textId="77777777" w:rsidR="00E0653A" w:rsidRDefault="006F4449"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A0122E5" w14:textId="77777777" w:rsidR="00E0653A" w:rsidRDefault="006F444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A0122E6" w14:textId="77777777" w:rsidR="00E0653A" w:rsidRDefault="006F4449"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A0122E7" w14:textId="77777777" w:rsidR="00E0653A" w:rsidRDefault="006F4449"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A0122E9" w14:textId="25980AAB" w:rsidR="00C07F73" w:rsidRDefault="006F4449" w:rsidP="009C6C09">
      <w:r>
        <w:instrText>"</w:instrText>
      </w:r>
      <w:r>
        <w:rPr>
          <w:b/>
        </w:rPr>
        <w:instrText xml:space="preserve"> </w:instrText>
      </w:r>
      <w:r>
        <w:rPr>
          <w:b/>
        </w:rPr>
        <w:fldChar w:fldCharType="end"/>
      </w:r>
      <w:r w:rsidRPr="00B44CE2">
        <w:rPr>
          <w:b/>
        </w:rPr>
        <w:t>Annoterin</w:t>
      </w:r>
      <w:r w:rsidRPr="00B44CE2">
        <w:rPr>
          <w:b/>
        </w:rPr>
        <w:t>g</w:t>
      </w:r>
      <w:r>
        <w:rPr>
          <w:b/>
        </w:rPr>
        <w:br/>
      </w:r>
      <w:r>
        <w:rPr>
          <w:b/>
          <w:bCs/>
        </w:rPr>
        <w:t>Avsikt med behandlingen i rådet:</w:t>
      </w:r>
      <w:r>
        <w:t xml:space="preserve"> Coreper uppmanas att rekommendera rådet att som en A-punkt på dagordningen bekräfta att det inte motsätter sig detta utkast till förordning.</w:t>
      </w:r>
    </w:p>
    <w:p w14:paraId="0A0122EA" w14:textId="66B0CFF3" w:rsidR="00C07F73" w:rsidRDefault="006F4449">
      <w:pPr>
        <w:spacing w:after="280" w:afterAutospacing="1"/>
      </w:pPr>
      <w:r>
        <w:rPr>
          <w:b/>
          <w:bCs/>
        </w:rPr>
        <w:t>Hur regeringen ställer sig till den blivande A-punkten:</w:t>
      </w:r>
      <w:r>
        <w:t xml:space="preserve"> Rösta ja.</w:t>
      </w:r>
    </w:p>
    <w:p w14:paraId="0A0122EC" w14:textId="0A9BFF57" w:rsidR="00FB32B9" w:rsidRDefault="006F4449">
      <w:pPr>
        <w:spacing w:after="280" w:afterAutospacing="1"/>
        <w:rPr>
          <w:noProof/>
        </w:rPr>
      </w:pPr>
      <w:r>
        <w:rPr>
          <w:b/>
          <w:bCs/>
        </w:rPr>
        <w:t>Bakgrund:</w:t>
      </w:r>
      <w:r>
        <w:t xml:space="preserve"> In</w:t>
      </w:r>
      <w:r>
        <w:t xml:space="preserve">formation om ämnens farliga egenskaper ska lämnas när företag registrerar ämnen i Reach. Den här ändringen sker i syfte att minska antalet djurförsök för tester av hudsensibiliserande (allergiframkallande på hud) egenskaper. </w:t>
      </w:r>
    </w:p>
    <w:p w14:paraId="0A0122ED" w14:textId="77777777" w:rsidR="00643D86" w:rsidRDefault="006F4449" w:rsidP="00643D86">
      <w:pPr>
        <w:pStyle w:val="Rubrik1"/>
      </w:pPr>
      <w:bookmarkStart w:id="6" w:name="_Toc473039228"/>
      <w:r>
        <w:rPr>
          <w:noProof/>
        </w:rPr>
        <w:t>Commission</w:t>
      </w:r>
      <w:r>
        <w:rPr>
          <w:noProof/>
        </w:rPr>
        <w:t xml:space="preserve"> Regulation (EU) …</w:t>
      </w:r>
      <w:r>
        <w:rPr>
          <w:noProof/>
        </w:rPr>
        <w:t>/.. establishing a network code on harmonised transmission tariff structures for gas</w:t>
      </w:r>
      <w:bookmarkEnd w:id="6"/>
    </w:p>
    <w:p w14:paraId="0A0122EE" w14:textId="6C5BA6C4" w:rsidR="00643D86" w:rsidRDefault="006F4449" w:rsidP="00643D86">
      <w:pPr>
        <w:rPr>
          <w:lang w:val="en-US"/>
        </w:rPr>
      </w:pPr>
      <w:r>
        <w:rPr>
          <w:noProof/>
          <w:lang w:val="en-US"/>
        </w:rPr>
        <w:t>=</w:t>
      </w:r>
      <w:r>
        <w:rPr>
          <w:lang w:val="en-US"/>
        </w:rPr>
        <w:t>Decision not to oppose adoption</w:t>
      </w:r>
      <w:r>
        <w:rPr>
          <w:lang w:val="en-US"/>
        </w:rPr>
        <w:br/>
      </w:r>
      <w:r>
        <w:rPr>
          <w:noProof/>
          <w:lang w:val="en-US"/>
        </w:rPr>
        <w:t>15293</w:t>
      </w:r>
      <w:r>
        <w:rPr>
          <w:lang w:val="en-US"/>
        </w:rPr>
        <w:t>/16 ENER 431</w:t>
      </w:r>
      <w:r w:rsidR="009C6C09">
        <w:rPr>
          <w:lang w:val="en-US"/>
        </w:rPr>
        <w:br/>
      </w:r>
      <w:r>
        <w:rPr>
          <w:lang w:val="en-US"/>
        </w:rPr>
        <w:t>14003/16 ENER 370</w:t>
      </w:r>
    </w:p>
    <w:p w14:paraId="0A0122EF" w14:textId="77777777" w:rsidR="00643D86" w:rsidRDefault="006F4449" w:rsidP="00643D86">
      <w:r>
        <w:rPr>
          <w:b/>
        </w:rPr>
        <w:t>Ansvarigt statsråd</w:t>
      </w:r>
      <w:r>
        <w:rPr>
          <w:b/>
        </w:rPr>
        <w:br/>
      </w:r>
      <w:r>
        <w:rPr>
          <w:noProof/>
        </w:rPr>
        <w:t>Ibrahim</w:t>
      </w:r>
      <w:r>
        <w:t xml:space="preserve"> Baylan</w:t>
      </w:r>
    </w:p>
    <w:p w14:paraId="0A0122F0" w14:textId="77777777" w:rsidR="00E0653A" w:rsidRDefault="006F4449"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A0122F1" w14:textId="77777777" w:rsidR="00E0653A" w:rsidRDefault="006F4449"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A0122F2" w14:textId="77777777" w:rsidR="00E0653A" w:rsidRDefault="006F4449"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A0122F3" w14:textId="77777777" w:rsidR="00E0653A" w:rsidRDefault="006F444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A0122F4" w14:textId="77777777" w:rsidR="00E0653A" w:rsidRDefault="006F4449"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A0122F5" w14:textId="77777777" w:rsidR="00E0653A" w:rsidRDefault="006F4449"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A0122F6" w14:textId="77777777" w:rsidR="00E0653A" w:rsidRDefault="006F4449" w:rsidP="00C8338E">
      <w:r>
        <w:instrText>"</w:instrText>
      </w:r>
      <w:r>
        <w:rPr>
          <w:b/>
        </w:rPr>
        <w:instrText xml:space="preserve"> </w:instrText>
      </w:r>
      <w:r>
        <w:rPr>
          <w:b/>
        </w:rPr>
        <w:fldChar w:fldCharType="end"/>
      </w:r>
      <w:r>
        <w:rPr>
          <w:b/>
        </w:rPr>
        <w:fldChar w:fldCharType="begin"/>
      </w:r>
      <w:r>
        <w:rPr>
          <w:b/>
        </w:rPr>
        <w:instrText xml:space="preserve"> IF "-</w:instrText>
      </w:r>
      <w:r>
        <w:rPr>
          <w:b/>
        </w:rPr>
        <w:instrText xml:space="preserve">"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A0122F7" w14:textId="77777777" w:rsidR="00E0653A" w:rsidRDefault="006F4449"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A0122F8" w14:textId="77777777" w:rsidR="00E0653A" w:rsidRDefault="006F4449"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A0122FB" w14:textId="3426B84C" w:rsidR="00C07F73" w:rsidRDefault="006F4449" w:rsidP="009C6C0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w:t>
      </w:r>
      <w:r>
        <w:t>Antagande av nätkoden</w:t>
      </w:r>
    </w:p>
    <w:p w14:paraId="1795ADE8" w14:textId="36957D2B" w:rsidR="009C6C09" w:rsidRDefault="006F4449" w:rsidP="009C6C09">
      <w:pPr>
        <w:spacing w:after="280" w:afterAutospacing="1"/>
      </w:pPr>
      <w:r>
        <w:rPr>
          <w:b/>
          <w:bCs/>
        </w:rPr>
        <w:t xml:space="preserve">Hur regeringen ställer sig </w:t>
      </w:r>
      <w:r>
        <w:rPr>
          <w:b/>
          <w:bCs/>
        </w:rPr>
        <w:t>till den blivande A-punkten:</w:t>
      </w:r>
      <w:r>
        <w:t xml:space="preserve"> </w:t>
      </w:r>
      <w:r>
        <w:t>SE har inga invändningar</w:t>
      </w:r>
      <w:r>
        <w:br/>
      </w:r>
      <w:r>
        <w:br/>
      </w:r>
      <w:r>
        <w:rPr>
          <w:b/>
          <w:bCs/>
        </w:rPr>
        <w:t>Bakgrund:</w:t>
      </w:r>
      <w:r>
        <w:t xml:space="preserve"> </w:t>
      </w:r>
      <w:r>
        <w:t>Allmänt om nätkoder och kommissionsriktlinjer</w:t>
      </w:r>
      <w:r>
        <w:br/>
        <w:t>Införandet av tredje inremarknadspaketet för el och naturgas innebär implementering av ny lagstiftning genom s.k. nätkoder. Förslag till lagsti</w:t>
      </w:r>
      <w:r>
        <w:t>ftning utarbetas av de europeiska transmissionsnätsoperatörerna (ENTSOG) och de europeiska energitillsynsmyndigheterna (ACER). Syftet med nätkoderna är framförallt att harmonisera regelverk för energimarknaden och att säkerställa en säker drift av de europ</w:t>
      </w:r>
      <w:r>
        <w:t>eiska transmissionsnäten för el och gas. Sedan systemet infördes 2009 har det för gas antagits nätkoder om kapacitetsallokering, balansering och interoperabilitet.</w:t>
      </w:r>
    </w:p>
    <w:p w14:paraId="205B4820" w14:textId="47BC297F" w:rsidR="009C6C09" w:rsidRDefault="006F4449">
      <w:pPr>
        <w:spacing w:after="280" w:afterAutospacing="1"/>
      </w:pPr>
      <w:r>
        <w:t>Inför fastställande av den nya lagstiftningen ansvarar ACER initialt för att ta fram övergri</w:t>
      </w:r>
      <w:r>
        <w:t>pande beskrivningar och innehåll för respektive nätkod, s.k. framework guidelines. Baserat på dessa utarbetar ENTSOG sedan förslag på nätkoder. Efter en översyn av ACER och eventuella kompletteringar och ändringar av kommissionen sker därefter en beslutspr</w:t>
      </w:r>
      <w:r>
        <w:t>ocess för respektive nätkod) genom ett kommittologiförfarande.</w:t>
      </w:r>
    </w:p>
    <w:p w14:paraId="0A0122FE" w14:textId="6065399A" w:rsidR="00FB32B9" w:rsidRDefault="006F4449">
      <w:pPr>
        <w:spacing w:after="280" w:afterAutospacing="1"/>
        <w:rPr>
          <w:noProof/>
        </w:rPr>
      </w:pPr>
      <w:r>
        <w:t>A</w:t>
      </w:r>
      <w:r>
        <w:t>C</w:t>
      </w:r>
      <w:r>
        <w:t>ER presenterade den 29</w:t>
      </w:r>
      <w:r>
        <w:t xml:space="preserve"> november 2013 sin ramriktlinje </w:t>
      </w:r>
      <w:r>
        <w:t>för harmoniserad struktur för transmissionsnätstariffer för gas, varefter ENTSOG ett år senare presenterade sitt förslag till nätkod. ACE</w:t>
      </w:r>
      <w:r>
        <w:t>R meddelade den 25 mars 2015 att förslaget hade sådana brister att den behövde omarbetas. ENTSOG överlämnade i juli 2015 ett omarbetat förslag. Inom ACER kunde dock inte enighet uppnås kring förslaget, vilket föranledde KOM att ta till sig frågan enligt ar</w:t>
      </w:r>
      <w:r>
        <w:t>tikel 6. 11 i förordning (EG) nr 715/2009. Frågan har behandlats i Gaskommitten under 2016.</w:t>
      </w:r>
    </w:p>
    <w:p w14:paraId="0A0122FF" w14:textId="77777777" w:rsidR="00643D86" w:rsidRDefault="006F4449" w:rsidP="00643D86">
      <w:pPr>
        <w:pStyle w:val="Rubrik1"/>
      </w:pPr>
      <w:bookmarkStart w:id="7" w:name="_Toc473039229"/>
      <w:r>
        <w:rPr>
          <w:noProof/>
        </w:rPr>
        <w:lastRenderedPageBreak/>
        <w:t>Draft</w:t>
      </w:r>
      <w:r>
        <w:rPr>
          <w:noProof/>
        </w:rPr>
        <w:t xml:space="preserve"> Council Decision (EU) 2016/... of ... determining, for the General Secretariat of the Council, the appointing authority and the authority empowered to concl</w:t>
      </w:r>
      <w:r>
        <w:rPr>
          <w:noProof/>
        </w:rPr>
        <w:t>ude contracts of employment and repealing Decision 2013/811/EU</w:t>
      </w:r>
      <w:bookmarkEnd w:id="7"/>
    </w:p>
    <w:p w14:paraId="0A012300" w14:textId="5D6A4658" w:rsidR="00643D86" w:rsidRDefault="006F4449" w:rsidP="00643D86">
      <w:pPr>
        <w:rPr>
          <w:lang w:val="en-US"/>
        </w:rPr>
      </w:pPr>
      <w:r>
        <w:rPr>
          <w:noProof/>
          <w:lang w:val="en-US"/>
        </w:rPr>
        <w:t>=</w:t>
      </w:r>
      <w:r>
        <w:rPr>
          <w:lang w:val="en-US"/>
        </w:rPr>
        <w:t>Adoption</w:t>
      </w:r>
      <w:r>
        <w:rPr>
          <w:lang w:val="en-US"/>
        </w:rPr>
        <w:br/>
      </w:r>
      <w:r>
        <w:rPr>
          <w:noProof/>
          <w:lang w:val="en-US"/>
        </w:rPr>
        <w:t>5106</w:t>
      </w:r>
      <w:r>
        <w:rPr>
          <w:lang w:val="en-US"/>
        </w:rPr>
        <w:t>/17 STAT 2</w:t>
      </w:r>
      <w:r w:rsidR="009C6C09">
        <w:rPr>
          <w:lang w:val="en-US"/>
        </w:rPr>
        <w:br/>
      </w:r>
      <w:r>
        <w:rPr>
          <w:lang w:val="en-US"/>
        </w:rPr>
        <w:t>15606/16 STAT 19+ COR 1 (da)</w:t>
      </w:r>
    </w:p>
    <w:p w14:paraId="0A012301" w14:textId="77777777" w:rsidR="00643D86" w:rsidRDefault="006F4449" w:rsidP="00643D86">
      <w:r>
        <w:rPr>
          <w:b/>
        </w:rPr>
        <w:t>Ansvarigt statsråd</w:t>
      </w:r>
      <w:r>
        <w:rPr>
          <w:b/>
        </w:rPr>
        <w:br/>
      </w:r>
      <w:r>
        <w:rPr>
          <w:noProof/>
        </w:rPr>
        <w:t>Ardalan</w:t>
      </w:r>
      <w:r>
        <w:t xml:space="preserve"> Shekarabi</w:t>
      </w:r>
    </w:p>
    <w:p w14:paraId="0A012302" w14:textId="77777777" w:rsidR="00E0653A" w:rsidRDefault="006F4449"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A012303" w14:textId="77777777" w:rsidR="00E0653A" w:rsidRDefault="006F4449"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A012304" w14:textId="77777777" w:rsidR="00E0653A" w:rsidRDefault="006F4449"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A012305" w14:textId="77777777" w:rsidR="00E0653A" w:rsidRDefault="006F444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A012306" w14:textId="77777777" w:rsidR="00E0653A" w:rsidRDefault="006F4449"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A012307" w14:textId="77777777" w:rsidR="00E0653A" w:rsidRDefault="006F4449"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A012308" w14:textId="77777777" w:rsidR="00E0653A" w:rsidRDefault="006F444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w:instrText>
      </w:r>
      <w:r>
        <w:rPr>
          <w:b/>
        </w:rPr>
        <w:instrText xml:space="preserve">" = "-" </w:instrText>
      </w:r>
      <w:r>
        <w:rPr>
          <w:b/>
        </w:rPr>
        <w:fldChar w:fldCharType="begin"/>
      </w:r>
      <w:r>
        <w:rPr>
          <w:b/>
        </w:rPr>
        <w:instrText xml:space="preserve"> IF "-" = "-" "" "Tidigare behandlat i utskottet </w:instrText>
      </w:r>
      <w:r>
        <w:rPr>
          <w:b/>
        </w:rPr>
        <w:br/>
      </w:r>
      <w:r w:rsidRPr="002F0461">
        <w:instrText>-</w:instrText>
      </w:r>
    </w:p>
    <w:p w14:paraId="0A012309" w14:textId="77777777" w:rsidR="00E0653A" w:rsidRDefault="006F4449"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A01230A" w14:textId="77777777" w:rsidR="00E0653A" w:rsidRDefault="006F4449"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A01230C" w14:textId="5626815B" w:rsidR="00C07F73" w:rsidRDefault="006F4449" w:rsidP="009C6C0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förslag till beslut.</w:t>
      </w:r>
    </w:p>
    <w:p w14:paraId="0A01230D" w14:textId="77777777" w:rsidR="00C07F73" w:rsidRDefault="006F4449">
      <w:pPr>
        <w:spacing w:after="280" w:afterAutospacing="1"/>
      </w:pPr>
      <w:r>
        <w:rPr>
          <w:b/>
          <w:bCs/>
        </w:rPr>
        <w:t xml:space="preserve">Hur regeringen ställer sig </w:t>
      </w:r>
      <w:r>
        <w:rPr>
          <w:b/>
          <w:bCs/>
        </w:rPr>
        <w:t>till den blivande A-punkten:</w:t>
      </w:r>
      <w:r>
        <w:t xml:space="preserve"> Regeringen avser att rösta ja till förslag om att utöka möjligheten för rådets generalsekreterare att delegera befogenhet i vissa personalfrågor inom sitt mandat till de olika direktoratens generaldirektörer. </w:t>
      </w:r>
    </w:p>
    <w:p w14:paraId="0A01230E" w14:textId="77777777" w:rsidR="00C07F73" w:rsidRDefault="006F4449">
      <w:pPr>
        <w:spacing w:after="280" w:afterAutospacing="1"/>
      </w:pPr>
      <w:r>
        <w:rPr>
          <w:b/>
          <w:bCs/>
        </w:rPr>
        <w:t>Bakgrund:</w:t>
      </w:r>
      <w:r>
        <w:t xml:space="preserve"> </w:t>
      </w:r>
      <w:r>
        <w:rPr>
          <w:u w:val="single"/>
        </w:rPr>
        <w:t>Av nuva</w:t>
      </w:r>
      <w:r>
        <w:rPr>
          <w:u w:val="single"/>
        </w:rPr>
        <w:t>rande delegationsordning</w:t>
      </w:r>
      <w:r>
        <w:t>, (rådets beslut 2013/811/EU) framgår att befogenheten att ingå anställningsavtal m.m. enligt tjänsteföreskrifterna, för generalsekreteraren utövas av rådet, och för generaldirektörerna vad avser vissa uppräknade ärenden av rådet ef</w:t>
      </w:r>
      <w:r>
        <w:t>ter förslag från generalsekreteraren.</w:t>
      </w:r>
    </w:p>
    <w:p w14:paraId="0A01230F" w14:textId="77777777" w:rsidR="00C07F73" w:rsidRDefault="006F4449">
      <w:pPr>
        <w:spacing w:after="280" w:afterAutospacing="1"/>
      </w:pPr>
      <w:r>
        <w:t>I sam</w:t>
      </w:r>
      <w:bookmarkStart w:id="8" w:name="_GoBack"/>
      <w:bookmarkEnd w:id="8"/>
      <w:r>
        <w:t>tliga andra ärenden beslutar generalsekreteraren.</w:t>
      </w:r>
    </w:p>
    <w:p w14:paraId="0A012310" w14:textId="77777777" w:rsidR="00C07F73" w:rsidRDefault="006F4449">
      <w:pPr>
        <w:spacing w:after="280" w:afterAutospacing="1"/>
      </w:pPr>
      <w:r>
        <w:t>Generalsekreteraren kan delegera befogenheten över vissa anställningsfrågor rörande funktionsgrupperna AST och AST/SC till generaldirektören för administrativa frå</w:t>
      </w:r>
      <w:r>
        <w:t>gor.</w:t>
      </w:r>
    </w:p>
    <w:p w14:paraId="0A012311" w14:textId="77777777" w:rsidR="00C07F73" w:rsidRDefault="006F4449">
      <w:pPr>
        <w:spacing w:after="280" w:afterAutospacing="1"/>
      </w:pPr>
      <w:r>
        <w:rPr>
          <w:u w:val="single"/>
        </w:rPr>
        <w:t>Rådets förslag till ny delegationsordning:</w:t>
      </w:r>
      <w:r>
        <w:t xml:space="preserve"> Rådet föreslår att delegationen till Generaldirektören för administration utvidgas till att omfatta samtliga funktionsgrupper. Rådet föreslår vidare att generalsekreteraren får möjlighet att delegera befogenhet enligt artikel 7 (1) tjänsteföreskrifterna -</w:t>
      </w:r>
      <w:r>
        <w:t xml:space="preserve"> om återanställning och förflyttning - till samtliga generaldirektörer.</w:t>
      </w:r>
    </w:p>
    <w:p w14:paraId="0A012314" w14:textId="1DF09D10" w:rsidR="00643D86" w:rsidRPr="00377012" w:rsidRDefault="006F4449" w:rsidP="009C6C09">
      <w:pPr>
        <w:spacing w:after="280" w:afterAutospacing="1"/>
      </w:pPr>
      <w:r>
        <w:t>Regeringen delar rådets uppfattning om att en utökad delegation av befogenhet i de föreslagna delarna underlättar den administrativa hanteringen, ökar transparensen i systemet samt eli</w:t>
      </w:r>
      <w:r>
        <w:t xml:space="preserve">minerar en del onödigt dubbelarbete mellan DG A och generalsekreteraren. </w:t>
      </w:r>
      <w:bookmarkEnd w:id="0"/>
    </w:p>
    <w:sectPr w:rsidR="00643D86" w:rsidRPr="00377012" w:rsidSect="002C27BD">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1232E" w14:textId="77777777" w:rsidR="00000000" w:rsidRDefault="006F4449">
      <w:pPr>
        <w:spacing w:after="0" w:line="240" w:lineRule="auto"/>
      </w:pPr>
      <w:r>
        <w:separator/>
      </w:r>
    </w:p>
  </w:endnote>
  <w:endnote w:type="continuationSeparator" w:id="0">
    <w:p w14:paraId="0A012330" w14:textId="77777777" w:rsidR="00000000" w:rsidRDefault="006F4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0A012319" w14:textId="77777777" w:rsidR="00283DF3" w:rsidRDefault="006F4449">
        <w:pPr>
          <w:pStyle w:val="Sidfot"/>
          <w:jc w:val="right"/>
        </w:pPr>
      </w:p>
    </w:sdtContent>
  </w:sdt>
  <w:p w14:paraId="0A01231A" w14:textId="77777777" w:rsidR="00283DF3" w:rsidRDefault="006F444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12328" w14:textId="77777777" w:rsidR="00283DF3" w:rsidRDefault="006F4449">
    <w:pPr>
      <w:pStyle w:val="Sidfot"/>
      <w:jc w:val="right"/>
    </w:pPr>
  </w:p>
  <w:p w14:paraId="0A012329" w14:textId="77777777" w:rsidR="00283DF3" w:rsidRDefault="006F444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1232A" w14:textId="77777777" w:rsidR="00000000" w:rsidRDefault="006F4449">
      <w:pPr>
        <w:spacing w:after="0" w:line="240" w:lineRule="auto"/>
      </w:pPr>
      <w:r>
        <w:separator/>
      </w:r>
    </w:p>
  </w:footnote>
  <w:footnote w:type="continuationSeparator" w:id="0">
    <w:p w14:paraId="0A01232C" w14:textId="77777777" w:rsidR="00000000" w:rsidRDefault="006F44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0A012316" w14:textId="77777777" w:rsidR="002F3A5A" w:rsidRDefault="006F4449" w:rsidP="002F3A5A">
        <w:pPr>
          <w:pStyle w:val="Sidhuvud"/>
          <w:jc w:val="right"/>
        </w:pPr>
        <w:r>
          <w:fldChar w:fldCharType="begin"/>
        </w:r>
        <w:r>
          <w:instrText xml:space="preserve"> PAGE   \* MERGEFORMAT </w:instrText>
        </w:r>
        <w:r>
          <w:fldChar w:fldCharType="separate"/>
        </w:r>
        <w:r>
          <w:rPr>
            <w:noProof/>
          </w:rPr>
          <w:t>6</w:t>
        </w:r>
        <w:r>
          <w:rPr>
            <w:noProof/>
          </w:rPr>
          <w:fldChar w:fldCharType="end"/>
        </w:r>
      </w:p>
    </w:sdtContent>
  </w:sdt>
  <w:p w14:paraId="0A012317" w14:textId="77777777" w:rsidR="006F1C0D" w:rsidRDefault="006F4449"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C07F73" w14:paraId="0A012322" w14:textId="77777777" w:rsidTr="006E71D7">
      <w:tc>
        <w:tcPr>
          <w:tcW w:w="4606" w:type="dxa"/>
        </w:tcPr>
        <w:p w14:paraId="0A01231B" w14:textId="77777777" w:rsidR="006E71D7" w:rsidRDefault="006F4449" w:rsidP="00752770">
          <w:pPr>
            <w:pStyle w:val="Sidhuvud"/>
            <w:ind w:left="0"/>
          </w:pPr>
          <w:r>
            <w:rPr>
              <w:noProof/>
              <w:lang w:eastAsia="sv-SE"/>
            </w:rPr>
            <w:drawing>
              <wp:inline distT="0" distB="0" distL="0" distR="0" wp14:anchorId="0A01232A" wp14:editId="0A01232B">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A01231C" w14:textId="77777777" w:rsidR="00FB32B9" w:rsidRDefault="006F4449"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C07F73" w14:paraId="0A01231F" w14:textId="77777777" w:rsidTr="00623763">
            <w:tc>
              <w:tcPr>
                <w:tcW w:w="1833" w:type="dxa"/>
              </w:tcPr>
              <w:p w14:paraId="0A01231D" w14:textId="77777777" w:rsidR="00623763" w:rsidRPr="00623763" w:rsidRDefault="006F4449" w:rsidP="00623763">
                <w:pPr>
                  <w:ind w:left="0"/>
                </w:pPr>
                <w:r w:rsidRPr="00623763">
                  <w:rPr>
                    <w:rFonts w:ascii="TradeGothic" w:hAnsi="TradeGothic"/>
                    <w:b/>
                  </w:rPr>
                  <w:t>Promemoria</w:t>
                </w:r>
              </w:p>
            </w:tc>
            <w:tc>
              <w:tcPr>
                <w:tcW w:w="1833" w:type="dxa"/>
              </w:tcPr>
              <w:p w14:paraId="0A01231E" w14:textId="5250849E" w:rsidR="00623763" w:rsidRPr="00623763" w:rsidRDefault="006F4449"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4</w:t>
                </w:r>
              </w:p>
            </w:tc>
          </w:tr>
        </w:tbl>
        <w:p w14:paraId="0A012320" w14:textId="77777777" w:rsidR="00FB32B9" w:rsidRDefault="006F4449" w:rsidP="00FB32B9">
          <w:pPr>
            <w:jc w:val="right"/>
          </w:pPr>
        </w:p>
        <w:p w14:paraId="0A012321" w14:textId="77777777" w:rsidR="006E71D7" w:rsidRDefault="006F4449" w:rsidP="00FB32B9">
          <w:pPr>
            <w:ind w:right="916"/>
          </w:pPr>
          <w:r>
            <w:rPr>
              <w:rFonts w:ascii="TradeGothic" w:hAnsi="TradeGothic"/>
              <w:b/>
              <w:noProof/>
            </w:rPr>
            <w:t>2017-01-24</w:t>
          </w:r>
          <w:r w:rsidRPr="00934953">
            <w:t xml:space="preserve"> </w:t>
          </w:r>
        </w:p>
      </w:tc>
    </w:tr>
  </w:tbl>
  <w:p w14:paraId="0A012323" w14:textId="77777777" w:rsidR="00FB32B9" w:rsidRDefault="006F4449" w:rsidP="00FB32B9">
    <w:pPr>
      <w:pStyle w:val="Avsndare"/>
      <w:framePr w:w="0" w:hRule="auto" w:hSpace="0" w:wrap="auto" w:vAnchor="margin" w:hAnchor="text" w:xAlign="left" w:yAlign="inline"/>
      <w:rPr>
        <w:b/>
        <w:i w:val="0"/>
        <w:sz w:val="22"/>
      </w:rPr>
    </w:pPr>
  </w:p>
  <w:p w14:paraId="0A012324" w14:textId="77777777" w:rsidR="00FB32B9" w:rsidRDefault="006F4449" w:rsidP="00FB32B9">
    <w:pPr>
      <w:pStyle w:val="Avsndare"/>
      <w:framePr w:w="0" w:hRule="auto" w:hSpace="0" w:wrap="auto" w:vAnchor="margin" w:hAnchor="text" w:xAlign="left" w:yAlign="inline"/>
      <w:rPr>
        <w:b/>
        <w:i w:val="0"/>
        <w:sz w:val="22"/>
      </w:rPr>
    </w:pPr>
    <w:r>
      <w:rPr>
        <w:b/>
        <w:i w:val="0"/>
        <w:sz w:val="22"/>
      </w:rPr>
      <w:t>Statsrådsberedningen</w:t>
    </w:r>
  </w:p>
  <w:p w14:paraId="0A012325" w14:textId="77777777" w:rsidR="00FB32B9" w:rsidRDefault="006F4449" w:rsidP="00FB32B9">
    <w:pPr>
      <w:pStyle w:val="Avsndare"/>
      <w:framePr w:w="0" w:hRule="auto" w:hSpace="0" w:wrap="auto" w:vAnchor="margin" w:hAnchor="text" w:xAlign="left" w:yAlign="inline"/>
    </w:pPr>
  </w:p>
  <w:p w14:paraId="0A012326" w14:textId="77777777" w:rsidR="00FB32B9" w:rsidRDefault="006F4449" w:rsidP="00FB32B9">
    <w:pPr>
      <w:pStyle w:val="Avsndare"/>
      <w:framePr w:w="0" w:hRule="auto" w:hSpace="0" w:wrap="auto" w:vAnchor="margin" w:hAnchor="text" w:xAlign="left" w:yAlign="inline"/>
    </w:pPr>
    <w:r>
      <w:t>EU-kansliet</w:t>
    </w:r>
  </w:p>
  <w:p w14:paraId="0A012327" w14:textId="77777777" w:rsidR="0012376B" w:rsidRDefault="006F4449">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B0681EE0">
      <w:start w:val="1"/>
      <w:numFmt w:val="decimal"/>
      <w:pStyle w:val="Rubrik1"/>
      <w:lvlText w:val="%1."/>
      <w:lvlJc w:val="left"/>
      <w:pPr>
        <w:ind w:left="720" w:hanging="360"/>
      </w:pPr>
    </w:lvl>
    <w:lvl w:ilvl="1" w:tplc="B81A6978" w:tentative="1">
      <w:start w:val="1"/>
      <w:numFmt w:val="lowerLetter"/>
      <w:lvlText w:val="%2."/>
      <w:lvlJc w:val="left"/>
      <w:pPr>
        <w:ind w:left="1440" w:hanging="360"/>
      </w:pPr>
    </w:lvl>
    <w:lvl w:ilvl="2" w:tplc="7BA25AA4" w:tentative="1">
      <w:start w:val="1"/>
      <w:numFmt w:val="lowerRoman"/>
      <w:lvlText w:val="%3."/>
      <w:lvlJc w:val="right"/>
      <w:pPr>
        <w:ind w:left="2160" w:hanging="180"/>
      </w:pPr>
    </w:lvl>
    <w:lvl w:ilvl="3" w:tplc="AFF870E4" w:tentative="1">
      <w:start w:val="1"/>
      <w:numFmt w:val="decimal"/>
      <w:lvlText w:val="%4."/>
      <w:lvlJc w:val="left"/>
      <w:pPr>
        <w:ind w:left="2880" w:hanging="360"/>
      </w:pPr>
    </w:lvl>
    <w:lvl w:ilvl="4" w:tplc="634A7B54" w:tentative="1">
      <w:start w:val="1"/>
      <w:numFmt w:val="lowerLetter"/>
      <w:lvlText w:val="%5."/>
      <w:lvlJc w:val="left"/>
      <w:pPr>
        <w:ind w:left="3600" w:hanging="360"/>
      </w:pPr>
    </w:lvl>
    <w:lvl w:ilvl="5" w:tplc="CC2E8B2C" w:tentative="1">
      <w:start w:val="1"/>
      <w:numFmt w:val="lowerRoman"/>
      <w:lvlText w:val="%6."/>
      <w:lvlJc w:val="right"/>
      <w:pPr>
        <w:ind w:left="4320" w:hanging="180"/>
      </w:pPr>
    </w:lvl>
    <w:lvl w:ilvl="6" w:tplc="A37EB818" w:tentative="1">
      <w:start w:val="1"/>
      <w:numFmt w:val="decimal"/>
      <w:lvlText w:val="%7."/>
      <w:lvlJc w:val="left"/>
      <w:pPr>
        <w:ind w:left="5040" w:hanging="360"/>
      </w:pPr>
    </w:lvl>
    <w:lvl w:ilvl="7" w:tplc="0F5C8A04" w:tentative="1">
      <w:start w:val="1"/>
      <w:numFmt w:val="lowerLetter"/>
      <w:lvlText w:val="%8."/>
      <w:lvlJc w:val="left"/>
      <w:pPr>
        <w:ind w:left="5760" w:hanging="360"/>
      </w:pPr>
    </w:lvl>
    <w:lvl w:ilvl="8" w:tplc="37D419B8" w:tentative="1">
      <w:start w:val="1"/>
      <w:numFmt w:val="lowerRoman"/>
      <w:lvlText w:val="%9."/>
      <w:lvlJc w:val="right"/>
      <w:pPr>
        <w:ind w:left="6480" w:hanging="180"/>
      </w:pPr>
    </w:lvl>
  </w:abstractNum>
  <w:abstractNum w:abstractNumId="1">
    <w:nsid w:val="73990993"/>
    <w:multiLevelType w:val="hybridMultilevel"/>
    <w:tmpl w:val="3BD822EE"/>
    <w:lvl w:ilvl="0" w:tplc="3F502A4A">
      <w:start w:val="1"/>
      <w:numFmt w:val="decimal"/>
      <w:lvlText w:val="%1."/>
      <w:lvlJc w:val="left"/>
      <w:pPr>
        <w:ind w:left="360" w:hanging="360"/>
      </w:pPr>
      <w:rPr>
        <w:b w:val="0"/>
      </w:rPr>
    </w:lvl>
    <w:lvl w:ilvl="1" w:tplc="CD8AE6AC" w:tentative="1">
      <w:start w:val="1"/>
      <w:numFmt w:val="lowerLetter"/>
      <w:lvlText w:val="%2."/>
      <w:lvlJc w:val="left"/>
      <w:pPr>
        <w:ind w:left="1080" w:hanging="360"/>
      </w:pPr>
    </w:lvl>
    <w:lvl w:ilvl="2" w:tplc="18A244E6" w:tentative="1">
      <w:start w:val="1"/>
      <w:numFmt w:val="lowerRoman"/>
      <w:lvlText w:val="%3."/>
      <w:lvlJc w:val="right"/>
      <w:pPr>
        <w:ind w:left="1800" w:hanging="180"/>
      </w:pPr>
    </w:lvl>
    <w:lvl w:ilvl="3" w:tplc="7B3078E4" w:tentative="1">
      <w:start w:val="1"/>
      <w:numFmt w:val="decimal"/>
      <w:lvlText w:val="%4."/>
      <w:lvlJc w:val="left"/>
      <w:pPr>
        <w:ind w:left="2520" w:hanging="360"/>
      </w:pPr>
    </w:lvl>
    <w:lvl w:ilvl="4" w:tplc="1D303CA6" w:tentative="1">
      <w:start w:val="1"/>
      <w:numFmt w:val="lowerLetter"/>
      <w:lvlText w:val="%5."/>
      <w:lvlJc w:val="left"/>
      <w:pPr>
        <w:ind w:left="3240" w:hanging="360"/>
      </w:pPr>
    </w:lvl>
    <w:lvl w:ilvl="5" w:tplc="29DC54EC" w:tentative="1">
      <w:start w:val="1"/>
      <w:numFmt w:val="lowerRoman"/>
      <w:lvlText w:val="%6."/>
      <w:lvlJc w:val="right"/>
      <w:pPr>
        <w:ind w:left="3960" w:hanging="180"/>
      </w:pPr>
    </w:lvl>
    <w:lvl w:ilvl="6" w:tplc="7BBC523A" w:tentative="1">
      <w:start w:val="1"/>
      <w:numFmt w:val="decimal"/>
      <w:lvlText w:val="%7."/>
      <w:lvlJc w:val="left"/>
      <w:pPr>
        <w:ind w:left="4680" w:hanging="360"/>
      </w:pPr>
    </w:lvl>
    <w:lvl w:ilvl="7" w:tplc="E8F8F8A0" w:tentative="1">
      <w:start w:val="1"/>
      <w:numFmt w:val="lowerLetter"/>
      <w:lvlText w:val="%8."/>
      <w:lvlJc w:val="left"/>
      <w:pPr>
        <w:ind w:left="5400" w:hanging="360"/>
      </w:pPr>
    </w:lvl>
    <w:lvl w:ilvl="8" w:tplc="B1521030"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F73"/>
    <w:rsid w:val="006F4449"/>
    <w:rsid w:val="009C6C09"/>
    <w:rsid w:val="00C07F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1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JE6N4JFJXNNF-17-42202</_dlc_DocId>
    <_dlc_DocIdUrl xmlns="8b66ae41-1ec6-402e-b662-35d1932ca064">
      <Url>http://rkdhs-sb/enhet/EUKansli/_layouts/DocIdRedir.aspx?ID=JE6N4JFJXNNF-17-42202</Url>
      <Description>JE6N4JFJXNNF-17-42202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E7A42-7EB6-4560-B117-7F87C95B56A5}"/>
</file>

<file path=customXml/itemProps2.xml><?xml version="1.0" encoding="utf-8"?>
<ds:datastoreItem xmlns:ds="http://schemas.openxmlformats.org/officeDocument/2006/customXml" ds:itemID="{16577016-E0A0-41D6-9F81-1FE59EF236F1}"/>
</file>

<file path=customXml/itemProps3.xml><?xml version="1.0" encoding="utf-8"?>
<ds:datastoreItem xmlns:ds="http://schemas.openxmlformats.org/officeDocument/2006/customXml" ds:itemID="{AC6624E5-DEE4-4A6C-A1E0-C45876C2010F}"/>
</file>

<file path=customXml/itemProps4.xml><?xml version="1.0" encoding="utf-8"?>
<ds:datastoreItem xmlns:ds="http://schemas.openxmlformats.org/officeDocument/2006/customXml" ds:itemID="{A400CC3B-4D4F-4818-8507-10B22501DAF9}"/>
</file>

<file path=customXml/itemProps5.xml><?xml version="1.0" encoding="utf-8"?>
<ds:datastoreItem xmlns:ds="http://schemas.openxmlformats.org/officeDocument/2006/customXml" ds:itemID="{151D7BC2-8898-472B-A244-8C5D12B95E4A}"/>
</file>

<file path=customXml/itemProps6.xml><?xml version="1.0" encoding="utf-8"?>
<ds:datastoreItem xmlns:ds="http://schemas.openxmlformats.org/officeDocument/2006/customXml" ds:itemID="{8C1A71AD-B3D6-4187-A2F3-08D46C736B9A}"/>
</file>

<file path=customXml/itemProps7.xml><?xml version="1.0" encoding="utf-8"?>
<ds:datastoreItem xmlns:ds="http://schemas.openxmlformats.org/officeDocument/2006/customXml" ds:itemID="{77DE8754-4643-45CA-84BC-D04FD3D0B025}"/>
</file>

<file path=docProps/app.xml><?xml version="1.0" encoding="utf-8"?>
<Properties xmlns="http://schemas.openxmlformats.org/officeDocument/2006/extended-properties" xmlns:vt="http://schemas.openxmlformats.org/officeDocument/2006/docPropsVTypes">
  <Template>Normal</Template>
  <TotalTime>0</TotalTime>
  <Pages>6</Pages>
  <Words>1976</Words>
  <Characters>10479</Characters>
  <Application>Microsoft Office Word</Application>
  <DocSecurity>0</DocSecurity>
  <Lines>87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Loka Grimlund Rothstein</cp:lastModifiedBy>
  <cp:revision>2</cp:revision>
  <dcterms:created xsi:type="dcterms:W3CDTF">2017-01-24T15:39:00Z</dcterms:created>
  <dcterms:modified xsi:type="dcterms:W3CDTF">2017-01-24T15:39:00Z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1,2,3,4,5,6,7</vt:lpwstr>
  </property>
  <property fmtid="{D5CDD505-2E9C-101B-9397-08002B2CF9AE}" pid="5" name="Departementsenhet">
    <vt:lpwstr/>
  </property>
  <property fmtid="{D5CDD505-2E9C-101B-9397-08002B2CF9AE}" pid="7" name="Aktivitetskategori">
    <vt:lpwstr/>
  </property>
  <property fmtid="{D5CDD505-2E9C-101B-9397-08002B2CF9AE}" pid="8" name="_dlc_DocIdItemGuid">
    <vt:lpwstr>22672b0a-9012-45b5-8704-d5c420533d92</vt:lpwstr>
  </property>
</Properties>
</file>