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31C" w:rsidRPr="0008131C" w:rsidRDefault="0008131C">
      <w:pPr>
        <w:pStyle w:val="Frslagsrubrik"/>
      </w:pPr>
      <w:r w:rsidRPr="0008131C">
        <w:t>Förslag till riksdagsbeslut</w:t>
      </w:r>
    </w:p>
    <w:p w:rsidR="0008131C" w:rsidRPr="0008131C" w:rsidRDefault="0008131C">
      <w:pPr>
        <w:pStyle w:val="Hemstlatt"/>
        <w:numPr>
          <w:ilvl w:val="0"/>
          <w:numId w:val="1"/>
        </w:numPr>
      </w:pPr>
      <w:r w:rsidRPr="0008131C">
        <w:t>Riksdagen tillkännager för regeringen som sin mening vad som anförs i motionen om att befintliga byggnader som har byggts till eller byggts om, och som tidigare inte har använts för bostadsändamål, också ska kunna fungera som ägarlägenh</w:t>
      </w:r>
      <w:r w:rsidRPr="0008131C">
        <w:t>e</w:t>
      </w:r>
      <w:r w:rsidRPr="0008131C">
        <w:t>ter.</w:t>
      </w:r>
    </w:p>
    <w:p w:rsidR="0008131C" w:rsidRPr="0008131C" w:rsidRDefault="0008131C">
      <w:pPr>
        <w:pStyle w:val="Hemstlatt"/>
        <w:numPr>
          <w:ilvl w:val="0"/>
          <w:numId w:val="1"/>
        </w:numPr>
      </w:pPr>
      <w:r w:rsidRPr="0008131C">
        <w:t>Riksdagen tillkännager för regeringen som sin mening vad som anförs i motionen om möjligheten till en ny typ av hyreskontrakt för ägarlägenheter som tar sin grund i hyressättning av sm</w:t>
      </w:r>
      <w:r w:rsidRPr="0008131C">
        <w:t>å</w:t>
      </w:r>
      <w:r w:rsidRPr="0008131C">
        <w:t>hus.</w:t>
      </w:r>
    </w:p>
    <w:p w:rsidR="0008131C" w:rsidRPr="0008131C" w:rsidRDefault="0008131C">
      <w:pPr>
        <w:pStyle w:val="Hemstlatt"/>
        <w:numPr>
          <w:ilvl w:val="0"/>
          <w:numId w:val="1"/>
        </w:numPr>
      </w:pPr>
      <w:r w:rsidRPr="0008131C">
        <w:t>Riksdagen tillkännager för regeringen som sin mening vad som anförs i motionen om ombildning av upplåtelseformen till äga</w:t>
      </w:r>
      <w:r w:rsidRPr="0008131C">
        <w:t>r</w:t>
      </w:r>
      <w:r w:rsidRPr="0008131C">
        <w:t>lägenhet för det befintliga bostadsbeståndet.</w:t>
      </w:r>
    </w:p>
    <w:p w:rsidR="0008131C" w:rsidRPr="0008131C" w:rsidRDefault="0008131C">
      <w:pPr>
        <w:pStyle w:val="Rubrik1"/>
      </w:pPr>
      <w:r w:rsidRPr="0008131C">
        <w:t>Motivering</w:t>
      </w:r>
    </w:p>
    <w:p w:rsidR="0008131C" w:rsidRPr="0008131C" w:rsidRDefault="0008131C">
      <w:r w:rsidRPr="0008131C">
        <w:t>Det är glädjande att det från och med den 1 april 2009 är möjligt att vid n</w:t>
      </w:r>
      <w:r w:rsidRPr="0008131C">
        <w:t>y</w:t>
      </w:r>
      <w:r w:rsidRPr="0008131C">
        <w:t>produktion upprätta så kallade ägarlägenheter som bostadsform. Det är en ny upplåtelseform och tillåter ett enskilt ägande av en specifik lägenhet i en fa</w:t>
      </w:r>
      <w:r w:rsidRPr="0008131C">
        <w:t>s</w:t>
      </w:r>
      <w:r w:rsidRPr="0008131C">
        <w:t xml:space="preserve">tighet samt en gemensam förvaltning av </w:t>
      </w:r>
      <w:r w:rsidRPr="0008131C">
        <w:rPr>
          <w:color w:val="000000"/>
        </w:rPr>
        <w:t>en samfällighet. Tidigare ägde en medlem i en bostadsrättsförening endast en rätt till nyttjande av en lägenhet i föreningen. Ägarlägenheter möjliggör för människor att faktiskt äga sin l</w:t>
      </w:r>
      <w:r w:rsidRPr="0008131C">
        <w:rPr>
          <w:color w:val="000000"/>
        </w:rPr>
        <w:t>ä</w:t>
      </w:r>
      <w:r w:rsidRPr="0008131C">
        <w:rPr>
          <w:color w:val="000000"/>
        </w:rPr>
        <w:t>genhet och är därmed ett komplement till befintliga upplåtelseformer. Att äga en ägarlägenhet kan jämställas med att äga ett hus.</w:t>
      </w:r>
      <w:r w:rsidRPr="0008131C">
        <w:rPr>
          <w:color w:val="000000"/>
        </w:rPr>
        <w:t xml:space="preserve"> Genom införandet av ägarlägenheter ökar man bostadskonsumentens valfrihet. En enskild hyresgäst tillåts i och med att ägarlägenheter införs att köpa sin lägenhet, samtidigt som grannarna fortsätter att vara hyresgäster och utan att en bostadsrättsförening måste bildas. Därtill kommer ägarlägenheter att klassificeras som fast ege</w:t>
      </w:r>
      <w:r w:rsidRPr="0008131C">
        <w:rPr>
          <w:color w:val="000000"/>
        </w:rPr>
        <w:t>n</w:t>
      </w:r>
      <w:r w:rsidRPr="0008131C">
        <w:rPr>
          <w:color w:val="000000"/>
        </w:rPr>
        <w:t>dom, till skillnad från exempelvis en</w:t>
      </w:r>
      <w:r w:rsidRPr="0008131C">
        <w:t xml:space="preserve"> bostadsrätt, vilket ger än högre grad av ägande. I ett system med ägarlägenheter äger den boende sin fysiska bostad då den liksom småhuset är </w:t>
      </w:r>
      <w:r w:rsidRPr="0008131C">
        <w:t xml:space="preserve">fast egendom. Andra fördelar med ägarlägenheter </w:t>
      </w:r>
      <w:r w:rsidRPr="0008131C">
        <w:lastRenderedPageBreak/>
        <w:t>är att exempelvis värme- och vattenförbrukningen för varje lägenhet i ett flerbostadshus kommer att kunna separeras. Detta skapar incitament för ett hushållande med energi som inte finns inom bostadsrättsföreningar där detta betalas gemensamt via föreningen.</w:t>
      </w:r>
    </w:p>
    <w:p w:rsidR="0008131C" w:rsidRPr="0008131C" w:rsidRDefault="0008131C">
      <w:pPr>
        <w:pStyle w:val="Rubrik2"/>
        <w:spacing w:after="0"/>
      </w:pPr>
      <w:r w:rsidRPr="0008131C">
        <w:t>Ombildning av upplåtelseform för befintligt bostadsbestånd</w:t>
      </w:r>
    </w:p>
    <w:p w:rsidR="0008131C" w:rsidRPr="0008131C" w:rsidRDefault="0008131C">
      <w:r w:rsidRPr="0008131C">
        <w:t>Det finns många fördelar med den nya upplåtelseformen men viktigast är den ökade mångfalden. Det är viktigt att människor ges möjlighet att välja den boendeform som passar dem bäst. Den övervägande delen av flerbostadsh</w:t>
      </w:r>
      <w:r w:rsidRPr="0008131C">
        <w:t>u</w:t>
      </w:r>
      <w:r w:rsidRPr="0008131C">
        <w:t xml:space="preserve">sen som produceras idag består av bostadsrätter. Under 2009 byggdes 14 527 nybyggda lägenheter, och av dem var endast ca 10 lägenheter ägarlägenheter. </w:t>
      </w:r>
      <w:r w:rsidRPr="0008131C">
        <w:rPr>
          <w:color w:val="000000"/>
        </w:rPr>
        <w:t>Idag är ca 16 procent av alla bostäder bostadsrätter. Dessa är juridiskt endast lösöre som inte kan intecknas och inte kan få lagfart. En bostadsrättsinneh</w:t>
      </w:r>
      <w:r w:rsidRPr="0008131C">
        <w:rPr>
          <w:color w:val="000000"/>
        </w:rPr>
        <w:t>a</w:t>
      </w:r>
      <w:r w:rsidRPr="0008131C">
        <w:rPr>
          <w:color w:val="000000"/>
        </w:rPr>
        <w:t>vare äger inte sin lägenhet; denne äger bara dispositionsrätten. I ett system med ägarlägenheter äger den boende sin fysiska bostad då den liksom småh</w:t>
      </w:r>
      <w:r w:rsidRPr="0008131C">
        <w:rPr>
          <w:color w:val="000000"/>
        </w:rPr>
        <w:t>u</w:t>
      </w:r>
      <w:r w:rsidRPr="0008131C">
        <w:rPr>
          <w:color w:val="000000"/>
        </w:rPr>
        <w:t>set är fast egendom. För banken har fast egendom stör</w:t>
      </w:r>
      <w:r w:rsidRPr="0008131C">
        <w:rPr>
          <w:color w:val="000000"/>
        </w:rPr>
        <w:t>re kreditvärde än lös</w:t>
      </w:r>
      <w:r w:rsidRPr="0008131C">
        <w:rPr>
          <w:color w:val="000000"/>
        </w:rPr>
        <w:softHyphen/>
        <w:t>öre, och ägaren kan därmed få lägre ränta.</w:t>
      </w:r>
      <w:r w:rsidRPr="0008131C">
        <w:t xml:space="preserve"> </w:t>
      </w:r>
      <w:r w:rsidRPr="0008131C">
        <w:rPr>
          <w:color w:val="000000"/>
        </w:rPr>
        <w:t>Dessutom har innehavaren av en ägarlägenhet ett tryggare ägande jämfört med en innehavare av en bostadsrätt. I en bostadsrättsförening kan en grannes ekonomiska situation förändra den ekonomiska bilden för alla andra medlemmar i föreningen. Om en medlem i en bostadsrättsförening kommer på obestånd och lämnar sin lägenhet tvingas bostadsrättsföreningen fördela kostnaden för denna lägenhet på övriga me</w:t>
      </w:r>
      <w:r w:rsidRPr="0008131C">
        <w:rPr>
          <w:color w:val="000000"/>
        </w:rPr>
        <w:t>d</w:t>
      </w:r>
      <w:r w:rsidRPr="0008131C">
        <w:rPr>
          <w:color w:val="000000"/>
        </w:rPr>
        <w:t>lemmar. Med ägarlägenheter är detta inte mö</w:t>
      </w:r>
      <w:r w:rsidRPr="0008131C">
        <w:rPr>
          <w:color w:val="000000"/>
        </w:rPr>
        <w:t>jligt då ägarens ekonomiska situation inte påverkar någon annan än ägaren själv. En ombildning av uppl</w:t>
      </w:r>
      <w:r w:rsidRPr="0008131C">
        <w:rPr>
          <w:color w:val="000000"/>
        </w:rPr>
        <w:t>å</w:t>
      </w:r>
      <w:r w:rsidRPr="0008131C">
        <w:rPr>
          <w:color w:val="000000"/>
        </w:rPr>
        <w:t xml:space="preserve">telseformen från bostadsrätt till ägarrätt stärker den enskilde. </w:t>
      </w:r>
      <w:r w:rsidRPr="0008131C">
        <w:rPr>
          <w:szCs w:val="24"/>
        </w:rPr>
        <w:t>I den nya lagen är dock konstruktionen ägarlägenhet enbart avsett för nyproduktion. Jag m</w:t>
      </w:r>
      <w:r w:rsidRPr="0008131C">
        <w:rPr>
          <w:szCs w:val="24"/>
        </w:rPr>
        <w:t>e</w:t>
      </w:r>
      <w:r w:rsidRPr="0008131C">
        <w:rPr>
          <w:szCs w:val="24"/>
        </w:rPr>
        <w:t>nar att även befintliga fastighetsbestånd av typen flerbostadshus skall kunna ombildas till ägarlägenheter, liksom hyresrätter i dag har möjlighet att ombi</w:t>
      </w:r>
      <w:r w:rsidRPr="0008131C">
        <w:rPr>
          <w:szCs w:val="24"/>
        </w:rPr>
        <w:t>l</w:t>
      </w:r>
      <w:r w:rsidRPr="0008131C">
        <w:rPr>
          <w:szCs w:val="24"/>
        </w:rPr>
        <w:t>das till bostadsrätter.</w:t>
      </w:r>
    </w:p>
    <w:p w:rsidR="0008131C" w:rsidRPr="0008131C" w:rsidRDefault="0008131C">
      <w:pPr>
        <w:pStyle w:val="Rubrik2"/>
        <w:spacing w:after="0"/>
      </w:pPr>
      <w:r w:rsidRPr="0008131C">
        <w:t>Ägarlägenheter i befintligt bostadsbestånd vid tillbyggnad och ombyggnad</w:t>
      </w:r>
    </w:p>
    <w:p w:rsidR="0008131C" w:rsidRPr="0008131C" w:rsidRDefault="0008131C">
      <w:r w:rsidRPr="0008131C">
        <w:rPr>
          <w:szCs w:val="24"/>
        </w:rPr>
        <w:t>Det är viktigt att ge möjlighet för den enskilde att under förutsättningar som bäst passar denne</w:t>
      </w:r>
      <w:r w:rsidRPr="0008131C">
        <w:t xml:space="preserve"> få nyttja eller äga sitt boende. Även tillbyggnad och o</w:t>
      </w:r>
      <w:r w:rsidRPr="0008131C">
        <w:t>m</w:t>
      </w:r>
      <w:r w:rsidRPr="0008131C">
        <w:t>byggnad av befintliga byggnader som tidigare inte använts för bostadsänd</w:t>
      </w:r>
      <w:r w:rsidRPr="0008131C">
        <w:t>a</w:t>
      </w:r>
      <w:r w:rsidRPr="0008131C">
        <w:t>mål måste möjliggöras. I storstäder där efterfrågan på bostäder är hög kan tidigare kontorsbyggnader, som i dag kanske inte uppfyller de krav som marknaden ställer på ändamålsenliga kontorslokaler, göras om till ägarläge</w:t>
      </w:r>
      <w:r w:rsidRPr="0008131C">
        <w:t>n</w:t>
      </w:r>
      <w:r w:rsidRPr="0008131C">
        <w:t>heter ifall regelverket blir mer flexibelt. Det skulle gynna konsumenterna.</w:t>
      </w:r>
    </w:p>
    <w:p w:rsidR="0008131C" w:rsidRPr="0008131C" w:rsidRDefault="0008131C">
      <w:pPr>
        <w:pStyle w:val="Rubrik2"/>
        <w:spacing w:after="0"/>
      </w:pPr>
      <w:r w:rsidRPr="0008131C">
        <w:t>Hyreskontrakt och hyressättning med grund i småhuset</w:t>
      </w:r>
    </w:p>
    <w:p w:rsidR="0008131C" w:rsidRPr="0008131C" w:rsidRDefault="0008131C">
      <w:r w:rsidRPr="0008131C">
        <w:t>En av fördelarna med ägarlägenheter är att innehavaren av en ägarlägenhet får ett ökat självbestämmande som innebär att denne inte behöver tillstånd från annan för att hyra ut lägenheten. På så sätt kan antalet bostäder till uthy</w:t>
      </w:r>
      <w:r w:rsidRPr="0008131C">
        <w:t>r</w:t>
      </w:r>
      <w:r w:rsidRPr="0008131C">
        <w:t>ning öka och fler bostadssökande ges en möjlighet att komma in på bostadsmar</w:t>
      </w:r>
      <w:r w:rsidRPr="0008131C">
        <w:t>k</w:t>
      </w:r>
      <w:r w:rsidRPr="0008131C">
        <w:t>naden. Samma regler för hyressättning av ägarrätt måste gälla för dem som bor direkt på marken, det vill säga i småhus, som för dem som bor någon våning upp, det vill säga ägarlägenhet. Hyreskontrakt för ägarlägenheter må</w:t>
      </w:r>
      <w:r w:rsidRPr="0008131C">
        <w:t>s</w:t>
      </w:r>
      <w:r w:rsidRPr="0008131C">
        <w:t>te ta sin grund i hyressättning av småhus. Det är viktigt att upplåtelseformen ägarlägenhet i så stor utsträckning som möjligt likställs med att äga ett hus.</w:t>
      </w:r>
    </w:p>
    <w:p w:rsidR="0008131C" w:rsidRPr="0008131C" w:rsidRDefault="0008131C">
      <w:pPr>
        <w:pStyle w:val="Normaltindrag"/>
      </w:pPr>
      <w:r w:rsidRPr="0008131C">
        <w:t xml:space="preserve">Reformen med att införa ägarlägenheter var viktig för </w:t>
      </w:r>
      <w:r w:rsidRPr="0008131C">
        <w:t>att skapa en mån</w:t>
      </w:r>
      <w:r w:rsidRPr="0008131C">
        <w:t>g</w:t>
      </w:r>
      <w:r w:rsidRPr="0008131C">
        <w:t>fald på bostadsmarknaden och öka valfriheten i bostadsformer. Genomslaget för ägarlägenheter har inte varit översvallande. Enlig statliga lantmäteriets sammanställning över ägarlägenhetsprojekt (28 augusti 2010) har det totalt lämnats in ansökningar för eller registrerats 417 ägarlägenheter. Undersö</w:t>
      </w:r>
      <w:r w:rsidRPr="0008131C">
        <w:t>k</w:t>
      </w:r>
      <w:r w:rsidRPr="0008131C">
        <w:t>ningar har visat att den största bromsen för genomslaget av ägarlägenheter är bruksvärdeshyran, den bristande kunskapen hos både byggföretagen och allmänheten samt bostadsrättens djupt rotade hi</w:t>
      </w:r>
      <w:r w:rsidRPr="0008131C">
        <w:t>storia. Detta visar att reformen kan förbättras ytterligare för att skapa bättre förutsättningar för fler ägarl</w:t>
      </w:r>
      <w:r w:rsidRPr="0008131C">
        <w:t>ä</w:t>
      </w:r>
      <w:r w:rsidRPr="0008131C">
        <w:t>genheter och en mer dynamisk bostadsmarknad.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31C">
        <w:trPr>
          <w:cantSplit/>
        </w:trPr>
        <w:tc>
          <w:tcPr>
            <w:tcW w:w="3046" w:type="dxa"/>
          </w:tcPr>
          <w:p w:rsidR="0008131C" w:rsidRPr="0008131C" w:rsidRDefault="0008131C">
            <w:pPr>
              <w:pStyle w:val="UnderskriftDatum"/>
              <w:spacing w:before="240"/>
            </w:pPr>
            <w:r w:rsidRPr="0008131C">
              <w:t>Stockholm den 21 oktober 2010</w:t>
            </w:r>
          </w:p>
        </w:tc>
        <w:tc>
          <w:tcPr>
            <w:tcW w:w="3047" w:type="dxa"/>
          </w:tcPr>
          <w:p w:rsidR="0008131C" w:rsidRPr="0008131C" w:rsidRDefault="0008131C">
            <w:pPr>
              <w:pStyle w:val="Underskrifter"/>
              <w:spacing w:before="240"/>
            </w:pPr>
          </w:p>
        </w:tc>
      </w:tr>
      <w:tr w:rsidR="00000000" w:rsidRPr="0008131C">
        <w:trPr>
          <w:cantSplit/>
        </w:trPr>
        <w:tc>
          <w:tcPr>
            <w:tcW w:w="3046" w:type="dxa"/>
          </w:tcPr>
          <w:p w:rsidR="0008131C" w:rsidRPr="0008131C" w:rsidRDefault="0008131C">
            <w:pPr>
              <w:pStyle w:val="Underskrifter"/>
            </w:pPr>
            <w:r w:rsidRPr="0008131C">
              <w:t>Ulrika Karlsson i Uppsala (M)</w:t>
            </w:r>
          </w:p>
        </w:tc>
        <w:tc>
          <w:tcPr>
            <w:tcW w:w="3046" w:type="dxa"/>
          </w:tcPr>
          <w:p w:rsidR="0008131C" w:rsidRPr="0008131C" w:rsidRDefault="0008131C">
            <w:pPr>
              <w:pStyle w:val="Underskrifter"/>
            </w:pPr>
          </w:p>
        </w:tc>
      </w:tr>
    </w:tbl>
    <w:p w:rsidR="0008131C" w:rsidRPr="0008131C" w:rsidRDefault="0008131C">
      <w:pPr>
        <w:pStyle w:val="Normaltindrag"/>
      </w:pPr>
    </w:p>
    <w:sectPr w:rsidR="00000000" w:rsidRPr="000813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31C" w:rsidRPr="0008131C" w:rsidRDefault="0008131C">
      <w:r w:rsidRPr="0008131C">
        <w:separator/>
      </w:r>
    </w:p>
  </w:endnote>
  <w:endnote w:type="continuationSeparator" w:id="0">
    <w:p w:rsidR="0008131C" w:rsidRPr="0008131C" w:rsidRDefault="0008131C">
      <w:r w:rsidRPr="000813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31C" w:rsidRPr="0008131C" w:rsidRDefault="0008131C">
    <w:pPr>
      <w:pStyle w:val="Sidfot"/>
    </w:pPr>
    <w:r w:rsidRPr="000813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5374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31C" w:rsidRDefault="000813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31C" w:rsidRDefault="000813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31C" w:rsidRPr="0008131C" w:rsidRDefault="0008131C">
    <w:pPr>
      <w:pStyle w:val="Sidfot"/>
    </w:pPr>
    <w:r w:rsidRPr="000813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137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31C" w:rsidRDefault="000813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31C" w:rsidRDefault="000813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31C" w:rsidRPr="0008131C" w:rsidRDefault="0008131C">
    <w:pPr>
      <w:pStyle w:val="Sidfot"/>
    </w:pPr>
    <w:r w:rsidRPr="000813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720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31C" w:rsidRDefault="000813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31C" w:rsidRDefault="000813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31C" w:rsidRPr="0008131C" w:rsidRDefault="0008131C">
      <w:r w:rsidRPr="0008131C">
        <w:separator/>
      </w:r>
    </w:p>
  </w:footnote>
  <w:footnote w:type="continuationSeparator" w:id="0">
    <w:p w:rsidR="0008131C" w:rsidRPr="0008131C" w:rsidRDefault="0008131C">
      <w:r w:rsidRPr="000813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31C" w:rsidRPr="0008131C" w:rsidRDefault="0008131C">
    <w:pPr>
      <w:pStyle w:val="Sidhuvud"/>
    </w:pPr>
    <w:r w:rsidRPr="000813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034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31C" w:rsidRDefault="000813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31C" w:rsidRDefault="000813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31C" w:rsidRPr="0008131C" w:rsidRDefault="0008131C">
    <w:pPr>
      <w:pStyle w:val="Sidhuvud"/>
    </w:pPr>
    <w:r w:rsidRPr="000813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3904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31C" w:rsidRDefault="000813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31C" w:rsidRDefault="000813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31C" w:rsidRPr="0008131C" w:rsidRDefault="0008131C">
    <w:pPr>
      <w:pStyle w:val="FSHNormal"/>
      <w:tabs>
        <w:tab w:val="right" w:pos="5840"/>
      </w:tabs>
    </w:pPr>
    <w:r w:rsidRPr="0008131C">
      <w:br/>
    </w:r>
    <w:r w:rsidRPr="0008131C">
      <w:fldChar w:fldCharType="begin" w:fldLock="1"/>
    </w:r>
    <w:r w:rsidRPr="0008131C">
      <w:instrText xml:space="preserve"> DOCPROPERTY</w:instrText>
    </w:r>
    <w:r w:rsidRPr="0008131C">
      <w:rPr>
        <w:sz w:val="18"/>
      </w:rPr>
      <w:instrText xml:space="preserve"> "YearUser" *\charformat </w:instrText>
    </w:r>
    <w:r w:rsidRPr="0008131C">
      <w:fldChar w:fldCharType="separate"/>
    </w:r>
    <w:r w:rsidRPr="0008131C">
      <w:t>2010/11</w:t>
    </w:r>
    <w:r w:rsidRPr="0008131C">
      <w:fldChar w:fldCharType="end"/>
    </w:r>
    <w:r w:rsidRPr="0008131C">
      <w:t xml:space="preserve"> </w:t>
    </w:r>
    <w:r w:rsidRPr="0008131C">
      <w:tab/>
      <w:t xml:space="preserve">mnr: </w:t>
    </w:r>
    <w:r w:rsidRPr="0008131C">
      <w:fldChar w:fldCharType="begin" w:fldLock="1"/>
    </w:r>
    <w:r w:rsidRPr="0008131C">
      <w:instrText xml:space="preserve"> DOCPROPERTY</w:instrText>
    </w:r>
    <w:r w:rsidRPr="0008131C">
      <w:rPr>
        <w:sz w:val="18"/>
      </w:rPr>
      <w:instrText xml:space="preserve"> "Motionsnummer" *\charformat </w:instrText>
    </w:r>
    <w:r w:rsidRPr="0008131C">
      <w:fldChar w:fldCharType="separate"/>
    </w:r>
    <w:r w:rsidRPr="0008131C">
      <w:t>C318</w:t>
    </w:r>
    <w:r w:rsidRPr="0008131C">
      <w:fldChar w:fldCharType="end"/>
    </w:r>
    <w:r w:rsidRPr="0008131C">
      <w:br/>
    </w:r>
    <w:r w:rsidRPr="0008131C">
      <w:fldChar w:fldCharType="begin" w:fldLock="1"/>
    </w:r>
    <w:r w:rsidRPr="0008131C">
      <w:instrText xml:space="preserve"> DOCPROPERTY</w:instrText>
    </w:r>
    <w:r w:rsidRPr="0008131C">
      <w:rPr>
        <w:sz w:val="18"/>
      </w:rPr>
      <w:instrText xml:space="preserve"> "Samling" *\charformat </w:instrText>
    </w:r>
    <w:r w:rsidRPr="0008131C">
      <w:fldChar w:fldCharType="end"/>
    </w:r>
    <w:r w:rsidRPr="0008131C">
      <w:tab/>
      <w:t xml:space="preserve">pnr: </w:t>
    </w:r>
    <w:r w:rsidRPr="0008131C">
      <w:fldChar w:fldCharType="begin" w:fldLock="1"/>
    </w:r>
    <w:r w:rsidRPr="0008131C">
      <w:instrText xml:space="preserve"> DOCPROPERTY</w:instrText>
    </w:r>
    <w:r w:rsidRPr="0008131C">
      <w:rPr>
        <w:sz w:val="18"/>
      </w:rPr>
      <w:instrText xml:space="preserve"> "Partinummer" *\charformat </w:instrText>
    </w:r>
    <w:r w:rsidRPr="0008131C">
      <w:fldChar w:fldCharType="separate"/>
    </w:r>
    <w:r w:rsidRPr="0008131C">
      <w:t>M1904</w:t>
    </w:r>
    <w:r w:rsidRPr="0008131C">
      <w:fldChar w:fldCharType="end"/>
    </w:r>
  </w:p>
  <w:p w:rsidR="0008131C" w:rsidRPr="0008131C" w:rsidRDefault="0008131C">
    <w:pPr>
      <w:pStyle w:val="FSHRub1"/>
    </w:pPr>
    <w:r w:rsidRPr="0008131C">
      <w:t>Motion till riksdagen</w:t>
    </w:r>
    <w:r w:rsidRPr="0008131C">
      <w:br/>
    </w:r>
    <w:r w:rsidRPr="0008131C">
      <w:fldChar w:fldCharType="begin" w:fldLock="1"/>
    </w:r>
    <w:r w:rsidRPr="0008131C">
      <w:instrText xml:space="preserve"> DOCPROPERTY "YearUser" *\charformat </w:instrText>
    </w:r>
    <w:r w:rsidRPr="0008131C">
      <w:fldChar w:fldCharType="separate"/>
    </w:r>
    <w:r w:rsidRPr="0008131C">
      <w:t>2010/11</w:t>
    </w:r>
    <w:r w:rsidRPr="0008131C">
      <w:fldChar w:fldCharType="end"/>
    </w:r>
    <w:r w:rsidRPr="0008131C">
      <w:t>:</w:t>
    </w:r>
    <w:r w:rsidRPr="0008131C">
      <w:fldChar w:fldCharType="begin" w:fldLock="1"/>
    </w:r>
    <w:r w:rsidRPr="0008131C">
      <w:instrText xml:space="preserve"> DOCPROPERTY "Motionsnummer" *\charformat </w:instrText>
    </w:r>
    <w:r w:rsidRPr="0008131C">
      <w:fldChar w:fldCharType="separate"/>
    </w:r>
    <w:r w:rsidRPr="0008131C">
      <w:t>C318</w:t>
    </w:r>
    <w:r w:rsidRPr="0008131C">
      <w:fldChar w:fldCharType="end"/>
    </w:r>
  </w:p>
  <w:p w:rsidR="0008131C" w:rsidRPr="0008131C" w:rsidRDefault="0008131C">
    <w:pPr>
      <w:pStyle w:val="FSHNormalS5"/>
    </w:pPr>
    <w:r w:rsidRPr="0008131C">
      <w:fldChar w:fldCharType="begin" w:fldLock="1"/>
    </w:r>
    <w:r w:rsidRPr="0008131C">
      <w:instrText xml:space="preserve"> DOCPROPERTY "MotionarText" *\charformat </w:instrText>
    </w:r>
    <w:r w:rsidRPr="0008131C">
      <w:fldChar w:fldCharType="separate"/>
    </w:r>
    <w:r w:rsidRPr="0008131C">
      <w:t>av Ulrika Karlsson i Uppsala (M)</w:t>
    </w:r>
    <w:r w:rsidRPr="0008131C">
      <w:fldChar w:fldCharType="end"/>
    </w:r>
    <w:r w:rsidRPr="0008131C">
      <w:br/>
    </w:r>
    <w:r w:rsidRPr="0008131C">
      <w:fldChar w:fldCharType="begin" w:fldLock="1"/>
    </w:r>
    <w:r w:rsidRPr="0008131C">
      <w:instrText xml:space="preserve"> DOCPROPERTY "SvarFrasKort" *\charformat </w:instrText>
    </w:r>
    <w:r w:rsidRPr="0008131C">
      <w:fldChar w:fldCharType="end"/>
    </w:r>
  </w:p>
  <w:p w:rsidR="0008131C" w:rsidRPr="0008131C" w:rsidRDefault="0008131C">
    <w:pPr>
      <w:pStyle w:val="FSHTitel"/>
    </w:pPr>
    <w:r w:rsidRPr="0008131C">
      <w:fldChar w:fldCharType="begin" w:fldLock="1"/>
    </w:r>
    <w:r w:rsidRPr="0008131C">
      <w:instrText xml:space="preserve"> DOCPROPERTY</w:instrText>
    </w:r>
    <w:r w:rsidRPr="0008131C">
      <w:rPr>
        <w:sz w:val="18"/>
      </w:rPr>
      <w:instrText xml:space="preserve"> "RubrikSvar" *\charformat </w:instrText>
    </w:r>
    <w:r w:rsidRPr="0008131C">
      <w:fldChar w:fldCharType="separate"/>
    </w:r>
    <w:r w:rsidRPr="0008131C">
      <w:t>Utvecklad reform för ägarlägenheter</w:t>
    </w:r>
    <w:r w:rsidRPr="0008131C">
      <w:fldChar w:fldCharType="end"/>
    </w:r>
  </w:p>
  <w:p w:rsidR="0008131C" w:rsidRPr="0008131C" w:rsidRDefault="0008131C">
    <w:pPr>
      <w:pStyle w:val="Normal00"/>
    </w:pPr>
  </w:p>
  <w:p w:rsidR="0008131C" w:rsidRPr="0008131C" w:rsidRDefault="000813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DD128A9A">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49E88EC">
      <w:start w:val="1"/>
      <w:numFmt w:val="decimal"/>
      <w:lvlText w:val="%1."/>
      <w:lvlJc w:val="left"/>
      <w:pPr>
        <w:tabs>
          <w:tab w:val="num" w:pos="340"/>
        </w:tabs>
        <w:ind w:left="340" w:hanging="340"/>
      </w:pPr>
      <w:rPr>
        <w:rFonts w:cs="Times New Roman"/>
      </w:rPr>
    </w:lvl>
    <w:lvl w:ilvl="1" w:tplc="685C162C" w:tentative="1">
      <w:start w:val="1"/>
      <w:numFmt w:val="lowerLetter"/>
      <w:lvlText w:val="%2."/>
      <w:lvlJc w:val="left"/>
      <w:pPr>
        <w:tabs>
          <w:tab w:val="num" w:pos="1440"/>
        </w:tabs>
        <w:ind w:left="1440" w:hanging="360"/>
      </w:pPr>
      <w:rPr>
        <w:rFonts w:cs="Times New Roman"/>
      </w:rPr>
    </w:lvl>
    <w:lvl w:ilvl="2" w:tplc="DFD6B9FA" w:tentative="1">
      <w:start w:val="1"/>
      <w:numFmt w:val="lowerRoman"/>
      <w:lvlText w:val="%3."/>
      <w:lvlJc w:val="right"/>
      <w:pPr>
        <w:tabs>
          <w:tab w:val="num" w:pos="2160"/>
        </w:tabs>
        <w:ind w:left="2160" w:hanging="180"/>
      </w:pPr>
      <w:rPr>
        <w:rFonts w:cs="Times New Roman"/>
      </w:rPr>
    </w:lvl>
    <w:lvl w:ilvl="3" w:tplc="1F0A253E" w:tentative="1">
      <w:start w:val="1"/>
      <w:numFmt w:val="decimal"/>
      <w:lvlText w:val="%4."/>
      <w:lvlJc w:val="left"/>
      <w:pPr>
        <w:tabs>
          <w:tab w:val="num" w:pos="2880"/>
        </w:tabs>
        <w:ind w:left="2880" w:hanging="360"/>
      </w:pPr>
      <w:rPr>
        <w:rFonts w:cs="Times New Roman"/>
      </w:rPr>
    </w:lvl>
    <w:lvl w:ilvl="4" w:tplc="238297EA" w:tentative="1">
      <w:start w:val="1"/>
      <w:numFmt w:val="lowerLetter"/>
      <w:lvlText w:val="%5."/>
      <w:lvlJc w:val="left"/>
      <w:pPr>
        <w:tabs>
          <w:tab w:val="num" w:pos="3600"/>
        </w:tabs>
        <w:ind w:left="3600" w:hanging="360"/>
      </w:pPr>
      <w:rPr>
        <w:rFonts w:cs="Times New Roman"/>
      </w:rPr>
    </w:lvl>
    <w:lvl w:ilvl="5" w:tplc="86C6EB00" w:tentative="1">
      <w:start w:val="1"/>
      <w:numFmt w:val="lowerRoman"/>
      <w:lvlText w:val="%6."/>
      <w:lvlJc w:val="right"/>
      <w:pPr>
        <w:tabs>
          <w:tab w:val="num" w:pos="4320"/>
        </w:tabs>
        <w:ind w:left="4320" w:hanging="180"/>
      </w:pPr>
      <w:rPr>
        <w:rFonts w:cs="Times New Roman"/>
      </w:rPr>
    </w:lvl>
    <w:lvl w:ilvl="6" w:tplc="EAC42306" w:tentative="1">
      <w:start w:val="1"/>
      <w:numFmt w:val="decimal"/>
      <w:lvlText w:val="%7."/>
      <w:lvlJc w:val="left"/>
      <w:pPr>
        <w:tabs>
          <w:tab w:val="num" w:pos="5040"/>
        </w:tabs>
        <w:ind w:left="5040" w:hanging="360"/>
      </w:pPr>
      <w:rPr>
        <w:rFonts w:cs="Times New Roman"/>
      </w:rPr>
    </w:lvl>
    <w:lvl w:ilvl="7" w:tplc="078E5466" w:tentative="1">
      <w:start w:val="1"/>
      <w:numFmt w:val="lowerLetter"/>
      <w:lvlText w:val="%8."/>
      <w:lvlJc w:val="left"/>
      <w:pPr>
        <w:tabs>
          <w:tab w:val="num" w:pos="5760"/>
        </w:tabs>
        <w:ind w:left="5760" w:hanging="360"/>
      </w:pPr>
      <w:rPr>
        <w:rFonts w:cs="Times New Roman"/>
      </w:rPr>
    </w:lvl>
    <w:lvl w:ilvl="8" w:tplc="51CA1662"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2A3AC6"/>
    <w:multiLevelType w:val="hybridMultilevel"/>
    <w:tmpl w:val="0ADACDCA"/>
    <w:lvl w:ilvl="0" w:tplc="5CF0CF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2941823">
    <w:abstractNumId w:val="3"/>
  </w:num>
  <w:num w:numId="2" w16cid:durableId="1299649088">
    <w:abstractNumId w:val="2"/>
  </w:num>
  <w:num w:numId="3" w16cid:durableId="1286697608">
    <w:abstractNumId w:val="1"/>
  </w:num>
  <w:num w:numId="4" w16cid:durableId="420151718">
    <w:abstractNumId w:val="0"/>
  </w:num>
  <w:num w:numId="5" w16cid:durableId="1570798969">
    <w:abstractNumId w:val="7"/>
  </w:num>
  <w:num w:numId="6" w16cid:durableId="1578515317">
    <w:abstractNumId w:val="6"/>
  </w:num>
  <w:num w:numId="7" w16cid:durableId="1203321316">
    <w:abstractNumId w:val="5"/>
  </w:num>
  <w:num w:numId="8" w16cid:durableId="729620291">
    <w:abstractNumId w:val="4"/>
  </w:num>
  <w:num w:numId="9" w16cid:durableId="2119130659">
    <w:abstractNumId w:val="8"/>
  </w:num>
  <w:num w:numId="10" w16cid:durableId="768937182">
    <w:abstractNumId w:val="9"/>
  </w:num>
  <w:num w:numId="11" w16cid:durableId="1262687418">
    <w:abstractNumId w:val="10"/>
  </w:num>
  <w:num w:numId="12" w16cid:durableId="1258295869">
    <w:abstractNumId w:val="13"/>
  </w:num>
  <w:num w:numId="13" w16cid:durableId="1489395320">
    <w:abstractNumId w:val="15"/>
  </w:num>
  <w:num w:numId="14" w16cid:durableId="2034719397">
    <w:abstractNumId w:val="16"/>
  </w:num>
  <w:num w:numId="15" w16cid:durableId="1061903765">
    <w:abstractNumId w:val="11"/>
  </w:num>
  <w:num w:numId="16" w16cid:durableId="1778981412">
    <w:abstractNumId w:val="19"/>
  </w:num>
  <w:num w:numId="17" w16cid:durableId="329069425">
    <w:abstractNumId w:val="18"/>
  </w:num>
  <w:num w:numId="18" w16cid:durableId="914555995">
    <w:abstractNumId w:val="14"/>
  </w:num>
  <w:num w:numId="19" w16cid:durableId="923614463">
    <w:abstractNumId w:val="12"/>
  </w:num>
  <w:num w:numId="20" w16cid:durableId="1063869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4D24B5"/>
    <w:rsid w:val="0008131C"/>
    <w:rsid w:val="004D24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C8460BD-E1A1-4A5A-BB3E-01CF9ABD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5056</Characters>
  <Application>Microsoft Office Word</Application>
  <DocSecurity>4</DocSecurity>
  <Lines>91</Lines>
  <Paragraphs>17</Paragraphs>
  <ScaleCrop>false</ScaleCrop>
  <HeadingPairs>
    <vt:vector size="2" baseType="variant">
      <vt:variant>
        <vt:lpstr>Rubrik</vt:lpstr>
      </vt:variant>
      <vt:variant>
        <vt:i4>1</vt:i4>
      </vt:variant>
    </vt:vector>
  </HeadingPairs>
  <TitlesOfParts>
    <vt:vector size="1" baseType="lpstr">
      <vt:lpstr>m1904</vt:lpstr>
    </vt:vector>
  </TitlesOfParts>
  <Company>Riksdagen</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m1904</dc:title>
  <dc:subject>m1904</dc:subject>
  <dc:creator>Riksdagen</dc:creator>
  <cp:keywords>Riksdagen</cp:keywords>
  <dc:description>Versal/gemen i partibeteckning. Gemen i tryck för 0910, versal för 1011 och nyare</dc:description>
  <cp:lastModifiedBy>Lars Brink</cp:lastModifiedBy>
  <cp:revision>2</cp:revision>
  <cp:lastPrinted>2011-02-16T13:47:00Z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Utvecklad reform för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Utvecklad reform för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20102011000000000109000019040069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20102011000000000109000019040069</vt:lpwstr>
  </property>
  <property fmtid="{D5CDD505-2E9C-101B-9397-08002B2CF9AE}" pid="50" name="nummer">
    <vt:lpwstr>318</vt:lpwstr>
  </property>
  <property fmtid="{D5CDD505-2E9C-101B-9397-08002B2CF9AE}" pid="51" name="utskottsbeteckning">
    <vt:lpwstr>C</vt:lpwstr>
  </property>
  <property fmtid="{D5CDD505-2E9C-101B-9397-08002B2CF9AE}" pid="52" name="GlobalUID">
    <vt:lpwstr>{22C40AA2-F245-4529-92C4-E3190FDCD3AE}</vt:lpwstr>
  </property>
  <property fmtid="{D5CDD505-2E9C-101B-9397-08002B2CF9AE}" pid="53" name="Överföringar">
    <vt:i4>0</vt:i4>
  </property>
  <property fmtid="{D5CDD505-2E9C-101B-9397-08002B2CF9AE}" pid="54" name="Checksum">
    <vt:lpwstr>*0019010611168*</vt:lpwstr>
  </property>
  <property fmtid="{D5CDD505-2E9C-101B-9397-08002B2CF9AE}" pid="55" name="skuggnummer">
    <vt:lpwstr>2220</vt:lpwstr>
  </property>
  <property fmtid="{D5CDD505-2E9C-101B-9397-08002B2CF9AE}" pid="56" name="urixVersion">
    <vt:lpwstr>4.3.2.0</vt:lpwstr>
  </property>
  <property fmtid="{D5CDD505-2E9C-101B-9397-08002B2CF9AE}" pid="57" name="urixOrigin">
    <vt:lpwstr>110216 14:48:09.277</vt:lpwstr>
  </property>
  <property fmtid="{D5CDD505-2E9C-101B-9397-08002B2CF9AE}" pid="58" name="urixGuid">
    <vt:lpwstr>{3C13AD98-AB41-4B70-900D-0616547DB9C1}</vt:lpwstr>
  </property>
</Properties>
</file>