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763" w:rsidRPr="00274763" w:rsidRDefault="00274763">
      <w:pPr>
        <w:pStyle w:val="Frslagsrubrik"/>
      </w:pPr>
      <w:r w:rsidRPr="00274763">
        <w:t>Förslag till riksdagsbeslut</w:t>
      </w:r>
    </w:p>
    <w:p w:rsidR="00274763" w:rsidRPr="00274763" w:rsidRDefault="00274763">
      <w:pPr>
        <w:pStyle w:val="Hemstlatt"/>
        <w:ind w:left="0"/>
      </w:pPr>
      <w:r w:rsidRPr="00274763">
        <w:t>Riksdagen tillkännager för regeringen som sin mening vad som anförs i motionen om att instruera Sjöfartsverket att ändra sitt tol</w:t>
      </w:r>
      <w:r w:rsidRPr="00274763">
        <w:t>k</w:t>
      </w:r>
      <w:r w:rsidRPr="00274763">
        <w:t>ningsbeslut av EG-direktivet 98/18/EG om säkerhetsbestämmelser och säke</w:t>
      </w:r>
      <w:r w:rsidRPr="00274763">
        <w:t>r</w:t>
      </w:r>
      <w:r w:rsidRPr="00274763">
        <w:t>hetsnormer för passagerartrafik mot bakgrund av den vikt äldre fartyg kan ha för turismen och skärgårdsboendes utkomstmöjligheter i skärgå</w:t>
      </w:r>
      <w:r w:rsidRPr="00274763">
        <w:t>r</w:t>
      </w:r>
      <w:r w:rsidRPr="00274763">
        <w:t>den.</w:t>
      </w:r>
    </w:p>
    <w:p w:rsidR="00274763" w:rsidRPr="00274763" w:rsidRDefault="00274763">
      <w:pPr>
        <w:pStyle w:val="Rubrik1"/>
      </w:pPr>
      <w:r w:rsidRPr="00274763">
        <w:t>Motivering</w:t>
      </w:r>
    </w:p>
    <w:p w:rsidR="00274763" w:rsidRPr="00274763" w:rsidRDefault="00274763">
      <w:r w:rsidRPr="00274763">
        <w:t>Äldre, äkta och unika ångbåtar spelar en mycket viktig roll för bilden av Stockholm och Stockholms skärgård, inte minst från turistiska utgångspun</w:t>
      </w:r>
      <w:r w:rsidRPr="00274763">
        <w:t>k</w:t>
      </w:r>
      <w:r w:rsidRPr="00274763">
        <w:t>ter.</w:t>
      </w:r>
    </w:p>
    <w:p w:rsidR="00274763" w:rsidRPr="00274763" w:rsidRDefault="00274763">
      <w:pPr>
        <w:pStyle w:val="Normaltindrag"/>
      </w:pPr>
      <w:r w:rsidRPr="00274763">
        <w:t>Ännu finns bland dessa traditionsfartyg ett antal fartyg i trafik eller under reparation (byggår och namn):</w:t>
      </w:r>
    </w:p>
    <w:p w:rsidR="00274763" w:rsidRPr="00274763" w:rsidRDefault="00274763">
      <w:r w:rsidRPr="00274763">
        <w:t>1866 bogserbåten S/S Robert.</w:t>
      </w:r>
    </w:p>
    <w:p w:rsidR="00274763" w:rsidRPr="00274763" w:rsidRDefault="00274763">
      <w:pPr>
        <w:spacing w:before="0"/>
      </w:pPr>
      <w:r w:rsidRPr="00274763">
        <w:t>1880 passagerarfartyget S/S Ejdern.</w:t>
      </w:r>
    </w:p>
    <w:p w:rsidR="00274763" w:rsidRPr="00274763" w:rsidRDefault="00274763">
      <w:pPr>
        <w:spacing w:before="0"/>
      </w:pPr>
      <w:r w:rsidRPr="00274763">
        <w:t>1897 ångfärjan S/S Djurgården 3.</w:t>
      </w:r>
    </w:p>
    <w:p w:rsidR="00274763" w:rsidRPr="00274763" w:rsidRDefault="00274763">
      <w:pPr>
        <w:spacing w:before="0"/>
      </w:pPr>
      <w:r w:rsidRPr="00274763">
        <w:t>1897 passagerarslupen S/S Frithiof.</w:t>
      </w:r>
    </w:p>
    <w:p w:rsidR="00274763" w:rsidRPr="00274763" w:rsidRDefault="00274763">
      <w:pPr>
        <w:spacing w:before="0"/>
      </w:pPr>
      <w:r w:rsidRPr="00274763">
        <w:t>1898 timmerbogserbåten S/S Östa.</w:t>
      </w:r>
    </w:p>
    <w:p w:rsidR="00274763" w:rsidRPr="00274763" w:rsidRDefault="00274763">
      <w:pPr>
        <w:spacing w:before="0"/>
      </w:pPr>
      <w:r w:rsidRPr="00274763">
        <w:t>1900 passagerarfartyget S/S Norrtelje.</w:t>
      </w:r>
    </w:p>
    <w:p w:rsidR="00274763" w:rsidRPr="00274763" w:rsidRDefault="00274763">
      <w:pPr>
        <w:spacing w:before="0"/>
      </w:pPr>
      <w:r w:rsidRPr="00274763">
        <w:t>1901 passagerarslupen S/S Tärnan.</w:t>
      </w:r>
    </w:p>
    <w:p w:rsidR="00274763" w:rsidRPr="00274763" w:rsidRDefault="00274763">
      <w:pPr>
        <w:spacing w:before="0"/>
      </w:pPr>
      <w:r w:rsidRPr="00274763">
        <w:t>1903 passagerarfartyget S/S Mariefred.</w:t>
      </w:r>
    </w:p>
    <w:p w:rsidR="00274763" w:rsidRPr="00274763" w:rsidRDefault="00274763">
      <w:pPr>
        <w:spacing w:before="0"/>
      </w:pPr>
      <w:r w:rsidRPr="00274763">
        <w:t>1908 passagerarfartyget S/S Storskär.</w:t>
      </w:r>
    </w:p>
    <w:p w:rsidR="00274763" w:rsidRPr="00274763" w:rsidRDefault="00274763">
      <w:pPr>
        <w:spacing w:before="0"/>
      </w:pPr>
      <w:r w:rsidRPr="00274763">
        <w:t>1909 passagerarfartyget S/S Drottningholm.</w:t>
      </w:r>
    </w:p>
    <w:p w:rsidR="00274763" w:rsidRPr="00274763" w:rsidRDefault="00274763">
      <w:pPr>
        <w:spacing w:before="0"/>
      </w:pPr>
      <w:r w:rsidRPr="00274763">
        <w:t>1910 passagerarfartyget S/S Norrskär.</w:t>
      </w:r>
    </w:p>
    <w:p w:rsidR="00274763" w:rsidRPr="00274763" w:rsidRDefault="00274763">
      <w:pPr>
        <w:spacing w:before="0"/>
      </w:pPr>
      <w:r w:rsidRPr="00274763">
        <w:t>1911 passagerarfartyget S/S Blidösund.</w:t>
      </w:r>
    </w:p>
    <w:p w:rsidR="00274763" w:rsidRPr="00274763" w:rsidRDefault="00274763">
      <w:pPr>
        <w:spacing w:before="0"/>
      </w:pPr>
      <w:r w:rsidRPr="00274763">
        <w:t>1915 hamnisbrytaren S/S Sankt Erik.</w:t>
      </w:r>
    </w:p>
    <w:p w:rsidR="00274763" w:rsidRPr="00274763" w:rsidRDefault="00274763">
      <w:pPr>
        <w:spacing w:before="0"/>
      </w:pPr>
      <w:r w:rsidRPr="00274763">
        <w:t>1925 passagerarfartyget S/S Saltsjön.</w:t>
      </w:r>
    </w:p>
    <w:p w:rsidR="00274763" w:rsidRPr="00274763" w:rsidRDefault="00274763">
      <w:pPr>
        <w:spacing w:before="0"/>
      </w:pPr>
      <w:r w:rsidRPr="00274763">
        <w:t>1929 lotsbåten S/S Orion.</w:t>
      </w:r>
    </w:p>
    <w:p w:rsidR="00274763" w:rsidRPr="00274763" w:rsidRDefault="00274763">
      <w:r w:rsidRPr="00274763">
        <w:lastRenderedPageBreak/>
        <w:t>Av särskilt intresse är i detta sammanhang S/S Blidösund. Orsaken är att detta traditionsfartyg genom en svensk myndighetstolkning av ett EG-direktiv förhindras att gå på djupt vatten. Om fara förelåg att fartyget skulle riskera passagerares välfärd, skulle myndighetskrånglet kunna försvaras och förstås. Nu framstår det som blott och bart klåfingrighet i kombination med paragra</w:t>
      </w:r>
      <w:r w:rsidRPr="00274763">
        <w:t>f</w:t>
      </w:r>
      <w:r w:rsidRPr="00274763">
        <w:t>rytteri.</w:t>
      </w:r>
    </w:p>
    <w:p w:rsidR="00274763" w:rsidRPr="00274763" w:rsidRDefault="00274763">
      <w:pPr>
        <w:pStyle w:val="Normaltindrag"/>
      </w:pPr>
      <w:r w:rsidRPr="00274763">
        <w:t xml:space="preserve">Enligt vår mening bör regeringen instruera Sjöfartsverket att ändra sitt tolkningsbeslut av </w:t>
      </w:r>
      <w:r w:rsidRPr="00274763">
        <w:rPr>
          <w:i/>
          <w:iCs/>
        </w:rPr>
        <w:t>EG-direktivet 98/18/EG om säkerhetsbestämmelser och säkerhetsnormer för passagerartrafik</w:t>
      </w:r>
      <w:r w:rsidRPr="00274763">
        <w:t xml:space="preserve"> mot bakgrund av den vikt äldre fartyg kan ha för turismen och skärgårdsboendes utkomstmöjligheter.</w:t>
      </w:r>
    </w:p>
    <w:p w:rsidR="00274763" w:rsidRPr="00274763" w:rsidRDefault="00274763">
      <w:pPr>
        <w:pStyle w:val="Normaltindrag"/>
      </w:pPr>
      <w:r w:rsidRPr="00274763">
        <w:t>För Stockholms skärgård – och inte minst den del som omfattas av Fur</w:t>
      </w:r>
      <w:r w:rsidRPr="00274763">
        <w:t>u</w:t>
      </w:r>
      <w:r w:rsidRPr="00274763">
        <w:t>sundsledens många kobbar och skär – är detta av extrem vikt, för bilden av denna vackra del av vårt land men allra mest för de boendes utkomstmöjli</w:t>
      </w:r>
      <w:r w:rsidRPr="00274763">
        <w:t>g</w:t>
      </w:r>
      <w:r w:rsidRPr="00274763">
        <w:t>heter. Det är orimligt att en myndighetstolkning skall leda till direkta näring</w:t>
      </w:r>
      <w:r w:rsidRPr="00274763">
        <w:t>s</w:t>
      </w:r>
      <w:r w:rsidRPr="00274763">
        <w:t>förbud. Skulle däremot brister i s/s Blidösund eller andra traditionsfartyg föreligga så att säkerheten skulle vara i fara för passagerare eller personal, skall naturligtvis Sjöfartsverket utfärda nyttjandeförbud – alldeles oavsett om fartygen är helt nya, 99 eller rent av 100 år.</w:t>
      </w:r>
    </w:p>
    <w:p w:rsidR="00274763" w:rsidRPr="00274763" w:rsidRDefault="00274763">
      <w:pPr>
        <w:pStyle w:val="Normaltindrag"/>
      </w:pPr>
      <w:r w:rsidRPr="00274763">
        <w:t>T</w:t>
      </w:r>
      <w:r w:rsidRPr="00274763">
        <w:t>rafikutskottet (2008/09:TU12) hade vänligheten att klargöra vad ett fa</w:t>
      </w:r>
      <w:r w:rsidRPr="00274763">
        <w:t>r</w:t>
      </w:r>
      <w:r w:rsidRPr="00274763">
        <w:t xml:space="preserve">tyg är och hur de kan delas in, av ostridig betydelse för s/s Blidösund: ”Ett fartyg är en farkost som är avsedd att användas till sjöss och som har skrov och konstruktiv styrförmåga (t.ex. ett roder). Enligt sjölagen delas fartyg in i skepp och båtar. Fartyg som har en största längd av minst </w:t>
      </w:r>
      <w:smartTag w:uri="urn:schemas-microsoft-com:office:smarttags" w:element="metricconverter">
        <w:smartTagPr>
          <w:attr w:name="ProductID" w:val="12 meter"/>
        </w:smartTagPr>
        <w:r w:rsidRPr="00274763">
          <w:t>12 meter</w:t>
        </w:r>
      </w:smartTag>
      <w:r w:rsidRPr="00274763">
        <w:t xml:space="preserve"> och en största bredd av minst </w:t>
      </w:r>
      <w:smartTag w:uri="urn:schemas-microsoft-com:office:smarttags" w:element="metricconverter">
        <w:smartTagPr>
          <w:attr w:name="ProductID" w:val="4 meter"/>
        </w:smartTagPr>
        <w:r w:rsidRPr="00274763">
          <w:t>4 meter</w:t>
        </w:r>
      </w:smartTag>
      <w:r w:rsidRPr="00274763">
        <w:t xml:space="preserve"> kallas skepp. Mindre fartyg kallas båt. Alla fartyg måste ha tillräcklig styrka, täthet och stabilit</w:t>
      </w:r>
      <w:r w:rsidRPr="00274763">
        <w:t>et samt godtagbar styri</w:t>
      </w:r>
      <w:r w:rsidRPr="00274763">
        <w:t>n</w:t>
      </w:r>
      <w:r w:rsidRPr="00274763">
        <w:t>rättning med hänsyn till fartområde och användning av fartyget.”Vidare u</w:t>
      </w:r>
      <w:r w:rsidRPr="00274763">
        <w:t>n</w:t>
      </w:r>
      <w:r w:rsidRPr="00274763">
        <w:t>derströk trafikutskottet att när det gäller äldre fartyg delas de in i dels såd</w:t>
      </w:r>
      <w:r w:rsidRPr="00274763">
        <w:t>a</w:t>
      </w:r>
      <w:r w:rsidRPr="00274763">
        <w:t>na fartyg som drivs av frivilligorganisationer och inte används kommersiellt, traditionsfartyg, dels de som drivs kommersiellt. Vilka de första är beslutas av Sjöfartshistoria museet.</w:t>
      </w:r>
    </w:p>
    <w:p w:rsidR="00274763" w:rsidRPr="00274763" w:rsidRDefault="00274763">
      <w:pPr>
        <w:pStyle w:val="Normaltindrag"/>
      </w:pPr>
      <w:r w:rsidRPr="00274763">
        <w:t>För de andra gäller dels Sjöfartsverkets föreskrifter och allmänna råd om skrovkonstruktion, fribord och stabilitet (SJÖFS 2006:1), dels regleringen om</w:t>
      </w:r>
      <w:r w:rsidRPr="00274763">
        <w:t xml:space="preserve"> fartområden.</w:t>
      </w:r>
    </w:p>
    <w:p w:rsidR="00274763" w:rsidRPr="00274763" w:rsidRDefault="00274763">
      <w:pPr>
        <w:pStyle w:val="Normaltindrag"/>
      </w:pPr>
      <w:r w:rsidRPr="00274763">
        <w:t>Därtill kommer EG:s direktiv 98/18/EG om säkerhetsbestämmelser och säkerhetsnormer för passagerartrafik och som innefattar möjligheter till u</w:t>
      </w:r>
      <w:r w:rsidRPr="00274763">
        <w:t>n</w:t>
      </w:r>
      <w:r w:rsidRPr="00274763">
        <w:t>dantag för traditionsfartyg. Men det är här problemet för s/s Blidösund up</w:t>
      </w:r>
      <w:r w:rsidRPr="00274763">
        <w:t>p</w:t>
      </w:r>
      <w:r w:rsidRPr="00274763">
        <w:t>står: Sverige har genom Sjöfartsverket, i motsats till andra länder, valt att inte tillämpa dessa undantag! Vi anser att s/s Blidösund genast – och senast till 100-årsjubileet 2011 – skall tillåtas trafikera djupa vatten. I mer än 90 år har Blidösund haft rätt till oinskränkt rörelsefrihet och bör nu åter befrias från de rörelsebegränsningar som Sjöfartsverket med hänvisning till EG-direktivet från 1998 ålagt fartyget.</w:t>
      </w:r>
    </w:p>
    <w:p w:rsidR="00274763" w:rsidRPr="00274763" w:rsidRDefault="00274763">
      <w:pPr>
        <w:pStyle w:val="Normaltindrag"/>
      </w:pPr>
      <w:r w:rsidRPr="00274763">
        <w:t xml:space="preserve">Den 15 april </w:t>
      </w:r>
      <w:r w:rsidRPr="00274763">
        <w:t>2009 behandlade 2008/09 års riksmöte ett motsvarande fö</w:t>
      </w:r>
      <w:r w:rsidRPr="00274763">
        <w:t>r</w:t>
      </w:r>
      <w:r w:rsidRPr="00274763">
        <w:t>slag. Det nya som då inträffade var att riksmötet beslöt godkänna en ny mot</w:t>
      </w:r>
      <w:r w:rsidRPr="00274763">
        <w:t>i</w:t>
      </w:r>
      <w:r w:rsidRPr="00274763">
        <w:t>vering från kulturutskottet för att inte ge sin mening om förslaget att instruera Sjöfartsverket att inte inskränka rörelsebegränsningen regeringen till känna. Tidigare har ständigt hänvisats till Sjöfartsverkets tolkning av EG-direktivet, nu blev motiveringen denna: ”s/s Blidösund har möjlighet att köra i berörda vatten, dock under förutsättning av ett visst högsta antal passa</w:t>
      </w:r>
      <w:r w:rsidRPr="00274763">
        <w:t>gerare.” Resu</w:t>
      </w:r>
      <w:r w:rsidRPr="00274763">
        <w:t>l</w:t>
      </w:r>
      <w:r w:rsidRPr="00274763">
        <w:t>tat: Vi är bäst i klassen i hela Europeiska unionen – men till priset av att bl.a. s/s Blidösund inte får trafikera vatten där fartyget kört olycksfritt under 90 år tidigare. Så nu är det klarlagt: Det handlar om en tolkning av ett EG-direktv. Sverige skulle mycket väl – om man ville – kunna tillåta s/s Blidösund och andra liknande fartyg (om det skulle vara aktuellt) att gå i andra vatten än de nu tillåts. Nu får äldre fartyg enligt Sjöfartsverkets tolkning bara utnyttjas kommersiellt i farto</w:t>
      </w:r>
      <w:r w:rsidRPr="00274763">
        <w:t>mråde E, dvs. farvatten som är skyddade från påverkan av vågor från öppet hav, men inte i fartområde längre ut från kusten. Men om s/s Blidösund nu klarat det senare under 90 år – varför skall ett EU-direktiv sätta stopp för detta nu? Och tror någon att ägaren till s/s Blidösund vill köra i något vatten, oavsett hur långt ut från land det ligger eller hur djupt det är, om passagerarnas säkerhet skulle vara i fara!?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4763">
        <w:trPr>
          <w:cantSplit/>
        </w:trPr>
        <w:tc>
          <w:tcPr>
            <w:tcW w:w="3046" w:type="dxa"/>
          </w:tcPr>
          <w:p w:rsidR="00274763" w:rsidRPr="00274763" w:rsidRDefault="00274763">
            <w:pPr>
              <w:pStyle w:val="UnderskriftDatum"/>
              <w:spacing w:before="240"/>
            </w:pPr>
            <w:r w:rsidRPr="00274763">
              <w:t>Stockholm den 1 oktober 2009</w:t>
            </w:r>
          </w:p>
        </w:tc>
        <w:tc>
          <w:tcPr>
            <w:tcW w:w="3047" w:type="dxa"/>
          </w:tcPr>
          <w:p w:rsidR="00274763" w:rsidRPr="00274763" w:rsidRDefault="00274763">
            <w:pPr>
              <w:pStyle w:val="Underskrifter"/>
              <w:spacing w:before="240"/>
            </w:pPr>
          </w:p>
        </w:tc>
      </w:tr>
      <w:tr w:rsidR="00000000" w:rsidRPr="00274763">
        <w:trPr>
          <w:cantSplit/>
        </w:trPr>
        <w:tc>
          <w:tcPr>
            <w:tcW w:w="3046" w:type="dxa"/>
          </w:tcPr>
          <w:p w:rsidR="00274763" w:rsidRPr="00274763" w:rsidRDefault="00274763">
            <w:pPr>
              <w:pStyle w:val="Underskrifter"/>
            </w:pPr>
            <w:r w:rsidRPr="00274763">
              <w:t>Gunnar Andrén (fp)</w:t>
            </w:r>
          </w:p>
        </w:tc>
        <w:tc>
          <w:tcPr>
            <w:tcW w:w="3046" w:type="dxa"/>
          </w:tcPr>
          <w:p w:rsidR="00274763" w:rsidRPr="00274763" w:rsidRDefault="00274763">
            <w:pPr>
              <w:pStyle w:val="Underskrifter"/>
            </w:pPr>
            <w:r w:rsidRPr="00274763">
              <w:t>Barbro Westerholm (fp)</w:t>
            </w:r>
          </w:p>
        </w:tc>
      </w:tr>
    </w:tbl>
    <w:p w:rsidR="00274763" w:rsidRPr="00274763" w:rsidRDefault="00274763">
      <w:pPr>
        <w:pStyle w:val="Normaltindrag"/>
      </w:pPr>
    </w:p>
    <w:sectPr w:rsidR="00000000" w:rsidRPr="00274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763" w:rsidRPr="00274763" w:rsidRDefault="00274763">
      <w:r w:rsidRPr="00274763">
        <w:separator/>
      </w:r>
    </w:p>
  </w:endnote>
  <w:endnote w:type="continuationSeparator" w:id="0">
    <w:p w:rsidR="00274763" w:rsidRPr="00274763" w:rsidRDefault="00274763">
      <w:r w:rsidRPr="002747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763" w:rsidRPr="00274763" w:rsidRDefault="00274763">
    <w:pPr>
      <w:pStyle w:val="Sidfot"/>
    </w:pPr>
    <w:r w:rsidRPr="002747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69692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763" w:rsidRDefault="002747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763" w:rsidRDefault="002747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763" w:rsidRPr="00274763" w:rsidRDefault="00274763">
    <w:pPr>
      <w:pStyle w:val="Sidfot"/>
    </w:pPr>
    <w:r w:rsidRPr="002747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3494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763" w:rsidRDefault="002747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763" w:rsidRDefault="002747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763" w:rsidRPr="00274763" w:rsidRDefault="00274763">
    <w:pPr>
      <w:pStyle w:val="Sidfot"/>
    </w:pPr>
    <w:r w:rsidRPr="002747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61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763" w:rsidRDefault="002747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763" w:rsidRDefault="002747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763" w:rsidRPr="00274763" w:rsidRDefault="00274763">
      <w:r w:rsidRPr="00274763">
        <w:separator/>
      </w:r>
    </w:p>
  </w:footnote>
  <w:footnote w:type="continuationSeparator" w:id="0">
    <w:p w:rsidR="00274763" w:rsidRPr="00274763" w:rsidRDefault="00274763">
      <w:r w:rsidRPr="002747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763" w:rsidRPr="00274763" w:rsidRDefault="00274763">
    <w:pPr>
      <w:pStyle w:val="Sidhuvud"/>
    </w:pPr>
    <w:r w:rsidRPr="002747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231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763" w:rsidRDefault="002747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763" w:rsidRDefault="002747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763" w:rsidRPr="00274763" w:rsidRDefault="00274763">
    <w:pPr>
      <w:pStyle w:val="Sidhuvud"/>
    </w:pPr>
    <w:r w:rsidRPr="002747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8372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763" w:rsidRDefault="002747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763" w:rsidRDefault="002747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763" w:rsidRPr="00274763" w:rsidRDefault="00274763">
    <w:pPr>
      <w:pStyle w:val="FSHNormal"/>
      <w:tabs>
        <w:tab w:val="right" w:pos="5840"/>
      </w:tabs>
    </w:pPr>
    <w:r w:rsidRPr="00274763">
      <w:br/>
    </w:r>
    <w:r w:rsidRPr="00274763">
      <w:fldChar w:fldCharType="begin" w:fldLock="1"/>
    </w:r>
    <w:r w:rsidRPr="00274763">
      <w:instrText xml:space="preserve"> DOCPROPERTY</w:instrText>
    </w:r>
    <w:r w:rsidRPr="00274763">
      <w:rPr>
        <w:sz w:val="18"/>
      </w:rPr>
      <w:instrText xml:space="preserve"> "YearUser" *\charformat </w:instrText>
    </w:r>
    <w:r w:rsidRPr="00274763">
      <w:fldChar w:fldCharType="separate"/>
    </w:r>
    <w:r w:rsidRPr="00274763">
      <w:t>2009/10</w:t>
    </w:r>
    <w:r w:rsidRPr="00274763">
      <w:fldChar w:fldCharType="end"/>
    </w:r>
    <w:r w:rsidRPr="00274763">
      <w:t xml:space="preserve"> </w:t>
    </w:r>
    <w:r w:rsidRPr="00274763">
      <w:tab/>
      <w:t xml:space="preserve">mnr: </w:t>
    </w:r>
    <w:r w:rsidRPr="00274763">
      <w:fldChar w:fldCharType="begin" w:fldLock="1"/>
    </w:r>
    <w:r w:rsidRPr="00274763">
      <w:instrText xml:space="preserve"> DOCPROPERTY</w:instrText>
    </w:r>
    <w:r w:rsidRPr="00274763">
      <w:rPr>
        <w:sz w:val="18"/>
      </w:rPr>
      <w:instrText xml:space="preserve"> "Motionsnummer" *\charformat </w:instrText>
    </w:r>
    <w:r w:rsidRPr="00274763">
      <w:fldChar w:fldCharType="separate"/>
    </w:r>
    <w:r w:rsidRPr="00274763">
      <w:t>T411</w:t>
    </w:r>
    <w:r w:rsidRPr="00274763">
      <w:fldChar w:fldCharType="end"/>
    </w:r>
    <w:r w:rsidRPr="00274763">
      <w:br/>
    </w:r>
    <w:r w:rsidRPr="00274763">
      <w:fldChar w:fldCharType="begin" w:fldLock="1"/>
    </w:r>
    <w:r w:rsidRPr="00274763">
      <w:instrText xml:space="preserve"> DOCPROPERTY</w:instrText>
    </w:r>
    <w:r w:rsidRPr="00274763">
      <w:rPr>
        <w:sz w:val="18"/>
      </w:rPr>
      <w:instrText xml:space="preserve"> "Samling" *\charformat </w:instrText>
    </w:r>
    <w:r w:rsidRPr="00274763">
      <w:fldChar w:fldCharType="end"/>
    </w:r>
    <w:r w:rsidRPr="00274763">
      <w:tab/>
      <w:t xml:space="preserve">pnr: </w:t>
    </w:r>
    <w:r w:rsidRPr="00274763">
      <w:fldChar w:fldCharType="begin" w:fldLock="1"/>
    </w:r>
    <w:r w:rsidRPr="00274763">
      <w:instrText xml:space="preserve"> DOCPROPERTY</w:instrText>
    </w:r>
    <w:r w:rsidRPr="00274763">
      <w:rPr>
        <w:sz w:val="18"/>
      </w:rPr>
      <w:instrText xml:space="preserve"> "Partinummer" *\charformat </w:instrText>
    </w:r>
    <w:r w:rsidRPr="00274763">
      <w:fldChar w:fldCharType="separate"/>
    </w:r>
    <w:r w:rsidRPr="00274763">
      <w:t>fp1379</w:t>
    </w:r>
    <w:r w:rsidRPr="00274763">
      <w:fldChar w:fldCharType="end"/>
    </w:r>
  </w:p>
  <w:p w:rsidR="00274763" w:rsidRPr="00274763" w:rsidRDefault="00274763">
    <w:pPr>
      <w:pStyle w:val="FSHRub1"/>
    </w:pPr>
    <w:r w:rsidRPr="00274763">
      <w:t>Motion till riksdagen</w:t>
    </w:r>
    <w:r w:rsidRPr="00274763">
      <w:br/>
    </w:r>
    <w:r w:rsidRPr="00274763">
      <w:fldChar w:fldCharType="begin" w:fldLock="1"/>
    </w:r>
    <w:r w:rsidRPr="00274763">
      <w:instrText xml:space="preserve"> DOCPROPERTY "YearUser" *\charformat </w:instrText>
    </w:r>
    <w:r w:rsidRPr="00274763">
      <w:fldChar w:fldCharType="separate"/>
    </w:r>
    <w:r w:rsidRPr="00274763">
      <w:t>2009/10</w:t>
    </w:r>
    <w:r w:rsidRPr="00274763">
      <w:fldChar w:fldCharType="end"/>
    </w:r>
    <w:r w:rsidRPr="00274763">
      <w:t>:</w:t>
    </w:r>
    <w:r w:rsidRPr="00274763">
      <w:fldChar w:fldCharType="begin" w:fldLock="1"/>
    </w:r>
    <w:r w:rsidRPr="00274763">
      <w:instrText xml:space="preserve"> DOCPROPERTY "Motionsnummer" *\charformat </w:instrText>
    </w:r>
    <w:r w:rsidRPr="00274763">
      <w:fldChar w:fldCharType="separate"/>
    </w:r>
    <w:r w:rsidRPr="00274763">
      <w:t>T411</w:t>
    </w:r>
    <w:r w:rsidRPr="00274763">
      <w:fldChar w:fldCharType="end"/>
    </w:r>
  </w:p>
  <w:p w:rsidR="00274763" w:rsidRPr="00274763" w:rsidRDefault="00274763">
    <w:pPr>
      <w:pStyle w:val="FSHNormalS5"/>
    </w:pPr>
    <w:r w:rsidRPr="00274763">
      <w:fldChar w:fldCharType="begin" w:fldLock="1"/>
    </w:r>
    <w:r w:rsidRPr="00274763">
      <w:instrText xml:space="preserve"> DOCPROPERTY "MotionarText" *\charformat </w:instrText>
    </w:r>
    <w:r w:rsidRPr="00274763">
      <w:fldChar w:fldCharType="separate"/>
    </w:r>
    <w:r w:rsidRPr="00274763">
      <w:t>av Gunnar Andrén och Barbro Westerholm (fp)</w:t>
    </w:r>
    <w:r w:rsidRPr="00274763">
      <w:fldChar w:fldCharType="end"/>
    </w:r>
    <w:r w:rsidRPr="00274763">
      <w:br/>
    </w:r>
    <w:r w:rsidRPr="00274763">
      <w:fldChar w:fldCharType="begin" w:fldLock="1"/>
    </w:r>
    <w:r w:rsidRPr="00274763">
      <w:instrText xml:space="preserve"> DOCPROPERTY "SvarFrasKort" *\charformat </w:instrText>
    </w:r>
    <w:r w:rsidRPr="00274763">
      <w:fldChar w:fldCharType="end"/>
    </w:r>
  </w:p>
  <w:p w:rsidR="00274763" w:rsidRPr="00274763" w:rsidRDefault="00274763">
    <w:pPr>
      <w:pStyle w:val="FSHTitel"/>
    </w:pPr>
    <w:r w:rsidRPr="00274763">
      <w:fldChar w:fldCharType="begin" w:fldLock="1"/>
    </w:r>
    <w:r w:rsidRPr="00274763">
      <w:instrText xml:space="preserve"> DOCPROPERTY</w:instrText>
    </w:r>
    <w:r w:rsidRPr="00274763">
      <w:rPr>
        <w:sz w:val="18"/>
      </w:rPr>
      <w:instrText xml:space="preserve"> "RubrikSvar" *\charformat </w:instrText>
    </w:r>
    <w:r w:rsidRPr="00274763">
      <w:fldChar w:fldCharType="separate"/>
    </w:r>
    <w:r w:rsidRPr="00274763">
      <w:t xml:space="preserve">Blidösund </w:t>
    </w:r>
    <w:r w:rsidRPr="00274763">
      <w:fldChar w:fldCharType="end"/>
    </w:r>
  </w:p>
  <w:p w:rsidR="00274763" w:rsidRPr="00274763" w:rsidRDefault="00274763">
    <w:pPr>
      <w:pStyle w:val="Normal00"/>
    </w:pPr>
  </w:p>
  <w:p w:rsidR="00274763" w:rsidRPr="00274763" w:rsidRDefault="002747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6678834">
    <w:abstractNumId w:val="8"/>
  </w:num>
  <w:num w:numId="2" w16cid:durableId="1873155373">
    <w:abstractNumId w:val="9"/>
  </w:num>
  <w:num w:numId="3" w16cid:durableId="160392804">
    <w:abstractNumId w:val="8"/>
  </w:num>
  <w:num w:numId="4" w16cid:durableId="1545826876">
    <w:abstractNumId w:val="9"/>
  </w:num>
  <w:num w:numId="5" w16cid:durableId="1244536098">
    <w:abstractNumId w:val="13"/>
  </w:num>
  <w:num w:numId="6" w16cid:durableId="1361853896">
    <w:abstractNumId w:val="10"/>
  </w:num>
  <w:num w:numId="7" w16cid:durableId="1843737369">
    <w:abstractNumId w:val="11"/>
  </w:num>
  <w:num w:numId="8" w16cid:durableId="2074699941">
    <w:abstractNumId w:val="12"/>
  </w:num>
  <w:num w:numId="9" w16cid:durableId="1448695446">
    <w:abstractNumId w:val="8"/>
  </w:num>
  <w:num w:numId="10" w16cid:durableId="2083598715">
    <w:abstractNumId w:val="3"/>
  </w:num>
  <w:num w:numId="11" w16cid:durableId="194276761">
    <w:abstractNumId w:val="2"/>
  </w:num>
  <w:num w:numId="12" w16cid:durableId="1303268073">
    <w:abstractNumId w:val="1"/>
  </w:num>
  <w:num w:numId="13" w16cid:durableId="194656779">
    <w:abstractNumId w:val="0"/>
  </w:num>
  <w:num w:numId="14" w16cid:durableId="2099131114">
    <w:abstractNumId w:val="9"/>
  </w:num>
  <w:num w:numId="15" w16cid:durableId="1836530602">
    <w:abstractNumId w:val="7"/>
  </w:num>
  <w:num w:numId="16" w16cid:durableId="663776568">
    <w:abstractNumId w:val="6"/>
  </w:num>
  <w:num w:numId="17" w16cid:durableId="1200361564">
    <w:abstractNumId w:val="5"/>
  </w:num>
  <w:num w:numId="18" w16cid:durableId="1034042422">
    <w:abstractNumId w:val="4"/>
  </w:num>
  <w:num w:numId="19" w16cid:durableId="820923650">
    <w:abstractNumId w:val="11"/>
  </w:num>
  <w:num w:numId="20" w16cid:durableId="312104479">
    <w:abstractNumId w:val="10"/>
  </w:num>
  <w:num w:numId="21" w16cid:durableId="684209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CD27396F-47DF-4A68-AB6F-9CA20261AD38},{E8629C65-A2B2-4A9B-8749-B2F77B6C1531}"/>
  </w:docVars>
  <w:rsids>
    <w:rsidRoot w:val="00045986"/>
    <w:rsid w:val="00045986"/>
    <w:rsid w:val="002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700A3B8-4FB1-453C-897D-C7CF2666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4828</Characters>
  <Application>Microsoft Office Word</Application>
  <DocSecurity>4</DocSecurity>
  <Lines>92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fp1379</vt:lpstr>
    </vt:vector>
  </TitlesOfParts>
  <Company>Riksdagen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fp1379</dc:title>
  <dc:subject>fp1379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2010-01-19T11:58:00Z</cp:lastPrinted>
  <dcterms:created xsi:type="dcterms:W3CDTF">2025-12-17T22:26:00Z</dcterms:created>
  <dcterms:modified xsi:type="dcterms:W3CDTF">2025-12-17T22:26:00Z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Blidösund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Blidösund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fp1379</vt:lpwstr>
  </property>
  <property fmtid="{D5CDD505-2E9C-101B-9397-08002B2CF9AE}" pid="18" name="ArbRubr">
    <vt:lpwstr>Blidösund - även på djupt vatten</vt:lpwstr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Andrén och Barbro Westerholm (fp)</vt:lpwstr>
  </property>
  <property fmtid="{D5CDD505-2E9C-101B-9397-08002B2CF9AE}" pid="26" name="MotionarLista">
    <vt:lpwstr>Andrén, Gunnar (fp)\Westerholm,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(fp), 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anders.ekberg@riksdagen.se</vt:lpwstr>
  </property>
  <property fmtid="{D5CDD505-2E9C-101B-9397-08002B2CF9AE}" pid="45" name="ReservUID">
    <vt:lpwstr>as0914aa</vt:lpwstr>
  </property>
  <property fmtid="{D5CDD505-2E9C-101B-9397-08002B2CF9AE}" pid="46" name="MotionID">
    <vt:lpwstr>20092010000001020112000013790069</vt:lpwstr>
  </property>
  <property fmtid="{D5CDD505-2E9C-101B-9397-08002B2CF9AE}" pid="47" name="datum">
    <vt:lpwstr>091001</vt:lpwstr>
  </property>
  <property fmtid="{D5CDD505-2E9C-101B-9397-08002B2CF9AE}" pid="48" name="avsändar-e-post">
    <vt:lpwstr>anders.ekberg@riksdagen.se</vt:lpwstr>
  </property>
  <property fmtid="{D5CDD505-2E9C-101B-9397-08002B2CF9AE}" pid="49" name="id">
    <vt:lpwstr>20092010000001020112000013790069</vt:lpwstr>
  </property>
  <property fmtid="{D5CDD505-2E9C-101B-9397-08002B2CF9AE}" pid="50" name="nummer">
    <vt:lpwstr>411</vt:lpwstr>
  </property>
  <property fmtid="{D5CDD505-2E9C-101B-9397-08002B2CF9AE}" pid="51" name="utskottsbeteckning">
    <vt:lpwstr>T</vt:lpwstr>
  </property>
  <property fmtid="{D5CDD505-2E9C-101B-9397-08002B2CF9AE}" pid="52" name="GlobalUID">
    <vt:lpwstr>{0C45112B-69AF-46D9-A2BF-DCA0C6F75514}</vt:lpwstr>
  </property>
  <property fmtid="{D5CDD505-2E9C-101B-9397-08002B2CF9AE}" pid="53" name="Överföringar">
    <vt:i4>0</vt:i4>
  </property>
  <property fmtid="{D5CDD505-2E9C-101B-9397-08002B2CF9AE}" pid="54" name="Checksum">
    <vt:lpwstr>*1011618593760*</vt:lpwstr>
  </property>
  <property fmtid="{D5CDD505-2E9C-101B-9397-08002B2CF9AE}" pid="55" name="skuggnummer">
    <vt:lpwstr>2507</vt:lpwstr>
  </property>
  <property fmtid="{D5CDD505-2E9C-101B-9397-08002B2CF9AE}" pid="56" name="urixVersion">
    <vt:lpwstr>4.1.0.6</vt:lpwstr>
  </property>
  <property fmtid="{D5CDD505-2E9C-101B-9397-08002B2CF9AE}" pid="57" name="urixOrigin">
    <vt:lpwstr>100119 13:05:41.393</vt:lpwstr>
  </property>
  <property fmtid="{D5CDD505-2E9C-101B-9397-08002B2CF9AE}" pid="58" name="urixGuid">
    <vt:lpwstr>{86CD0B99-C8BA-4CA8-B65B-E331C1294AD4}</vt:lpwstr>
  </property>
</Properties>
</file>