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70DC1" w:rsidRPr="00DD2D7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DD2D79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670DC1" w:rsidRPr="00DD2D79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i/>
                <w:sz w:val="18"/>
              </w:rPr>
            </w:pPr>
          </w:p>
        </w:tc>
      </w:tr>
      <w:tr w:rsidR="00670DC1" w:rsidRPr="00DD2D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816EB4" w:rsidRPr="00DD2D79" w:rsidRDefault="00816EB4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sz w:val="22"/>
              </w:rPr>
            </w:pPr>
            <w:r w:rsidRPr="00DD2D79">
              <w:rPr>
                <w:rFonts w:ascii="TradeGothic" w:hAnsi="TradeGothic"/>
                <w:sz w:val="22"/>
              </w:rPr>
              <w:t xml:space="preserve"> </w:t>
            </w:r>
          </w:p>
          <w:p w:rsidR="00670DC1" w:rsidRPr="00DD2D79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b/>
                <w:sz w:val="22"/>
              </w:rPr>
            </w:pPr>
            <w:r w:rsidRPr="00DD2D79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70DC1" w:rsidRPr="00DD2D7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70DC1" w:rsidRPr="00DD2D79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  <w:tc>
          <w:tcPr>
            <w:tcW w:w="1213" w:type="dxa"/>
          </w:tcPr>
          <w:p w:rsidR="00670DC1" w:rsidRPr="00DD2D79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  <w:tr w:rsidR="00670DC1" w:rsidRPr="00DD2D7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DD2D79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  <w:r w:rsidRPr="00DD2D79">
              <w:t>20</w:t>
            </w:r>
            <w:r w:rsidR="00A556A9" w:rsidRPr="00DD2D79">
              <w:t>10- 05- 2</w:t>
            </w:r>
            <w:r w:rsidR="005439DE" w:rsidRPr="00DD2D79">
              <w:t>8</w:t>
            </w:r>
          </w:p>
        </w:tc>
        <w:tc>
          <w:tcPr>
            <w:tcW w:w="2347" w:type="dxa"/>
            <w:gridSpan w:val="2"/>
          </w:tcPr>
          <w:p w:rsidR="00670DC1" w:rsidRPr="00DD2D79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  <w:tr w:rsidR="00670DC1" w:rsidRPr="00DD2D7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DD2D79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  <w:tc>
          <w:tcPr>
            <w:tcW w:w="2347" w:type="dxa"/>
            <w:gridSpan w:val="2"/>
          </w:tcPr>
          <w:p w:rsidR="00670DC1" w:rsidRPr="00DD2D79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70DC1" w:rsidRPr="00DD2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DD2D79" w:rsidRDefault="00670DC1" w:rsidP="008D743B">
            <w:pPr>
              <w:pStyle w:val="Avsndare"/>
              <w:framePr w:h="2483" w:wrap="notBeside" w:x="1504"/>
              <w:spacing w:line="240" w:lineRule="auto"/>
              <w:rPr>
                <w:b/>
                <w:i w:val="0"/>
                <w:sz w:val="22"/>
              </w:rPr>
            </w:pPr>
            <w:r w:rsidRPr="00DD2D79">
              <w:rPr>
                <w:b/>
                <w:i w:val="0"/>
                <w:sz w:val="22"/>
              </w:rPr>
              <w:t>Socialdepartementet</w:t>
            </w:r>
          </w:p>
        </w:tc>
      </w:tr>
      <w:tr w:rsidR="00670DC1" w:rsidRPr="00DD2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DD2D79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DD2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DD2D79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 w:rsidRPr="00DD2D79">
              <w:rPr>
                <w:bCs/>
                <w:iCs/>
              </w:rPr>
              <w:t>Socialförsäkringsenheten</w:t>
            </w:r>
          </w:p>
          <w:p w:rsidR="00816EB4" w:rsidRPr="00DD2D79" w:rsidRDefault="00816EB4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 w:rsidRPr="00DD2D79">
              <w:rPr>
                <w:bCs/>
                <w:iCs/>
              </w:rPr>
              <w:t>Lena Malmberg</w:t>
            </w:r>
          </w:p>
        </w:tc>
      </w:tr>
      <w:tr w:rsidR="00670DC1" w:rsidRPr="00DD2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DD2D79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DD2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DD2D79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DD2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DD2D79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DD2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DD2D79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DD2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DD2D79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DD2D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DD2D79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</w:tbl>
    <w:p w:rsidR="00670DC1" w:rsidRPr="00DD2D79" w:rsidRDefault="00670DC1" w:rsidP="008D743B">
      <w:pPr>
        <w:framePr w:w="4400" w:h="2523" w:wrap="notBeside" w:vAnchor="page" w:hAnchor="page" w:x="6453" w:y="2445"/>
        <w:spacing w:line="240" w:lineRule="auto"/>
        <w:ind w:left="142"/>
        <w:rPr>
          <w:b/>
        </w:rPr>
      </w:pPr>
    </w:p>
    <w:p w:rsidR="00670DC1" w:rsidRPr="00DD2D79" w:rsidRDefault="00670DC1" w:rsidP="00A556A9">
      <w:pPr>
        <w:pStyle w:val="RKrubrik"/>
        <w:pBdr>
          <w:bottom w:val="single" w:sz="6" w:space="1" w:color="auto"/>
        </w:pBdr>
        <w:spacing w:line="240" w:lineRule="auto"/>
      </w:pPr>
      <w:bookmarkStart w:id="0" w:name="bRubrik"/>
      <w:bookmarkEnd w:id="0"/>
      <w:r w:rsidRPr="00DD2D79">
        <w:t>EPSCO rådets möte den</w:t>
      </w:r>
      <w:r w:rsidR="00FA66EE" w:rsidRPr="00DD2D79">
        <w:t xml:space="preserve"> </w:t>
      </w:r>
      <w:r w:rsidR="00A556A9" w:rsidRPr="00DD2D79">
        <w:t>7 juni 2010</w:t>
      </w:r>
      <w:r w:rsidR="00891C3F" w:rsidRPr="00DD2D79">
        <w:t xml:space="preserve"> </w:t>
      </w:r>
      <w:r w:rsidR="00313201" w:rsidRPr="00DD2D79">
        <w:t xml:space="preserve"> – dagordningspunkt </w:t>
      </w:r>
      <w:r w:rsidR="00A556A9" w:rsidRPr="00DD2D79">
        <w:t>3</w:t>
      </w:r>
    </w:p>
    <w:p w:rsidR="00670DC1" w:rsidRPr="00DD2D79" w:rsidRDefault="00670DC1" w:rsidP="008D743B">
      <w:pPr>
        <w:pStyle w:val="RKnormal"/>
        <w:spacing w:line="240" w:lineRule="auto"/>
      </w:pPr>
    </w:p>
    <w:p w:rsidR="00E6480E" w:rsidRPr="00DD2D79" w:rsidRDefault="00E6480E" w:rsidP="00AE043A">
      <w:pPr>
        <w:pStyle w:val="RKnormal"/>
      </w:pPr>
      <w:r w:rsidRPr="00DD2D79">
        <w:t xml:space="preserve">Förslag till  rådets förordning  </w:t>
      </w:r>
      <w:r w:rsidR="00891C3F" w:rsidRPr="00DD2D79">
        <w:t xml:space="preserve">om utvidgning av reglerna i förordning (EG) nr 883/2004 och förordning (EG) nr </w:t>
      </w:r>
      <w:r w:rsidR="00AE043A" w:rsidRPr="00DD2D79">
        <w:t>987/2009</w:t>
      </w:r>
      <w:r w:rsidR="00891C3F" w:rsidRPr="00DD2D79">
        <w:t xml:space="preserve"> till att omfatta tredjelandsmedborgare som </w:t>
      </w:r>
      <w:r w:rsidR="0067579C" w:rsidRPr="00DD2D79">
        <w:t xml:space="preserve">enbart på grund av sin nationalitet </w:t>
      </w:r>
      <w:r w:rsidR="00891C3F" w:rsidRPr="00DD2D79">
        <w:t xml:space="preserve">inte redan omfattas av dessa bestämmelser. </w:t>
      </w:r>
    </w:p>
    <w:p w:rsidR="00BF29C0" w:rsidRPr="00DD2D79" w:rsidRDefault="00BF29C0" w:rsidP="003517D5">
      <w:pPr>
        <w:pStyle w:val="RKnormal"/>
      </w:pPr>
    </w:p>
    <w:p w:rsidR="00E6480E" w:rsidRPr="00DD2D79" w:rsidRDefault="00E6480E" w:rsidP="00A556A9">
      <w:pPr>
        <w:pStyle w:val="RKnormal"/>
      </w:pPr>
      <w:r w:rsidRPr="00DD2D79">
        <w:t>Dokument</w:t>
      </w:r>
      <w:r w:rsidR="003517D5" w:rsidRPr="00DD2D79">
        <w:t xml:space="preserve">: </w:t>
      </w:r>
      <w:r w:rsidR="00A556A9" w:rsidRPr="00DD2D79">
        <w:t>8152/10 LIMITE SOC 236</w:t>
      </w:r>
    </w:p>
    <w:p w:rsidR="00E6480E" w:rsidRPr="00DD2D79" w:rsidRDefault="00E6480E" w:rsidP="008D743B">
      <w:pPr>
        <w:pStyle w:val="RKnormal"/>
        <w:spacing w:line="240" w:lineRule="auto"/>
      </w:pPr>
    </w:p>
    <w:p w:rsidR="00816EB4" w:rsidRPr="00DD2D79" w:rsidRDefault="00E6480E" w:rsidP="0067579C">
      <w:pPr>
        <w:pStyle w:val="RKnormal"/>
        <w:spacing w:line="240" w:lineRule="auto"/>
      </w:pPr>
      <w:r w:rsidRPr="00DD2D79">
        <w:t>Tidigare dokument:</w:t>
      </w:r>
      <w:r w:rsidRPr="00DD2D79">
        <w:rPr>
          <w:color w:val="000000"/>
        </w:rPr>
        <w:t xml:space="preserve"> </w:t>
      </w:r>
      <w:r w:rsidR="00891C3F" w:rsidRPr="00DD2D79">
        <w:t>12166/07 SOC 287 (COM (2007) 439 final</w:t>
      </w:r>
      <w:r w:rsidR="0067579C" w:rsidRPr="00DD2D79">
        <w:t>,</w:t>
      </w:r>
      <w:r w:rsidR="00816EB4" w:rsidRPr="00DD2D79">
        <w:rPr>
          <w:rFonts w:ascii="Times New Roman" w:hAnsi="Times New Roman"/>
          <w:color w:val="000000"/>
        </w:rPr>
        <w:t xml:space="preserve"> f</w:t>
      </w:r>
      <w:r w:rsidR="00816EB4" w:rsidRPr="00DD2D79">
        <w:t>akta-PM socialdepartementet 200</w:t>
      </w:r>
      <w:r w:rsidR="00891C3F" w:rsidRPr="00DD2D79">
        <w:t>7</w:t>
      </w:r>
      <w:r w:rsidR="00816EB4" w:rsidRPr="00DD2D79">
        <w:t>/200</w:t>
      </w:r>
      <w:r w:rsidR="00891C3F" w:rsidRPr="00DD2D79">
        <w:t>8</w:t>
      </w:r>
      <w:r w:rsidR="00816EB4" w:rsidRPr="00DD2D79">
        <w:t xml:space="preserve"> FPM</w:t>
      </w:r>
    </w:p>
    <w:p w:rsidR="00644707" w:rsidRPr="00DD2D79" w:rsidRDefault="00644707" w:rsidP="008D743B">
      <w:pPr>
        <w:pStyle w:val="RKnormal"/>
        <w:spacing w:line="240" w:lineRule="auto"/>
      </w:pPr>
    </w:p>
    <w:p w:rsidR="00B312D4" w:rsidRPr="00DD2D79" w:rsidRDefault="00670DC1" w:rsidP="008D743B">
      <w:pPr>
        <w:pStyle w:val="RKrubrik"/>
        <w:spacing w:line="240" w:lineRule="auto"/>
        <w:rPr>
          <w:iCs/>
        </w:rPr>
      </w:pPr>
      <w:r w:rsidRPr="00DD2D79">
        <w:rPr>
          <w:iCs/>
        </w:rPr>
        <w:t>Bakgrund</w:t>
      </w:r>
    </w:p>
    <w:p w:rsidR="005439DE" w:rsidRPr="00DD2D79" w:rsidRDefault="00891C3F" w:rsidP="00A556A9">
      <w:r w:rsidRPr="00DD2D79">
        <w:t xml:space="preserve">Tredjelandsmedborgare omfattas i dag genom en särskild rättsakt av reglerna i gällande förordning </w:t>
      </w:r>
      <w:r w:rsidR="0067579C" w:rsidRPr="00DD2D79">
        <w:t>1408/71</w:t>
      </w:r>
      <w:r w:rsidR="005439DE" w:rsidRPr="00DD2D79">
        <w:t xml:space="preserve"> </w:t>
      </w:r>
      <w:r w:rsidRPr="00DD2D79">
        <w:t xml:space="preserve">om samordning av sociala trygghetssystem. </w:t>
      </w:r>
    </w:p>
    <w:p w:rsidR="005439DE" w:rsidRPr="00DD2D79" w:rsidRDefault="005439DE" w:rsidP="00A556A9"/>
    <w:p w:rsidR="005439DE" w:rsidRPr="00DD2D79" w:rsidRDefault="00891C3F" w:rsidP="00A556A9">
      <w:r w:rsidRPr="00DD2D79">
        <w:t>En ny moderniserad förordning om samordning</w:t>
      </w:r>
      <w:r w:rsidR="0067579C" w:rsidRPr="00DD2D79">
        <w:t>,</w:t>
      </w:r>
      <w:r w:rsidRPr="00DD2D79">
        <w:t xml:space="preserve"> </w:t>
      </w:r>
      <w:r w:rsidR="0067579C" w:rsidRPr="00DD2D79">
        <w:t>förordning 883/2004</w:t>
      </w:r>
      <w:r w:rsidR="005439DE" w:rsidRPr="00DD2D79">
        <w:t>,</w:t>
      </w:r>
      <w:r w:rsidR="0067579C" w:rsidRPr="00DD2D79">
        <w:t xml:space="preserve"> och en tillämpningsförordning </w:t>
      </w:r>
      <w:r w:rsidR="00AE043A" w:rsidRPr="00DD2D79">
        <w:t xml:space="preserve">987/2009 </w:t>
      </w:r>
      <w:r w:rsidR="0067579C" w:rsidRPr="00DD2D79">
        <w:t xml:space="preserve">till </w:t>
      </w:r>
      <w:r w:rsidR="005439DE" w:rsidRPr="00DD2D79">
        <w:t xml:space="preserve">sistnämnda förordning </w:t>
      </w:r>
      <w:r w:rsidR="00A556A9" w:rsidRPr="00DD2D79">
        <w:t xml:space="preserve">har börjat tillämpas från den 1 maj i år. För att </w:t>
      </w:r>
      <w:r w:rsidRPr="00DD2D79">
        <w:t xml:space="preserve"> tredjelandsmedborgare också  fortsättningsvis skall kunna omfattas av samordningsreglerna krävs en ny rättsakt kopplad till den nya förordningen. </w:t>
      </w:r>
    </w:p>
    <w:p w:rsidR="005439DE" w:rsidRPr="00DD2D79" w:rsidRDefault="005439DE" w:rsidP="00A556A9"/>
    <w:p w:rsidR="00891C3F" w:rsidRPr="00DD2D79" w:rsidRDefault="00A556A9" w:rsidP="00A556A9">
      <w:r w:rsidRPr="00DD2D79">
        <w:t>Rådet har inte kunnat uppnå enighet om en ny förordning då det innan Lissabonfördraget trädde i kraft krävdes enhällighet för beslut av rådet. Emellertid beslutar rådet enligt det nya fördraget nu med kvalificerad majoritet vilket gör att det nu går att bryta blockeringen från två medlemsstater i rådet. Det spanska ordförandeskapet lägger nu fram förslag till beslut.</w:t>
      </w:r>
    </w:p>
    <w:p w:rsidR="00891C3F" w:rsidRPr="00DD2D79" w:rsidRDefault="00891C3F" w:rsidP="00816EB4">
      <w:pPr>
        <w:pStyle w:val="RKnormal"/>
        <w:spacing w:line="240" w:lineRule="auto"/>
      </w:pPr>
    </w:p>
    <w:p w:rsidR="00670DC1" w:rsidRPr="00DD2D79" w:rsidRDefault="00670DC1" w:rsidP="008D743B">
      <w:pPr>
        <w:pStyle w:val="RKrubrik"/>
        <w:spacing w:line="240" w:lineRule="auto"/>
        <w:rPr>
          <w:iCs/>
        </w:rPr>
      </w:pPr>
      <w:r w:rsidRPr="00DD2D79">
        <w:rPr>
          <w:iCs/>
        </w:rPr>
        <w:lastRenderedPageBreak/>
        <w:t>Rättslig grund och beslutsförfarande</w:t>
      </w:r>
    </w:p>
    <w:p w:rsidR="00670DC1" w:rsidRPr="00DD2D79" w:rsidRDefault="00670DC1" w:rsidP="00941C8C">
      <w:pPr>
        <w:pStyle w:val="RKnormal"/>
        <w:spacing w:line="240" w:lineRule="auto"/>
      </w:pPr>
      <w:r w:rsidRPr="00DD2D79">
        <w:t xml:space="preserve">Artikel </w:t>
      </w:r>
      <w:r w:rsidR="00F2370F" w:rsidRPr="00DD2D79">
        <w:t xml:space="preserve"> </w:t>
      </w:r>
      <w:r w:rsidR="00A556A9" w:rsidRPr="00DD2D79">
        <w:t xml:space="preserve">79(2)(b) i </w:t>
      </w:r>
      <w:r w:rsidR="00F3006E" w:rsidRPr="00DD2D79">
        <w:t xml:space="preserve"> fördraget om Europeiska unionens funktionssätt, EUF fördraget</w:t>
      </w:r>
      <w:r w:rsidR="005439DE" w:rsidRPr="00DD2D79">
        <w:t>, beslutas med QMV</w:t>
      </w:r>
      <w:r w:rsidR="00CB760C" w:rsidRPr="00DD2D79">
        <w:t xml:space="preserve"> </w:t>
      </w:r>
    </w:p>
    <w:p w:rsidR="00670DC1" w:rsidRPr="00DD2D79" w:rsidRDefault="00670DC1" w:rsidP="008D743B">
      <w:pPr>
        <w:pStyle w:val="RKnormal"/>
        <w:spacing w:line="240" w:lineRule="auto"/>
      </w:pPr>
    </w:p>
    <w:p w:rsidR="00670DC1" w:rsidRPr="00DD2D79" w:rsidRDefault="00670DC1" w:rsidP="008D743B">
      <w:pPr>
        <w:pStyle w:val="RKrubrik"/>
        <w:spacing w:line="240" w:lineRule="auto"/>
      </w:pPr>
      <w:r w:rsidRPr="00DD2D79">
        <w:t>Svensk ståndpunkt</w:t>
      </w:r>
    </w:p>
    <w:p w:rsidR="00941C8C" w:rsidRPr="00DD2D79" w:rsidRDefault="005439DE" w:rsidP="00941C8C">
      <w:pPr>
        <w:pStyle w:val="RKnormal"/>
      </w:pPr>
      <w:r w:rsidRPr="00DD2D79">
        <w:t xml:space="preserve">Regeringen föreslår att Sverige ställer sig bakom antagande av förslaget. Regeringen ser positivt på </w:t>
      </w:r>
      <w:r w:rsidR="00941C8C" w:rsidRPr="00DD2D79">
        <w:t xml:space="preserve">att det spanska ordförandeskapet </w:t>
      </w:r>
      <w:r w:rsidRPr="00DD2D79">
        <w:t xml:space="preserve">tar upp </w:t>
      </w:r>
      <w:r w:rsidR="00941C8C" w:rsidRPr="00DD2D79">
        <w:t>förslaget till förordning</w:t>
      </w:r>
      <w:r w:rsidRPr="00DD2D79">
        <w:t xml:space="preserve"> för ny behandling</w:t>
      </w:r>
      <w:r w:rsidR="00941C8C" w:rsidRPr="00DD2D79">
        <w:t xml:space="preserve">. Det är angeläget att en förordning som knyter tredjelandsmedborgares rätt till samordning av de sociala trygghetsförmånerna till </w:t>
      </w:r>
      <w:r w:rsidR="002138B3" w:rsidRPr="00DD2D79">
        <w:t xml:space="preserve">den nya </w:t>
      </w:r>
      <w:r w:rsidR="00941C8C" w:rsidRPr="00DD2D79">
        <w:t xml:space="preserve">förordningen </w:t>
      </w:r>
      <w:r w:rsidR="00681F3C" w:rsidRPr="00DD2D79">
        <w:t xml:space="preserve">(EG) nr </w:t>
      </w:r>
      <w:r w:rsidR="00941C8C" w:rsidRPr="00DD2D79">
        <w:t>883/2004. Med en uppdaterad förordning kommer myndigheternas administration förenklas och reglerna blir klara och tydliga för personer som omfattas av systemen för samordning.</w:t>
      </w:r>
    </w:p>
    <w:p w:rsidR="00941C8C" w:rsidRPr="00DD2D79" w:rsidRDefault="00941C8C" w:rsidP="00941C8C">
      <w:pPr>
        <w:pStyle w:val="RKnormal"/>
      </w:pPr>
    </w:p>
    <w:p w:rsidR="00670DC1" w:rsidRPr="00DD2D79" w:rsidRDefault="00670DC1" w:rsidP="008D743B">
      <w:pPr>
        <w:pStyle w:val="RKrubrik"/>
        <w:spacing w:line="240" w:lineRule="auto"/>
        <w:rPr>
          <w:iCs/>
        </w:rPr>
      </w:pPr>
      <w:r w:rsidRPr="00DD2D79">
        <w:rPr>
          <w:iCs/>
        </w:rPr>
        <w:t>Europaparlamentets inställning</w:t>
      </w:r>
    </w:p>
    <w:p w:rsidR="00F2370F" w:rsidRPr="00DD2D79" w:rsidRDefault="00F2370F" w:rsidP="00F2370F">
      <w:pPr>
        <w:pStyle w:val="RKnormal"/>
      </w:pPr>
      <w:r w:rsidRPr="00DD2D79">
        <w:t>Inga synpunkter.</w:t>
      </w:r>
    </w:p>
    <w:p w:rsidR="00670DC1" w:rsidRPr="00DD2D79" w:rsidRDefault="00670DC1" w:rsidP="008D743B">
      <w:pPr>
        <w:pStyle w:val="RKrubrik"/>
        <w:spacing w:line="240" w:lineRule="auto"/>
      </w:pPr>
      <w:r w:rsidRPr="00DD2D79">
        <w:t>Förslaget</w:t>
      </w:r>
    </w:p>
    <w:p w:rsidR="00D76C7F" w:rsidRPr="00DD2D79" w:rsidRDefault="00F2370F" w:rsidP="00681F3C">
      <w:r w:rsidRPr="00DD2D79">
        <w:t xml:space="preserve">Rätten att </w:t>
      </w:r>
      <w:r w:rsidR="00603F9D" w:rsidRPr="00DD2D79">
        <w:t xml:space="preserve">tjäna in, </w:t>
      </w:r>
      <w:r w:rsidRPr="00DD2D79">
        <w:t>behålla och ta med sig intjänade socialförsäkringsförmåner regleras ytterst i E</w:t>
      </w:r>
      <w:r w:rsidR="00681F3C" w:rsidRPr="00DD2D79">
        <w:t>UF-</w:t>
      </w:r>
      <w:r w:rsidRPr="00DD2D79">
        <w:t xml:space="preserve"> fördraget där de utgör en förutsättning för den fria rörligheterna för arbetstagare. Detaljerade regler för samordning mellan medlemsstaternas socialförsäkringssystem finns i förordningarna (E</w:t>
      </w:r>
      <w:r w:rsidR="003517D5" w:rsidRPr="00DD2D79">
        <w:t>EG) nr 1408/71 och (EEG) nr 574/72.</w:t>
      </w:r>
      <w:r w:rsidRPr="00DD2D79">
        <w:t xml:space="preserve"> </w:t>
      </w:r>
      <w:r w:rsidR="00D76C7F" w:rsidRPr="00DD2D79">
        <w:t xml:space="preserve">Reglerna om samordning berör i huvudsak EU-medborgare och familjemedlemmar till EU medborgare även om de är medborgare i ett tredje land. För att garantera tredjelandsmedborgare, som inte är familjemedlemmar, att kunna utnyttja den fria rörligheten för arbetstagare finns förordningen </w:t>
      </w:r>
      <w:r w:rsidR="00681F3C" w:rsidRPr="00DD2D79">
        <w:t xml:space="preserve">(EG) </w:t>
      </w:r>
      <w:r w:rsidR="00D76C7F" w:rsidRPr="00DD2D79">
        <w:t xml:space="preserve">nr 859/2003 som utvidgar personkretsen för samordningsreglerna till att omfatta tredjelandsmedborgare när de rör sig inom EES området. </w:t>
      </w:r>
    </w:p>
    <w:p w:rsidR="00D76C7F" w:rsidRPr="00DD2D79" w:rsidRDefault="00D76C7F" w:rsidP="00D76C7F"/>
    <w:p w:rsidR="00F2370F" w:rsidRPr="00DD2D79" w:rsidRDefault="00F2370F" w:rsidP="00603F9D">
      <w:r w:rsidRPr="00DD2D79">
        <w:t xml:space="preserve">En moderniserad förordning är </w:t>
      </w:r>
      <w:r w:rsidR="0067579C" w:rsidRPr="00DD2D79">
        <w:t xml:space="preserve">nu </w:t>
      </w:r>
      <w:r w:rsidRPr="00DD2D79">
        <w:t xml:space="preserve">färdigförhandlad, </w:t>
      </w:r>
      <w:r w:rsidR="0067579C" w:rsidRPr="00DD2D79">
        <w:t>f</w:t>
      </w:r>
      <w:r w:rsidRPr="00DD2D79">
        <w:t xml:space="preserve">örordning </w:t>
      </w:r>
      <w:r w:rsidR="00681F3C" w:rsidRPr="00DD2D79">
        <w:t xml:space="preserve">(EG) </w:t>
      </w:r>
      <w:r w:rsidRPr="00DD2D79">
        <w:t xml:space="preserve">nr 883/2004 om samordning av sociala trygghetssystem och en tillämpningsförordning </w:t>
      </w:r>
      <w:r w:rsidR="00681F3C" w:rsidRPr="00DD2D79">
        <w:t xml:space="preserve">(EG) </w:t>
      </w:r>
      <w:r w:rsidR="00D76C7F" w:rsidRPr="00DD2D79">
        <w:t xml:space="preserve">nr 987/2009 </w:t>
      </w:r>
      <w:r w:rsidRPr="00DD2D79">
        <w:t>till denna</w:t>
      </w:r>
      <w:r w:rsidR="009524C8" w:rsidRPr="00DD2D79">
        <w:t xml:space="preserve"> </w:t>
      </w:r>
      <w:r w:rsidR="002138B3" w:rsidRPr="00DD2D79">
        <w:t xml:space="preserve">trädde </w:t>
      </w:r>
      <w:r w:rsidR="009524C8" w:rsidRPr="00DD2D79">
        <w:t xml:space="preserve">i kraft den 1 </w:t>
      </w:r>
      <w:r w:rsidR="00D76C7F" w:rsidRPr="00DD2D79">
        <w:t>maj</w:t>
      </w:r>
      <w:r w:rsidR="009524C8" w:rsidRPr="00DD2D79">
        <w:t xml:space="preserve"> 2010</w:t>
      </w:r>
      <w:r w:rsidR="0067579C" w:rsidRPr="00DD2D79">
        <w:t>. Som en k</w:t>
      </w:r>
      <w:r w:rsidRPr="00DD2D79">
        <w:t xml:space="preserve">onsekvens av </w:t>
      </w:r>
      <w:r w:rsidR="0067579C" w:rsidRPr="00DD2D79">
        <w:t xml:space="preserve">att </w:t>
      </w:r>
      <w:r w:rsidR="003517D5" w:rsidRPr="00DD2D79">
        <w:t xml:space="preserve">de </w:t>
      </w:r>
      <w:r w:rsidR="0067579C" w:rsidRPr="00DD2D79">
        <w:t>nya förordningar</w:t>
      </w:r>
      <w:r w:rsidR="002138B3" w:rsidRPr="00DD2D79">
        <w:t>na</w:t>
      </w:r>
      <w:r w:rsidR="0067579C" w:rsidRPr="00DD2D79">
        <w:t xml:space="preserve"> kommer att </w:t>
      </w:r>
      <w:r w:rsidR="003517D5" w:rsidRPr="00DD2D79">
        <w:t xml:space="preserve">börja </w:t>
      </w:r>
      <w:r w:rsidR="0067579C" w:rsidRPr="00DD2D79">
        <w:t xml:space="preserve">tillämpas behöver </w:t>
      </w:r>
      <w:r w:rsidR="00603F9D" w:rsidRPr="00DD2D79">
        <w:t>också reg</w:t>
      </w:r>
      <w:r w:rsidR="003517D5" w:rsidRPr="00DD2D79">
        <w:t>lerna för tredjelandsmedborgare</w:t>
      </w:r>
      <w:r w:rsidR="0067579C" w:rsidRPr="00DD2D79">
        <w:t xml:space="preserve"> anpassas</w:t>
      </w:r>
      <w:r w:rsidR="00D76C7F" w:rsidRPr="00DD2D79">
        <w:t xml:space="preserve">. Bland annat har den omfattade personkretsen </w:t>
      </w:r>
      <w:r w:rsidR="00603F9D" w:rsidRPr="00DD2D79">
        <w:t xml:space="preserve">i förordning </w:t>
      </w:r>
      <w:r w:rsidR="00681F3C" w:rsidRPr="00DD2D79">
        <w:t xml:space="preserve">(EG) </w:t>
      </w:r>
      <w:r w:rsidR="00603F9D" w:rsidRPr="00DD2D79">
        <w:t xml:space="preserve">nr 883/2004 </w:t>
      </w:r>
      <w:r w:rsidR="00D76C7F" w:rsidRPr="00DD2D79">
        <w:t>utökats till att omfatta samtliga försäkrade personer oavsett om de är förvärvsarbetande  eller inte.</w:t>
      </w:r>
    </w:p>
    <w:p w:rsidR="00F2370F" w:rsidRPr="00DD2D79" w:rsidRDefault="00F2370F" w:rsidP="00F2370F"/>
    <w:p w:rsidR="00F2370F" w:rsidRPr="00DD2D79" w:rsidRDefault="00F2370F" w:rsidP="00681F3C">
      <w:r w:rsidRPr="00DD2D79">
        <w:t xml:space="preserve">Till förordning </w:t>
      </w:r>
      <w:r w:rsidR="00681F3C" w:rsidRPr="00DD2D79">
        <w:t xml:space="preserve">(EG) </w:t>
      </w:r>
      <w:r w:rsidR="00603F9D" w:rsidRPr="00DD2D79">
        <w:t xml:space="preserve">nr 859/2003 </w:t>
      </w:r>
      <w:r w:rsidRPr="00DD2D79">
        <w:t>om tredjelandsmedborgares likabehandling f</w:t>
      </w:r>
      <w:r w:rsidR="00603F9D" w:rsidRPr="00DD2D79">
        <w:t>i</w:t>
      </w:r>
      <w:r w:rsidRPr="00DD2D79">
        <w:t xml:space="preserve">nns en bilageanteckning där två medlemsstater anmält särskilda </w:t>
      </w:r>
      <w:r w:rsidR="00603F9D" w:rsidRPr="00DD2D79">
        <w:t xml:space="preserve">undantag </w:t>
      </w:r>
      <w:r w:rsidRPr="00DD2D79">
        <w:t>vad gäller omfattningen av familjeförmåner.</w:t>
      </w:r>
      <w:r w:rsidR="002138B3" w:rsidRPr="00DD2D79">
        <w:t xml:space="preserve"> Enligt det nya förslaget saknas förutsättningar för att göra sådana undantag.</w:t>
      </w:r>
      <w:r w:rsidRPr="00DD2D79">
        <w:t xml:space="preserve"> </w:t>
      </w:r>
    </w:p>
    <w:p w:rsidR="008C6C23" w:rsidRPr="00DD2D79" w:rsidRDefault="008C6C23" w:rsidP="008C6C23">
      <w:pPr>
        <w:pStyle w:val="Punktlista"/>
        <w:numPr>
          <w:ilvl w:val="0"/>
          <w:numId w:val="0"/>
        </w:numPr>
        <w:spacing w:line="240" w:lineRule="auto"/>
      </w:pPr>
    </w:p>
    <w:p w:rsidR="00670DC1" w:rsidRPr="00DD2D79" w:rsidRDefault="00670DC1" w:rsidP="008C6C23">
      <w:pPr>
        <w:pStyle w:val="Punktlista"/>
        <w:numPr>
          <w:ilvl w:val="0"/>
          <w:numId w:val="0"/>
        </w:numPr>
        <w:spacing w:line="240" w:lineRule="auto"/>
        <w:rPr>
          <w:rFonts w:ascii="TradeGothic" w:hAnsi="TradeGothic"/>
          <w:b/>
          <w:sz w:val="22"/>
          <w:szCs w:val="22"/>
        </w:rPr>
      </w:pPr>
      <w:r w:rsidRPr="00DD2D79">
        <w:rPr>
          <w:rFonts w:ascii="TradeGothic" w:hAnsi="TradeGothic"/>
          <w:b/>
          <w:sz w:val="22"/>
          <w:szCs w:val="22"/>
        </w:rPr>
        <w:t>Gällande svenska regler och förslagets effekter på dessa</w:t>
      </w:r>
      <w:r w:rsidR="009E5758" w:rsidRPr="00DD2D79">
        <w:rPr>
          <w:rFonts w:ascii="TradeGothic" w:hAnsi="TradeGothic"/>
          <w:b/>
          <w:sz w:val="22"/>
          <w:szCs w:val="22"/>
        </w:rPr>
        <w:t>.</w:t>
      </w:r>
    </w:p>
    <w:p w:rsidR="003517D5" w:rsidRPr="00DD2D79" w:rsidRDefault="003517D5" w:rsidP="0067579C">
      <w:pPr>
        <w:pStyle w:val="RKnormal"/>
      </w:pPr>
    </w:p>
    <w:p w:rsidR="0067579C" w:rsidRPr="00DD2D79" w:rsidRDefault="0067579C" w:rsidP="0067579C">
      <w:pPr>
        <w:pStyle w:val="RKnormal"/>
      </w:pPr>
      <w:r w:rsidRPr="00DD2D79">
        <w:t>Förslaget innebär inga förändringar i förhållande till nuvarande regler, eftersom den svenska lagstiftningen omfattar samtliga försäkrade personer oavsett medborgarskap.</w:t>
      </w:r>
      <w:r w:rsidR="00FB03F7" w:rsidRPr="00DD2D79">
        <w:t xml:space="preserve"> För svensk del är den nationella lagstiftningen generell för samtliga personer som är försäkrade i Sverige och undantag för de tredjelandsmedborgare som inte förvärvsarbetar är inte förenligt med den nationella lagstiftningen.</w:t>
      </w:r>
    </w:p>
    <w:p w:rsidR="00571A05" w:rsidRPr="00DD2D79" w:rsidRDefault="00670DC1" w:rsidP="00571A05">
      <w:pPr>
        <w:pStyle w:val="RKrubrik"/>
        <w:spacing w:line="240" w:lineRule="auto"/>
      </w:pPr>
      <w:r w:rsidRPr="00DD2D79">
        <w:t>Ekonomiska konsekvenser</w:t>
      </w:r>
    </w:p>
    <w:p w:rsidR="00670DC1" w:rsidRPr="00DD2D79" w:rsidRDefault="00670DC1" w:rsidP="00571A05">
      <w:pPr>
        <w:pStyle w:val="RKrubrik"/>
        <w:spacing w:line="240" w:lineRule="auto"/>
        <w:rPr>
          <w:rFonts w:ascii="OrigGarmnd BT" w:hAnsi="OrigGarmnd BT"/>
          <w:b w:val="0"/>
          <w:sz w:val="24"/>
        </w:rPr>
      </w:pPr>
      <w:r w:rsidRPr="00DD2D79">
        <w:rPr>
          <w:rFonts w:ascii="OrigGarmnd BT" w:hAnsi="OrigGarmnd BT"/>
          <w:b w:val="0"/>
          <w:sz w:val="24"/>
        </w:rPr>
        <w:t>Inga kända</w:t>
      </w:r>
    </w:p>
    <w:p w:rsidR="00670DC1" w:rsidRPr="00DD2D79" w:rsidRDefault="00670DC1" w:rsidP="008D743B">
      <w:pPr>
        <w:pStyle w:val="RKrubrik"/>
        <w:spacing w:line="240" w:lineRule="auto"/>
        <w:rPr>
          <w:iCs/>
        </w:rPr>
      </w:pPr>
      <w:r w:rsidRPr="00DD2D79">
        <w:rPr>
          <w:iCs/>
        </w:rPr>
        <w:t>Övrigt</w:t>
      </w:r>
    </w:p>
    <w:p w:rsidR="00670DC1" w:rsidRPr="00DD2D79" w:rsidRDefault="00670DC1" w:rsidP="008D743B">
      <w:pPr>
        <w:pStyle w:val="RKnormal"/>
        <w:spacing w:line="240" w:lineRule="auto"/>
      </w:pPr>
    </w:p>
    <w:sectPr w:rsidR="00670DC1" w:rsidRPr="00DD2D79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B5E" w:rsidRPr="00DD2D79" w:rsidRDefault="000B3B5E">
      <w:r w:rsidRPr="00DD2D79">
        <w:separator/>
      </w:r>
    </w:p>
  </w:endnote>
  <w:endnote w:type="continuationSeparator" w:id="0">
    <w:p w:rsidR="000B3B5E" w:rsidRPr="00DD2D79" w:rsidRDefault="000B3B5E">
      <w:r w:rsidRPr="00DD2D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B5E" w:rsidRPr="00DD2D79" w:rsidRDefault="000B3B5E">
      <w:r w:rsidRPr="00DD2D79">
        <w:separator/>
      </w:r>
    </w:p>
  </w:footnote>
  <w:footnote w:type="continuationSeparator" w:id="0">
    <w:p w:rsidR="000B3B5E" w:rsidRPr="00DD2D79" w:rsidRDefault="000B3B5E">
      <w:r w:rsidRPr="00DD2D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8B3" w:rsidRPr="00DD2D79" w:rsidRDefault="002138B3">
    <w:pPr>
      <w:pStyle w:val="Sidhuvud"/>
      <w:framePr w:wrap="around" w:vAnchor="text" w:hAnchor="margin" w:xAlign="right" w:y="1"/>
      <w:rPr>
        <w:rStyle w:val="Sidnummer"/>
        <w:rPrChange w:id="1" w:author="Lars Brink" w:date="2025-12-18T01:04:00Z" w16du:dateUtc="2025-12-18T00:04:00Z">
          <w:rPr>
            <w:rStyle w:val="Sidnummer"/>
          </w:rPr>
        </w:rPrChange>
      </w:rPr>
    </w:pPr>
    <w:r w:rsidRPr="00DD2D79">
      <w:rPr>
        <w:rStyle w:val="Sidnummer"/>
      </w:rPr>
      <w:fldChar w:fldCharType="begin" w:fldLock="1"/>
    </w:r>
    <w:r w:rsidRPr="00DD2D79">
      <w:rPr>
        <w:rStyle w:val="Sidnummer"/>
      </w:rPr>
      <w:instrText xml:space="preserve">PAGE  </w:instrText>
    </w:r>
    <w:r w:rsidRPr="00DD2D79">
      <w:rPr>
        <w:rStyle w:val="Sidnummer"/>
      </w:rPr>
      <w:fldChar w:fldCharType="separate"/>
    </w:r>
    <w:r w:rsidR="00C31ABC" w:rsidRPr="00DD2D79">
      <w:rPr>
        <w:rStyle w:val="Sidnummer"/>
        <w:rPrChange w:id="2" w:author="Lars Brink" w:date="2025-12-18T01:04:00Z" w16du:dateUtc="2025-12-18T00:04:00Z">
          <w:rPr>
            <w:rStyle w:val="Sidnummer"/>
            <w:noProof/>
          </w:rPr>
        </w:rPrChange>
      </w:rPr>
      <w:t>2</w:t>
    </w:r>
    <w:r w:rsidRPr="00DD2D79">
      <w:rPr>
        <w:rStyle w:val="Sidnummer"/>
        <w:rPrChange w:id="3" w:author="Lars Brink" w:date="2025-12-18T01:04:00Z" w16du:dateUtc="2025-12-18T00:04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138B3" w:rsidRPr="00DD2D7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2138B3" w:rsidRPr="00DD2D79" w:rsidRDefault="002138B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  <w:rPrChange w:id="4" w:author="Lars Brink" w:date="2025-12-18T01:04:00Z" w16du:dateUtc="2025-12-18T00:04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2138B3" w:rsidRPr="00DD2D79" w:rsidRDefault="002138B3">
          <w:pPr>
            <w:pStyle w:val="Sidhuvud"/>
            <w:ind w:right="360"/>
            <w:rPr>
              <w:rPrChange w:id="5" w:author="Lars Brink" w:date="2025-12-18T01:04:00Z" w16du:dateUtc="2025-12-18T00:04:00Z">
                <w:rPr/>
              </w:rPrChange>
            </w:rPr>
          </w:pPr>
        </w:p>
      </w:tc>
      <w:tc>
        <w:tcPr>
          <w:tcW w:w="1525" w:type="dxa"/>
        </w:tcPr>
        <w:p w:rsidR="002138B3" w:rsidRPr="00DD2D79" w:rsidRDefault="002138B3">
          <w:pPr>
            <w:pStyle w:val="Sidhuvud"/>
            <w:ind w:right="360"/>
            <w:rPr>
              <w:rPrChange w:id="6" w:author="Lars Brink" w:date="2025-12-18T01:04:00Z" w16du:dateUtc="2025-12-18T00:04:00Z">
                <w:rPr/>
              </w:rPrChange>
            </w:rPr>
          </w:pPr>
        </w:p>
      </w:tc>
    </w:tr>
  </w:tbl>
  <w:p w:rsidR="002138B3" w:rsidRPr="00DD2D79" w:rsidRDefault="002138B3">
    <w:pPr>
      <w:pStyle w:val="Sidhuvud"/>
      <w:ind w:right="357" w:firstLine="357"/>
      <w:rPr>
        <w:rPrChange w:id="7" w:author="Lars Brink" w:date="2025-12-18T01:04:00Z" w16du:dateUtc="2025-12-18T00:04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8B3" w:rsidRPr="00DD2D79" w:rsidRDefault="002138B3">
    <w:pPr>
      <w:pStyle w:val="Sidhuvud"/>
      <w:framePr w:wrap="around" w:vAnchor="text" w:hAnchor="margin" w:xAlign="right" w:y="1"/>
      <w:rPr>
        <w:rStyle w:val="Sidnummer"/>
        <w:rPrChange w:id="8" w:author="Lars Brink" w:date="2025-12-18T01:04:00Z" w16du:dateUtc="2025-12-18T00:04:00Z">
          <w:rPr>
            <w:rStyle w:val="Sidnummer"/>
          </w:rPr>
        </w:rPrChange>
      </w:rPr>
    </w:pPr>
    <w:r w:rsidRPr="00DD2D79">
      <w:rPr>
        <w:rStyle w:val="Sidnummer"/>
      </w:rPr>
      <w:fldChar w:fldCharType="begin" w:fldLock="1"/>
    </w:r>
    <w:r w:rsidRPr="00DD2D79">
      <w:rPr>
        <w:rStyle w:val="Sidnummer"/>
      </w:rPr>
      <w:instrText xml:space="preserve">PAGE  </w:instrText>
    </w:r>
    <w:r w:rsidRPr="00DD2D79">
      <w:rPr>
        <w:rStyle w:val="Sidnummer"/>
      </w:rPr>
      <w:fldChar w:fldCharType="separate"/>
    </w:r>
    <w:r w:rsidR="00C31ABC" w:rsidRPr="00DD2D79">
      <w:rPr>
        <w:rStyle w:val="Sidnummer"/>
        <w:rPrChange w:id="9" w:author="Lars Brink" w:date="2025-12-18T01:04:00Z" w16du:dateUtc="2025-12-18T00:04:00Z">
          <w:rPr>
            <w:rStyle w:val="Sidnummer"/>
            <w:noProof/>
          </w:rPr>
        </w:rPrChange>
      </w:rPr>
      <w:t>3</w:t>
    </w:r>
    <w:r w:rsidRPr="00DD2D79">
      <w:rPr>
        <w:rStyle w:val="Sidnummer"/>
        <w:rPrChange w:id="10" w:author="Lars Brink" w:date="2025-12-18T01:04:00Z" w16du:dateUtc="2025-12-18T00:04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138B3" w:rsidRPr="00DD2D7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2138B3" w:rsidRPr="00DD2D79" w:rsidRDefault="002138B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  <w:rPrChange w:id="11" w:author="Lars Brink" w:date="2025-12-18T01:04:00Z" w16du:dateUtc="2025-12-18T00:04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2138B3" w:rsidRPr="00DD2D79" w:rsidRDefault="002138B3">
          <w:pPr>
            <w:pStyle w:val="Sidhuvud"/>
            <w:ind w:right="360"/>
            <w:rPr>
              <w:rPrChange w:id="12" w:author="Lars Brink" w:date="2025-12-18T01:04:00Z" w16du:dateUtc="2025-12-18T00:04:00Z">
                <w:rPr/>
              </w:rPrChange>
            </w:rPr>
          </w:pPr>
        </w:p>
      </w:tc>
      <w:tc>
        <w:tcPr>
          <w:tcW w:w="1525" w:type="dxa"/>
        </w:tcPr>
        <w:p w:rsidR="002138B3" w:rsidRPr="00DD2D79" w:rsidRDefault="002138B3">
          <w:pPr>
            <w:pStyle w:val="Sidhuvud"/>
            <w:ind w:right="360"/>
            <w:rPr>
              <w:rPrChange w:id="13" w:author="Lars Brink" w:date="2025-12-18T01:04:00Z" w16du:dateUtc="2025-12-18T00:04:00Z">
                <w:rPr/>
              </w:rPrChange>
            </w:rPr>
          </w:pPr>
        </w:p>
      </w:tc>
    </w:tr>
  </w:tbl>
  <w:p w:rsidR="002138B3" w:rsidRPr="00DD2D79" w:rsidRDefault="002138B3">
    <w:pPr>
      <w:pStyle w:val="Sidhuvud"/>
      <w:ind w:right="357" w:firstLine="357"/>
      <w:rPr>
        <w:rPrChange w:id="14" w:author="Lars Brink" w:date="2025-12-18T01:04:00Z" w16du:dateUtc="2025-12-18T00:04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8B3" w:rsidRPr="00DD2D79" w:rsidRDefault="00DD2D79">
    <w:pPr>
      <w:framePr w:w="2948" w:h="1321" w:hRule="exact" w:wrap="notBeside" w:vAnchor="page" w:hAnchor="page" w:x="1362" w:y="653"/>
    </w:pPr>
    <w:r w:rsidRPr="00DD2D79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38B3" w:rsidRPr="00DD2D79" w:rsidRDefault="002138B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138B3" w:rsidRPr="00DD2D79" w:rsidRDefault="002138B3">
    <w:pPr>
      <w:rPr>
        <w:rFonts w:ascii="TradeGothic" w:hAnsi="TradeGothic"/>
        <w:b/>
        <w:bCs/>
        <w:spacing w:val="12"/>
        <w:sz w:val="22"/>
      </w:rPr>
    </w:pPr>
  </w:p>
  <w:p w:rsidR="002138B3" w:rsidRPr="00DD2D79" w:rsidRDefault="002138B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138B3" w:rsidRPr="00DD2D79" w:rsidRDefault="002138B3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481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F741E8"/>
    <w:multiLevelType w:val="hybridMultilevel"/>
    <w:tmpl w:val="EFBED730"/>
    <w:lvl w:ilvl="0" w:tplc="6464B142">
      <w:start w:val="1"/>
      <w:numFmt w:val="bullet"/>
      <w:lvlRestart w:val="0"/>
      <w:pStyle w:val="Punktlista"/>
      <w:lvlText w:val=""/>
      <w:lvlJc w:val="left"/>
      <w:pPr>
        <w:tabs>
          <w:tab w:val="num" w:pos="499"/>
        </w:tabs>
        <w:ind w:left="499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588134">
    <w:abstractNumId w:val="1"/>
  </w:num>
  <w:num w:numId="2" w16cid:durableId="14944922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Socialdepartementet"/>
    <w:docVar w:name="Regering" w:val="N"/>
  </w:docVars>
  <w:rsids>
    <w:rsidRoot w:val="007243CE"/>
    <w:rsid w:val="00001D4F"/>
    <w:rsid w:val="00062870"/>
    <w:rsid w:val="000809BB"/>
    <w:rsid w:val="000B3B5E"/>
    <w:rsid w:val="000D04BD"/>
    <w:rsid w:val="000F0A35"/>
    <w:rsid w:val="0013589B"/>
    <w:rsid w:val="0014013C"/>
    <w:rsid w:val="00153509"/>
    <w:rsid w:val="00154C9F"/>
    <w:rsid w:val="001571E2"/>
    <w:rsid w:val="00186336"/>
    <w:rsid w:val="001A0103"/>
    <w:rsid w:val="001B1E8A"/>
    <w:rsid w:val="001D06C1"/>
    <w:rsid w:val="001E0BC4"/>
    <w:rsid w:val="001E77A6"/>
    <w:rsid w:val="001F2EA4"/>
    <w:rsid w:val="00206B53"/>
    <w:rsid w:val="002138B3"/>
    <w:rsid w:val="002265FC"/>
    <w:rsid w:val="00227E61"/>
    <w:rsid w:val="0029291C"/>
    <w:rsid w:val="002A64F5"/>
    <w:rsid w:val="002D4DF2"/>
    <w:rsid w:val="00313201"/>
    <w:rsid w:val="00343E8C"/>
    <w:rsid w:val="003517D5"/>
    <w:rsid w:val="0035383E"/>
    <w:rsid w:val="00374B2F"/>
    <w:rsid w:val="00397DEE"/>
    <w:rsid w:val="003B6BC4"/>
    <w:rsid w:val="003B790F"/>
    <w:rsid w:val="003C4142"/>
    <w:rsid w:val="004001F5"/>
    <w:rsid w:val="00420973"/>
    <w:rsid w:val="00457E21"/>
    <w:rsid w:val="0046635C"/>
    <w:rsid w:val="004D09E2"/>
    <w:rsid w:val="004E14B2"/>
    <w:rsid w:val="004E6E4D"/>
    <w:rsid w:val="0053371D"/>
    <w:rsid w:val="0053776F"/>
    <w:rsid w:val="005439DE"/>
    <w:rsid w:val="00547C4D"/>
    <w:rsid w:val="00571A05"/>
    <w:rsid w:val="005E6135"/>
    <w:rsid w:val="005F6ABD"/>
    <w:rsid w:val="006006D9"/>
    <w:rsid w:val="00603F9D"/>
    <w:rsid w:val="0063631F"/>
    <w:rsid w:val="00644707"/>
    <w:rsid w:val="00670DC1"/>
    <w:rsid w:val="0067579C"/>
    <w:rsid w:val="00681F3C"/>
    <w:rsid w:val="0069573C"/>
    <w:rsid w:val="006C635A"/>
    <w:rsid w:val="006D4221"/>
    <w:rsid w:val="00707C81"/>
    <w:rsid w:val="007243CE"/>
    <w:rsid w:val="007E4CDE"/>
    <w:rsid w:val="00811E4E"/>
    <w:rsid w:val="00812DB3"/>
    <w:rsid w:val="00816EB4"/>
    <w:rsid w:val="008352D9"/>
    <w:rsid w:val="00891C3F"/>
    <w:rsid w:val="00896511"/>
    <w:rsid w:val="008B6F9C"/>
    <w:rsid w:val="008C1219"/>
    <w:rsid w:val="008C6C23"/>
    <w:rsid w:val="008D743B"/>
    <w:rsid w:val="008E577C"/>
    <w:rsid w:val="008F5C81"/>
    <w:rsid w:val="00907554"/>
    <w:rsid w:val="00941C8C"/>
    <w:rsid w:val="0094420F"/>
    <w:rsid w:val="009524C8"/>
    <w:rsid w:val="0095765D"/>
    <w:rsid w:val="00992397"/>
    <w:rsid w:val="009A0076"/>
    <w:rsid w:val="009E5758"/>
    <w:rsid w:val="009E6113"/>
    <w:rsid w:val="00A12027"/>
    <w:rsid w:val="00A3182A"/>
    <w:rsid w:val="00A32C21"/>
    <w:rsid w:val="00A53CF3"/>
    <w:rsid w:val="00A556A9"/>
    <w:rsid w:val="00A56D53"/>
    <w:rsid w:val="00A710DC"/>
    <w:rsid w:val="00AB374C"/>
    <w:rsid w:val="00AD5C36"/>
    <w:rsid w:val="00AE043A"/>
    <w:rsid w:val="00AF7490"/>
    <w:rsid w:val="00B05A6D"/>
    <w:rsid w:val="00B16CF3"/>
    <w:rsid w:val="00B25106"/>
    <w:rsid w:val="00B30423"/>
    <w:rsid w:val="00B312D4"/>
    <w:rsid w:val="00B60217"/>
    <w:rsid w:val="00B7769B"/>
    <w:rsid w:val="00BB33CF"/>
    <w:rsid w:val="00BC15E7"/>
    <w:rsid w:val="00BD1A29"/>
    <w:rsid w:val="00BF29C0"/>
    <w:rsid w:val="00C31ABC"/>
    <w:rsid w:val="00C51D19"/>
    <w:rsid w:val="00C84B2B"/>
    <w:rsid w:val="00C90780"/>
    <w:rsid w:val="00C91E32"/>
    <w:rsid w:val="00CB760C"/>
    <w:rsid w:val="00CC2D8A"/>
    <w:rsid w:val="00D5685E"/>
    <w:rsid w:val="00D76C7F"/>
    <w:rsid w:val="00DD2D79"/>
    <w:rsid w:val="00DE0D44"/>
    <w:rsid w:val="00DE4376"/>
    <w:rsid w:val="00DF6D59"/>
    <w:rsid w:val="00E00A0E"/>
    <w:rsid w:val="00E25035"/>
    <w:rsid w:val="00E34920"/>
    <w:rsid w:val="00E60B5D"/>
    <w:rsid w:val="00E6480E"/>
    <w:rsid w:val="00E91EA8"/>
    <w:rsid w:val="00EC28B5"/>
    <w:rsid w:val="00F04A6E"/>
    <w:rsid w:val="00F2370F"/>
    <w:rsid w:val="00F27A63"/>
    <w:rsid w:val="00F3006E"/>
    <w:rsid w:val="00F57F25"/>
    <w:rsid w:val="00FA3D87"/>
    <w:rsid w:val="00FA66EE"/>
    <w:rsid w:val="00FB03F7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B038121-595D-4B72-8B43-251A10C7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  <w:style w:type="paragraph" w:styleId="Punktlista">
    <w:name w:val="List Bullet"/>
    <w:basedOn w:val="Normal"/>
    <w:rsid w:val="00896511"/>
    <w:pPr>
      <w:numPr>
        <w:numId w:val="1"/>
      </w:numPr>
    </w:pPr>
  </w:style>
  <w:style w:type="paragraph" w:styleId="Ballongtext">
    <w:name w:val="Balloon Text"/>
    <w:basedOn w:val="Normal"/>
    <w:semiHidden/>
    <w:rsid w:val="00E2503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D2D79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564</Words>
  <Characters>3641</Characters>
  <Application>Microsoft Office Word</Application>
  <DocSecurity>4</DocSecurity>
  <Lines>110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2010-05-31T07:55:00Z</cp:lastPrinted>
  <dcterms:created xsi:type="dcterms:W3CDTF">2025-12-18T00:04:00Z</dcterms:created>
  <dcterms:modified xsi:type="dcterms:W3CDTF">2025-12-18T00:04:00Z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