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19EA" w:rsidRDefault="009E2C8E" w14:paraId="7C2E3B98" w14:textId="77777777">
      <w:pPr>
        <w:pStyle w:val="RubrikFrslagTIllRiksdagsbeslut"/>
      </w:pPr>
      <w:sdt>
        <w:sdtPr>
          <w:alias w:val="CC_Boilerplate_4"/>
          <w:tag w:val="CC_Boilerplate_4"/>
          <w:id w:val="-1644581176"/>
          <w:lock w:val="sdtContentLocked"/>
          <w:placeholder>
            <w:docPart w:val="DCF3F8A6C0B34847B9AD53102FD5ED8D"/>
          </w:placeholder>
          <w:text/>
        </w:sdtPr>
        <w:sdtEndPr/>
        <w:sdtContent>
          <w:r w:rsidRPr="009B062B" w:rsidR="00AF30DD">
            <w:t>Förslag till riksdagsbeslut</w:t>
          </w:r>
        </w:sdtContent>
      </w:sdt>
      <w:bookmarkEnd w:id="0"/>
      <w:bookmarkEnd w:id="1"/>
    </w:p>
    <w:sdt>
      <w:sdtPr>
        <w:alias w:val="Yrkande 1"/>
        <w:tag w:val="aef4e3c1-c7bf-41a2-9a90-c6a8e7b8e594"/>
        <w:id w:val="-1975137782"/>
        <w:lock w:val="sdtLocked"/>
      </w:sdtPr>
      <w:sdtEndPr/>
      <w:sdtContent>
        <w:p w:rsidR="00C60995" w:rsidRDefault="00F54C3D" w14:paraId="570A671E" w14:textId="77777777">
          <w:pPr>
            <w:pStyle w:val="Frslagstext"/>
            <w:numPr>
              <w:ilvl w:val="0"/>
              <w:numId w:val="0"/>
            </w:numPr>
          </w:pPr>
          <w:r>
            <w:t>Riksdagen ställer sig bakom det som anförs i motionen om att regeringen bör överväga att säkerställa att myndigheterna använder sig av de tolkningsdokument som tillhandahålls av EU-kommissionen,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142EAFB3465AAF45F97D866E2859"/>
        </w:placeholder>
        <w:text/>
      </w:sdtPr>
      <w:sdtEndPr/>
      <w:sdtContent>
        <w:p w:rsidRPr="009B062B" w:rsidR="006D79C9" w:rsidP="00333E95" w:rsidRDefault="006D79C9" w14:paraId="6F7B8838" w14:textId="77777777">
          <w:pPr>
            <w:pStyle w:val="Rubrik1"/>
          </w:pPr>
          <w:r>
            <w:t>Motivering</w:t>
          </w:r>
        </w:p>
      </w:sdtContent>
    </w:sdt>
    <w:bookmarkEnd w:displacedByCustomXml="prev" w:id="3"/>
    <w:bookmarkEnd w:displacedByCustomXml="prev" w:id="4"/>
    <w:p w:rsidR="00960691" w:rsidP="00B5250E" w:rsidRDefault="00960691" w14:paraId="5C1063B0" w14:textId="6748B37D">
      <w:pPr>
        <w:pStyle w:val="Normalutanindragellerluft"/>
      </w:pPr>
      <w:r>
        <w:rPr>
          <w:rStyle w:val="s2"/>
        </w:rPr>
        <w:t>Sverige är medlem i Europeiska unionen och därmed bundet av unionens lagstiftning, inklusive förordningar som är direkt tillämpliga i samtliga medlemsstater. För att underlätta en enhetlig och ändamålsenlig tillämpning av denna lagstiftning tillhanda</w:t>
      </w:r>
      <w:r w:rsidR="009E2C8E">
        <w:rPr>
          <w:rStyle w:val="s2"/>
        </w:rPr>
        <w:softHyphen/>
      </w:r>
      <w:r>
        <w:rPr>
          <w:rStyle w:val="s2"/>
        </w:rPr>
        <w:t xml:space="preserve">håller EU-kommissionen ofta tolkningsdokument, vägledningar </w:t>
      </w:r>
      <w:r w:rsidR="00F54C3D">
        <w:rPr>
          <w:rStyle w:val="s2"/>
        </w:rPr>
        <w:t xml:space="preserve">– </w:t>
      </w:r>
      <w:r>
        <w:rPr>
          <w:rStyle w:val="s2"/>
        </w:rPr>
        <w:t>så kallade guidelines, inledande skäl (recitals) samt andra kompletterande texter. Dessa dokument klargör syftet med lagstiftningen och hur den ska tolkas i praktiken.</w:t>
      </w:r>
    </w:p>
    <w:p w:rsidR="00960691" w:rsidP="00D576C3" w:rsidRDefault="00960691" w14:paraId="7BCD4FCB" w14:textId="6B1AB6EC">
      <w:r>
        <w:rPr>
          <w:rStyle w:val="s2"/>
        </w:rPr>
        <w:t xml:space="preserve">I Sverige tillämpar myndigheter som </w:t>
      </w:r>
      <w:r w:rsidR="00F54C3D">
        <w:rPr>
          <w:rStyle w:val="s2"/>
        </w:rPr>
        <w:t>l</w:t>
      </w:r>
      <w:r>
        <w:rPr>
          <w:rStyle w:val="s2"/>
        </w:rPr>
        <w:t>änsstyrelsen, Naturvårdsverket, Jordbruks</w:t>
      </w:r>
      <w:r w:rsidR="009E2C8E">
        <w:rPr>
          <w:rStyle w:val="s2"/>
        </w:rPr>
        <w:softHyphen/>
      </w:r>
      <w:r>
        <w:rPr>
          <w:rStyle w:val="s2"/>
        </w:rPr>
        <w:t>verket och andra ofta EU-förordningar strikt efter ordalydelsen, utan att i tillräcklig grad beakta de tolkningsdokument som tagits fram av EU:s institutioner. Detta kan leda till en rättstillämpning som är mer restriktiv än nödvändigt, och i vissa fall strängare än vad EU:s lagstiftare avsett.</w:t>
      </w:r>
    </w:p>
    <w:p w:rsidR="00960691" w:rsidP="00D576C3" w:rsidRDefault="00960691" w14:paraId="0E7B1E6D" w14:textId="7AE866E1">
      <w:r>
        <w:rPr>
          <w:rStyle w:val="s2"/>
        </w:rPr>
        <w:t>I andra medlemsländer, såsom Nederländerna, Tyskland och Frankrike, används tolkningsdokument från EU som en integrerad del av rättstillämpningen. Detta möjliggör en mer flexibel, förutsägbar och praktiskt fungerande tillämpning av gemensam lagstiftning. När våra svenska myndigheter väljer att inte använda dessa vägledningar skapas en risk för att vi får en överimplementering med regler som gör att det blir mer betungande i Sverige än i andra EU-länder. Det skapar i sin tur konkurrens</w:t>
      </w:r>
      <w:r w:rsidR="009E2C8E">
        <w:rPr>
          <w:rStyle w:val="s2"/>
        </w:rPr>
        <w:softHyphen/>
      </w:r>
      <w:r>
        <w:rPr>
          <w:rStyle w:val="s2"/>
        </w:rPr>
        <w:t xml:space="preserve">nackdelar för svenska företag, jordbrukare och kommuner och då tillämpningen inte alltid speglar den rättsliga intentionen på EU-nivå kan det bli rättsosäkert. </w:t>
      </w:r>
    </w:p>
    <w:p w:rsidR="00BB6339" w:rsidP="009E2C8E" w:rsidRDefault="00960691" w14:paraId="4DE93970" w14:textId="0226D1F7">
      <w:r>
        <w:rPr>
          <w:rStyle w:val="s2"/>
        </w:rPr>
        <w:lastRenderedPageBreak/>
        <w:t xml:space="preserve">Det är av stor vikt att svenska myndigheter agerar i samklang med EU:s intentioner och att man effektivt arbetar inom ramen för de tidsaspekter som är utsatta så att tillämpningen av EU-rätten sker så likvärdigt som möjligt </w:t>
      </w:r>
      <w:r w:rsidR="00F54C3D">
        <w:rPr>
          <w:rStyle w:val="s2"/>
        </w:rPr>
        <w:t>i</w:t>
      </w:r>
      <w:r>
        <w:rPr>
          <w:rStyle w:val="s2"/>
        </w:rPr>
        <w:t xml:space="preserve"> hela unionen. Reglerings</w:t>
      </w:r>
      <w:r w:rsidR="009E2C8E">
        <w:rPr>
          <w:rStyle w:val="s2"/>
        </w:rPr>
        <w:softHyphen/>
      </w:r>
      <w:r>
        <w:rPr>
          <w:rStyle w:val="s2"/>
        </w:rPr>
        <w:t>breven bör därför innehålla direktiv om att myndigheterna bör använda sig av de tolkningsdokument som tillhandahålls av EU-kommissionen.</w:t>
      </w:r>
    </w:p>
    <w:sdt>
      <w:sdtPr>
        <w:rPr>
          <w:i/>
          <w:noProof/>
        </w:rPr>
        <w:alias w:val="CC_Underskrifter"/>
        <w:tag w:val="CC_Underskrifter"/>
        <w:id w:val="583496634"/>
        <w:lock w:val="sdtContentLocked"/>
        <w:placeholder>
          <w:docPart w:val="8FE789B221AF461AACC99273D4C15A99"/>
        </w:placeholder>
      </w:sdtPr>
      <w:sdtEndPr/>
      <w:sdtContent>
        <w:p w:rsidR="005919EA" w:rsidP="005919EA" w:rsidRDefault="005919EA" w14:paraId="32656B02" w14:textId="77777777"/>
        <w:p w:rsidR="005919EA" w:rsidP="005919EA" w:rsidRDefault="009E2C8E" w14:paraId="05FBCC35" w14:textId="6B94952E"/>
      </w:sdtContent>
    </w:sdt>
    <w:tbl>
      <w:tblPr>
        <w:tblW w:w="5000" w:type="pct"/>
        <w:tblLook w:val="04A0" w:firstRow="1" w:lastRow="0" w:firstColumn="1" w:lastColumn="0" w:noHBand="0" w:noVBand="1"/>
        <w:tblCaption w:val="underskrifter"/>
      </w:tblPr>
      <w:tblGrid>
        <w:gridCol w:w="4252"/>
        <w:gridCol w:w="4252"/>
      </w:tblGrid>
      <w:tr w:rsidR="00C60995" w14:paraId="609CED1E" w14:textId="77777777">
        <w:trPr>
          <w:cantSplit/>
        </w:trPr>
        <w:tc>
          <w:tcPr>
            <w:tcW w:w="50" w:type="pct"/>
            <w:vAlign w:val="bottom"/>
          </w:tcPr>
          <w:p w:rsidR="00C60995" w:rsidRDefault="00F54C3D" w14:paraId="2C73160C" w14:textId="77777777">
            <w:pPr>
              <w:pStyle w:val="Underskrifter"/>
              <w:spacing w:after="0"/>
            </w:pPr>
            <w:r>
              <w:t>Ann-Charlotte Hammar Johnsson (M)</w:t>
            </w:r>
          </w:p>
        </w:tc>
        <w:tc>
          <w:tcPr>
            <w:tcW w:w="50" w:type="pct"/>
            <w:vAlign w:val="bottom"/>
          </w:tcPr>
          <w:p w:rsidR="00C60995" w:rsidRDefault="00C60995" w14:paraId="56218FF7" w14:textId="77777777">
            <w:pPr>
              <w:pStyle w:val="Underskrifter"/>
              <w:spacing w:after="0"/>
            </w:pPr>
          </w:p>
        </w:tc>
      </w:tr>
    </w:tbl>
    <w:p w:rsidRPr="008E0FE2" w:rsidR="004801AC" w:rsidP="00DF3554" w:rsidRDefault="004801AC" w14:paraId="3C49318B" w14:textId="27D5AE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A866" w14:textId="77777777" w:rsidR="004D2B57" w:rsidRDefault="004D2B57" w:rsidP="000C1CAD">
      <w:pPr>
        <w:spacing w:line="240" w:lineRule="auto"/>
      </w:pPr>
      <w:r>
        <w:separator/>
      </w:r>
    </w:p>
  </w:endnote>
  <w:endnote w:type="continuationSeparator" w:id="0">
    <w:p w14:paraId="64D4AB62" w14:textId="77777777" w:rsidR="004D2B57" w:rsidRDefault="004D2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B761" w14:textId="13C487C8" w:rsidR="00262EA3" w:rsidRPr="005919EA" w:rsidRDefault="00262EA3" w:rsidP="0059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47D6" w14:textId="77777777" w:rsidR="004D2B57" w:rsidRDefault="004D2B57" w:rsidP="000C1CAD">
      <w:pPr>
        <w:spacing w:line="240" w:lineRule="auto"/>
      </w:pPr>
      <w:r>
        <w:separator/>
      </w:r>
    </w:p>
  </w:footnote>
  <w:footnote w:type="continuationSeparator" w:id="0">
    <w:p w14:paraId="30260CE9" w14:textId="77777777" w:rsidR="004D2B57" w:rsidRDefault="004D2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54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446F9" wp14:editId="78F3A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1D111" w14:textId="5AAC13F8" w:rsidR="00262EA3" w:rsidRDefault="009E2C8E" w:rsidP="008103B5">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44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1D111" w14:textId="5AAC13F8" w:rsidR="00262EA3" w:rsidRDefault="009E2C8E" w:rsidP="008103B5">
                    <w:pPr>
                      <w:jc w:val="right"/>
                    </w:pPr>
                    <w:sdt>
                      <w:sdtPr>
                        <w:alias w:val="CC_Noformat_Partikod"/>
                        <w:tag w:val="CC_Noformat_Partikod"/>
                        <w:id w:val="-53464382"/>
                        <w:placeholder>
                          <w:docPart w:val="F421843AB124417AA4478BC4DDB03159"/>
                        </w:placeholder>
                        <w:text/>
                      </w:sdtPr>
                      <w:sdtEndPr/>
                      <w:sdtContent>
                        <w:r w:rsidR="00960691">
                          <w:t>M</w:t>
                        </w:r>
                      </w:sdtContent>
                    </w:sdt>
                    <w:sdt>
                      <w:sdtPr>
                        <w:alias w:val="CC_Noformat_Partinummer"/>
                        <w:tag w:val="CC_Noformat_Partinummer"/>
                        <w:id w:val="-1709555926"/>
                        <w:placeholder>
                          <w:docPart w:val="8F05D9C25D5C431BA6E4F57D278B41C8"/>
                        </w:placeholder>
                        <w:text/>
                      </w:sdtPr>
                      <w:sdtEndPr/>
                      <w:sdtContent>
                        <w:r w:rsidR="00025B15">
                          <w:t>1330</w:t>
                        </w:r>
                      </w:sdtContent>
                    </w:sdt>
                  </w:p>
                </w:txbxContent>
              </v:textbox>
              <w10:wrap anchorx="page"/>
            </v:shape>
          </w:pict>
        </mc:Fallback>
      </mc:AlternateContent>
    </w:r>
  </w:p>
  <w:p w14:paraId="0C1DB1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8A7C" w14:textId="77777777" w:rsidR="00262EA3" w:rsidRDefault="00262EA3" w:rsidP="008563AC">
    <w:pPr>
      <w:jc w:val="right"/>
    </w:pPr>
  </w:p>
  <w:p w14:paraId="40BD9E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39E8" w14:textId="77777777" w:rsidR="00262EA3" w:rsidRDefault="009E2C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31B6F" wp14:editId="33305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99596B" w14:textId="52A490D6" w:rsidR="00262EA3" w:rsidRDefault="009E2C8E" w:rsidP="00A314CF">
    <w:pPr>
      <w:pStyle w:val="FSHNormal"/>
      <w:spacing w:before="40"/>
    </w:pPr>
    <w:sdt>
      <w:sdtPr>
        <w:alias w:val="CC_Noformat_Motionstyp"/>
        <w:tag w:val="CC_Noformat_Motionstyp"/>
        <w:id w:val="1162973129"/>
        <w:lock w:val="sdtContentLocked"/>
        <w15:appearance w15:val="hidden"/>
        <w:text/>
      </w:sdtPr>
      <w:sdtEndPr/>
      <w:sdtContent>
        <w:r w:rsidR="005919EA">
          <w:t>Enskild motion</w:t>
        </w:r>
      </w:sdtContent>
    </w:sdt>
    <w:r w:rsidR="00821B36">
      <w:t xml:space="preserve"> </w:t>
    </w:r>
    <w:sdt>
      <w:sdtPr>
        <w:alias w:val="CC_Noformat_Partikod"/>
        <w:tag w:val="CC_Noformat_Partikod"/>
        <w:id w:val="1471015553"/>
        <w:lock w:val="contentLocked"/>
        <w:text/>
      </w:sdtPr>
      <w:sdtEndPr/>
      <w:sdtContent>
        <w:r w:rsidR="00960691">
          <w:t>M</w:t>
        </w:r>
      </w:sdtContent>
    </w:sdt>
    <w:sdt>
      <w:sdtPr>
        <w:alias w:val="CC_Noformat_Partinummer"/>
        <w:tag w:val="CC_Noformat_Partinummer"/>
        <w:id w:val="-2014525982"/>
        <w:lock w:val="contentLocked"/>
        <w:text/>
      </w:sdtPr>
      <w:sdtEndPr/>
      <w:sdtContent>
        <w:r w:rsidR="00025B15">
          <w:t>1330</w:t>
        </w:r>
      </w:sdtContent>
    </w:sdt>
  </w:p>
  <w:p w14:paraId="64081311" w14:textId="77777777" w:rsidR="00262EA3" w:rsidRPr="008227B3" w:rsidRDefault="009E2C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07208" w14:textId="25BF9070" w:rsidR="00262EA3" w:rsidRPr="008227B3" w:rsidRDefault="009E2C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9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9EA">
          <w:t>:2502</w:t>
        </w:r>
      </w:sdtContent>
    </w:sdt>
  </w:p>
  <w:p w14:paraId="6BB3643C" w14:textId="0F2A8FF0" w:rsidR="00262EA3" w:rsidRDefault="009E2C8E" w:rsidP="00E03A3D">
    <w:pPr>
      <w:pStyle w:val="Motionr"/>
    </w:pPr>
    <w:sdt>
      <w:sdtPr>
        <w:alias w:val="CC_Noformat_Avtext"/>
        <w:tag w:val="CC_Noformat_Avtext"/>
        <w:id w:val="-2020768203"/>
        <w:lock w:val="sdtContentLocked"/>
        <w:placeholder>
          <w:docPart w:val="F421843AB124417AA4478BC4DDB03159"/>
        </w:placeholder>
        <w15:appearance w15:val="hidden"/>
        <w:text/>
      </w:sdtPr>
      <w:sdtEndPr/>
      <w:sdtContent>
        <w:r w:rsidR="005919EA">
          <w:t>av Ann-Charlotte Hammar Johnsson (M)</w:t>
        </w:r>
      </w:sdtContent>
    </w:sdt>
  </w:p>
  <w:sdt>
    <w:sdtPr>
      <w:alias w:val="CC_Noformat_Rubtext"/>
      <w:tag w:val="CC_Noformat_Rubtext"/>
      <w:id w:val="-218060500"/>
      <w:lock w:val="sdtLocked"/>
      <w:placeholder>
        <w:docPart w:val="8F05D9C25D5C431BA6E4F57D278B41C8"/>
      </w:placeholder>
      <w:text/>
    </w:sdtPr>
    <w:sdtEndPr/>
    <w:sdtContent>
      <w:p w14:paraId="5C194F00" w14:textId="0079406A" w:rsidR="00262EA3" w:rsidRDefault="00960691" w:rsidP="00283E0F">
        <w:pPr>
          <w:pStyle w:val="FSHRub2"/>
        </w:pPr>
        <w:r>
          <w:t>Vikten av att svenska myndigheter använder EU:s tolkningsdokument</w:t>
        </w:r>
      </w:p>
    </w:sdtContent>
  </w:sdt>
  <w:sdt>
    <w:sdtPr>
      <w:alias w:val="CC_Boilerplate_3"/>
      <w:tag w:val="CC_Boilerplate_3"/>
      <w:id w:val="1606463544"/>
      <w:lock w:val="sdtContentLocked"/>
      <w15:appearance w15:val="hidden"/>
      <w:text w:multiLine="1"/>
    </w:sdtPr>
    <w:sdtEndPr/>
    <w:sdtContent>
      <w:p w14:paraId="51F8A0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967082">
    <w:abstractNumId w:val="9"/>
  </w:num>
  <w:num w:numId="2" w16cid:durableId="1237788273">
    <w:abstractNumId w:val="8"/>
  </w:num>
  <w:num w:numId="3" w16cid:durableId="132606856">
    <w:abstractNumId w:val="16"/>
  </w:num>
  <w:num w:numId="4" w16cid:durableId="670066868">
    <w:abstractNumId w:val="14"/>
  </w:num>
  <w:num w:numId="5" w16cid:durableId="1780097942">
    <w:abstractNumId w:val="17"/>
  </w:num>
  <w:num w:numId="6" w16cid:durableId="2069183638">
    <w:abstractNumId w:val="18"/>
  </w:num>
  <w:num w:numId="7" w16cid:durableId="320620400">
    <w:abstractNumId w:val="11"/>
  </w:num>
  <w:num w:numId="8" w16cid:durableId="1722051652">
    <w:abstractNumId w:val="12"/>
  </w:num>
  <w:num w:numId="9" w16cid:durableId="2101633575">
    <w:abstractNumId w:val="15"/>
  </w:num>
  <w:num w:numId="10" w16cid:durableId="640690313">
    <w:abstractNumId w:val="22"/>
  </w:num>
  <w:num w:numId="11" w16cid:durableId="50542880">
    <w:abstractNumId w:val="21"/>
  </w:num>
  <w:num w:numId="12" w16cid:durableId="312028049">
    <w:abstractNumId w:val="21"/>
  </w:num>
  <w:num w:numId="13" w16cid:durableId="319774996">
    <w:abstractNumId w:val="3"/>
  </w:num>
  <w:num w:numId="14" w16cid:durableId="1399207148">
    <w:abstractNumId w:val="2"/>
  </w:num>
  <w:num w:numId="15" w16cid:durableId="612057780">
    <w:abstractNumId w:val="1"/>
  </w:num>
  <w:num w:numId="16" w16cid:durableId="303900683">
    <w:abstractNumId w:val="0"/>
  </w:num>
  <w:num w:numId="17" w16cid:durableId="1590583616">
    <w:abstractNumId w:val="7"/>
  </w:num>
  <w:num w:numId="18" w16cid:durableId="1588878880">
    <w:abstractNumId w:val="6"/>
  </w:num>
  <w:num w:numId="19" w16cid:durableId="399448277">
    <w:abstractNumId w:val="5"/>
  </w:num>
  <w:num w:numId="20" w16cid:durableId="1932347708">
    <w:abstractNumId w:val="4"/>
  </w:num>
  <w:num w:numId="21" w16cid:durableId="691617048">
    <w:abstractNumId w:val="21"/>
  </w:num>
  <w:num w:numId="22" w16cid:durableId="623465296">
    <w:abstractNumId w:val="21"/>
  </w:num>
  <w:num w:numId="23" w16cid:durableId="1438602650">
    <w:abstractNumId w:val="21"/>
  </w:num>
  <w:num w:numId="24" w16cid:durableId="399518783">
    <w:abstractNumId w:val="21"/>
  </w:num>
  <w:num w:numId="25" w16cid:durableId="1272201204">
    <w:abstractNumId w:val="21"/>
  </w:num>
  <w:num w:numId="26" w16cid:durableId="2112554299">
    <w:abstractNumId w:val="22"/>
  </w:num>
  <w:num w:numId="27" w16cid:durableId="572470300">
    <w:abstractNumId w:val="22"/>
  </w:num>
  <w:num w:numId="28" w16cid:durableId="61370847">
    <w:abstractNumId w:val="22"/>
  </w:num>
  <w:num w:numId="29" w16cid:durableId="1394894138">
    <w:abstractNumId w:val="22"/>
  </w:num>
  <w:num w:numId="30" w16cid:durableId="1593122018">
    <w:abstractNumId w:val="21"/>
  </w:num>
  <w:num w:numId="31" w16cid:durableId="1663776621">
    <w:abstractNumId w:val="21"/>
  </w:num>
  <w:num w:numId="32" w16cid:durableId="1967197158">
    <w:abstractNumId w:val="22"/>
  </w:num>
  <w:num w:numId="33" w16cid:durableId="1641960670">
    <w:abstractNumId w:val="21"/>
  </w:num>
  <w:num w:numId="34" w16cid:durableId="947203327">
    <w:abstractNumId w:val="18"/>
  </w:num>
  <w:num w:numId="35" w16cid:durableId="495190177">
    <w:abstractNumId w:val="18"/>
    <w:lvlOverride w:ilvl="0">
      <w:startOverride w:val="1"/>
    </w:lvlOverride>
  </w:num>
  <w:num w:numId="36" w16cid:durableId="1769422718">
    <w:abstractNumId w:val="19"/>
  </w:num>
  <w:num w:numId="37" w16cid:durableId="342130275">
    <w:abstractNumId w:val="18"/>
    <w:lvlOverride w:ilvl="0">
      <w:startOverride w:val="1"/>
    </w:lvlOverride>
  </w:num>
  <w:num w:numId="38" w16cid:durableId="1163819744">
    <w:abstractNumId w:val="13"/>
  </w:num>
  <w:num w:numId="39" w16cid:durableId="6102862">
    <w:abstractNumId w:val="10"/>
  </w:num>
  <w:num w:numId="40" w16cid:durableId="2079815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0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1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5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9E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71"/>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8E"/>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B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0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D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95"/>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C3"/>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3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E5707"/>
  <w15:chartTrackingRefBased/>
  <w15:docId w15:val="{2D2E6006-5D7C-455B-BA26-0B5EDAB7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9606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6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F3F8A6C0B34847B9AD53102FD5ED8D"/>
        <w:category>
          <w:name w:val="Allmänt"/>
          <w:gallery w:val="placeholder"/>
        </w:category>
        <w:types>
          <w:type w:val="bbPlcHdr"/>
        </w:types>
        <w:behaviors>
          <w:behavior w:val="content"/>
        </w:behaviors>
        <w:guid w:val="{51204E3C-F28A-4FD0-9583-B01D4A13F179}"/>
      </w:docPartPr>
      <w:docPartBody>
        <w:p w:rsidR="00821E6F" w:rsidRDefault="006F6698">
          <w:pPr>
            <w:pStyle w:val="DCF3F8A6C0B34847B9AD53102FD5ED8D"/>
          </w:pPr>
          <w:r w:rsidRPr="005A0A93">
            <w:rPr>
              <w:rStyle w:val="Platshllartext"/>
            </w:rPr>
            <w:t>Förslag till riksdagsbeslut</w:t>
          </w:r>
        </w:p>
      </w:docPartBody>
    </w:docPart>
    <w:docPart>
      <w:docPartPr>
        <w:name w:val="4CF7142EAFB3465AAF45F97D866E2859"/>
        <w:category>
          <w:name w:val="Allmänt"/>
          <w:gallery w:val="placeholder"/>
        </w:category>
        <w:types>
          <w:type w:val="bbPlcHdr"/>
        </w:types>
        <w:behaviors>
          <w:behavior w:val="content"/>
        </w:behaviors>
        <w:guid w:val="{E397F0BB-6D4A-43E6-BA33-87CF3C89E592}"/>
      </w:docPartPr>
      <w:docPartBody>
        <w:p w:rsidR="00821E6F" w:rsidRDefault="006F6698">
          <w:pPr>
            <w:pStyle w:val="4CF7142EAFB3465AAF45F97D866E2859"/>
          </w:pPr>
          <w:r w:rsidRPr="005A0A93">
            <w:rPr>
              <w:rStyle w:val="Platshllartext"/>
            </w:rPr>
            <w:t>Motivering</w:t>
          </w:r>
        </w:p>
      </w:docPartBody>
    </w:docPart>
    <w:docPart>
      <w:docPartPr>
        <w:name w:val="F421843AB124417AA4478BC4DDB03159"/>
        <w:category>
          <w:name w:val="Allmänt"/>
          <w:gallery w:val="placeholder"/>
        </w:category>
        <w:types>
          <w:type w:val="bbPlcHdr"/>
        </w:types>
        <w:behaviors>
          <w:behavior w:val="content"/>
        </w:behaviors>
        <w:guid w:val="{40E92A20-59A0-4BDE-8B3E-54A569EEB1BF}"/>
      </w:docPartPr>
      <w:docPartBody>
        <w:p w:rsidR="00821E6F" w:rsidRDefault="006F6698">
          <w:pPr>
            <w:pStyle w:val="F421843AB124417AA4478BC4DDB03159"/>
          </w:pPr>
          <w:r>
            <w:rPr>
              <w:rStyle w:val="Platshllartext"/>
            </w:rPr>
            <w:t xml:space="preserve"> </w:t>
          </w:r>
        </w:p>
      </w:docPartBody>
    </w:docPart>
    <w:docPart>
      <w:docPartPr>
        <w:name w:val="8F05D9C25D5C431BA6E4F57D278B41C8"/>
        <w:category>
          <w:name w:val="Allmänt"/>
          <w:gallery w:val="placeholder"/>
        </w:category>
        <w:types>
          <w:type w:val="bbPlcHdr"/>
        </w:types>
        <w:behaviors>
          <w:behavior w:val="content"/>
        </w:behaviors>
        <w:guid w:val="{D5EA55C8-3BFC-4CAB-A92E-63CBFADBD3E0}"/>
      </w:docPartPr>
      <w:docPartBody>
        <w:p w:rsidR="00821E6F" w:rsidRDefault="006F6698">
          <w:pPr>
            <w:pStyle w:val="8F05D9C25D5C431BA6E4F57D278B41C8"/>
          </w:pPr>
          <w:r>
            <w:t xml:space="preserve"> </w:t>
          </w:r>
        </w:p>
      </w:docPartBody>
    </w:docPart>
    <w:docPart>
      <w:docPartPr>
        <w:name w:val="8FE789B221AF461AACC99273D4C15A99"/>
        <w:category>
          <w:name w:val="Allmänt"/>
          <w:gallery w:val="placeholder"/>
        </w:category>
        <w:types>
          <w:type w:val="bbPlcHdr"/>
        </w:types>
        <w:behaviors>
          <w:behavior w:val="content"/>
        </w:behaviors>
        <w:guid w:val="{478F4CE9-D618-4BC7-A624-EAA80EFD6528}"/>
      </w:docPartPr>
      <w:docPartBody>
        <w:p w:rsidR="004246A8" w:rsidRDefault="00424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6F"/>
    <w:rsid w:val="004246A8"/>
    <w:rsid w:val="006F6698"/>
    <w:rsid w:val="00821E6F"/>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F3F8A6C0B34847B9AD53102FD5ED8D">
    <w:name w:val="DCF3F8A6C0B34847B9AD53102FD5ED8D"/>
  </w:style>
  <w:style w:type="paragraph" w:customStyle="1" w:styleId="4CF7142EAFB3465AAF45F97D866E2859">
    <w:name w:val="4CF7142EAFB3465AAF45F97D866E2859"/>
  </w:style>
  <w:style w:type="paragraph" w:customStyle="1" w:styleId="F421843AB124417AA4478BC4DDB03159">
    <w:name w:val="F421843AB124417AA4478BC4DDB03159"/>
  </w:style>
  <w:style w:type="paragraph" w:customStyle="1" w:styleId="8F05D9C25D5C431BA6E4F57D278B41C8">
    <w:name w:val="8F05D9C25D5C431BA6E4F57D278B4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3958C-8986-4F75-87D7-7EA15FF771B8}"/>
</file>

<file path=customXml/itemProps2.xml><?xml version="1.0" encoding="utf-8"?>
<ds:datastoreItem xmlns:ds="http://schemas.openxmlformats.org/officeDocument/2006/customXml" ds:itemID="{2B6034C5-39BC-4A99-AD80-50155C11C36F}"/>
</file>

<file path=customXml/itemProps3.xml><?xml version="1.0" encoding="utf-8"?>
<ds:datastoreItem xmlns:ds="http://schemas.openxmlformats.org/officeDocument/2006/customXml" ds:itemID="{79B6EBCB-CFB9-4E4F-8A55-7A132A2EF633}"/>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1921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Vikten av att svenska myndigheter använder EU s tolkningsdokument</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