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96C88">
        <w:tblPrEx>
          <w:tblCellMar>
            <w:top w:w="0" w:type="dxa"/>
            <w:left w:w="0" w:type="dxa"/>
            <w:bottom w:w="0" w:type="dxa"/>
            <w:right w:w="0" w:type="dxa"/>
          </w:tblCellMar>
        </w:tblPrEx>
        <w:trPr>
          <w:gridAfter w:val="2"/>
          <w:wAfter w:w="1758" w:type="dxa"/>
          <w:cantSplit/>
          <w:trHeight w:val="1320"/>
        </w:trPr>
        <w:tc>
          <w:tcPr>
            <w:tcW w:w="5897" w:type="dxa"/>
          </w:tcPr>
          <w:p w:rsidR="00F96C88" w:rsidRPr="00F96C88" w:rsidRDefault="00F96C88">
            <w:pPr>
              <w:pStyle w:val="HuvudRubrik"/>
            </w:pPr>
            <w:r w:rsidRPr="00F96C88">
              <w:t>Regeringskansliet</w:t>
            </w:r>
          </w:p>
          <w:p w:rsidR="00F96C88" w:rsidRPr="00F96C88" w:rsidRDefault="00F96C88">
            <w:pPr>
              <w:pStyle w:val="HuvudRubrik"/>
            </w:pPr>
            <w:r w:rsidRPr="00F96C88">
              <w:t>Faktapromemoria  2008/09:FPM59</w:t>
            </w:r>
          </w:p>
        </w:tc>
      </w:tr>
      <w:tr w:rsidR="00000000" w:rsidRPr="00F96C88">
        <w:tblPrEx>
          <w:tblCellMar>
            <w:top w:w="0" w:type="dxa"/>
            <w:left w:w="0" w:type="dxa"/>
            <w:bottom w:w="0" w:type="dxa"/>
            <w:right w:w="0" w:type="dxa"/>
          </w:tblCellMar>
        </w:tblPrEx>
        <w:trPr>
          <w:gridAfter w:val="2"/>
          <w:wAfter w:w="1758" w:type="dxa"/>
          <w:cantSplit/>
          <w:trHeight w:val="240"/>
        </w:trPr>
        <w:tc>
          <w:tcPr>
            <w:tcW w:w="5897" w:type="dxa"/>
          </w:tcPr>
          <w:p w:rsidR="00F96C88" w:rsidRPr="00F96C88" w:rsidRDefault="00F96C88">
            <w:pPr>
              <w:pStyle w:val="HuvudRubrik"/>
              <w:rPr>
                <w:sz w:val="28"/>
              </w:rPr>
            </w:pPr>
            <w:r w:rsidRPr="00F96C88">
              <w:t>Samarbete kring metrologisk forskning och utveckling (Artikel 169)</w:t>
            </w:r>
          </w:p>
        </w:tc>
      </w:tr>
      <w:tr w:rsidR="00000000" w:rsidRPr="00F96C88">
        <w:tblPrEx>
          <w:tblCellMar>
            <w:top w:w="0" w:type="dxa"/>
            <w:left w:w="0" w:type="dxa"/>
            <w:bottom w:w="0" w:type="dxa"/>
            <w:right w:w="0" w:type="dxa"/>
          </w:tblCellMar>
        </w:tblPrEx>
        <w:trPr>
          <w:cantSplit/>
          <w:trHeight w:val="285"/>
        </w:trPr>
        <w:tc>
          <w:tcPr>
            <w:tcW w:w="7655" w:type="dxa"/>
            <w:gridSpan w:val="3"/>
          </w:tcPr>
          <w:p w:rsidR="00F96C88" w:rsidRPr="00F96C88" w:rsidRDefault="00F96C88">
            <w:pPr>
              <w:pStyle w:val="Departement"/>
              <w:rPr>
                <w:sz w:val="28"/>
              </w:rPr>
            </w:pPr>
            <w:r w:rsidRPr="00F96C88">
              <w:t>Näringsdepartementet</w:t>
            </w:r>
          </w:p>
        </w:tc>
      </w:tr>
      <w:tr w:rsidR="00000000" w:rsidRPr="00F96C88">
        <w:tblPrEx>
          <w:tblCellMar>
            <w:top w:w="0" w:type="dxa"/>
            <w:left w:w="0" w:type="dxa"/>
            <w:bottom w:w="0" w:type="dxa"/>
            <w:right w:w="0" w:type="dxa"/>
          </w:tblCellMar>
        </w:tblPrEx>
        <w:trPr>
          <w:cantSplit/>
          <w:trHeight w:val="240"/>
        </w:trPr>
        <w:tc>
          <w:tcPr>
            <w:tcW w:w="7655" w:type="dxa"/>
            <w:gridSpan w:val="3"/>
          </w:tcPr>
          <w:p w:rsidR="00F96C88" w:rsidRPr="00F96C88" w:rsidRDefault="00F96C88">
            <w:pPr>
              <w:pStyle w:val="Dokumentdatum"/>
            </w:pPr>
            <w:r w:rsidRPr="00F96C88">
              <w:t>2009-01-13</w:t>
            </w:r>
          </w:p>
        </w:tc>
      </w:tr>
      <w:tr w:rsidR="00000000" w:rsidRPr="00F96C88">
        <w:tblPrEx>
          <w:tblCellMar>
            <w:top w:w="0" w:type="dxa"/>
            <w:left w:w="0" w:type="dxa"/>
            <w:bottom w:w="0" w:type="dxa"/>
            <w:right w:w="0" w:type="dxa"/>
          </w:tblCellMar>
        </w:tblPrEx>
        <w:trPr>
          <w:cantSplit/>
          <w:trHeight w:val="726"/>
        </w:trPr>
        <w:tc>
          <w:tcPr>
            <w:tcW w:w="7655" w:type="dxa"/>
            <w:gridSpan w:val="3"/>
            <w:vAlign w:val="bottom"/>
          </w:tcPr>
          <w:p w:rsidR="00F96C88" w:rsidRPr="00F96C88" w:rsidRDefault="00F96C88">
            <w:pPr>
              <w:pStyle w:val="Dokumentbeteckning"/>
            </w:pPr>
            <w:r w:rsidRPr="00F96C88">
              <w:t>Dokumentbeteckning</w:t>
            </w:r>
          </w:p>
        </w:tc>
      </w:tr>
      <w:tr w:rsidR="00000000" w:rsidRPr="00F96C88">
        <w:tblPrEx>
          <w:tblCellMar>
            <w:top w:w="0" w:type="dxa"/>
            <w:left w:w="0" w:type="dxa"/>
            <w:bottom w:w="0" w:type="dxa"/>
            <w:right w:w="0" w:type="dxa"/>
          </w:tblCellMar>
        </w:tblPrEx>
        <w:trPr>
          <w:gridAfter w:val="1"/>
          <w:wAfter w:w="1560" w:type="dxa"/>
          <w:trHeight w:val="120"/>
        </w:trPr>
        <w:tc>
          <w:tcPr>
            <w:tcW w:w="6095" w:type="dxa"/>
            <w:gridSpan w:val="2"/>
          </w:tcPr>
          <w:p w:rsidR="00F96C88" w:rsidRPr="00F96C88" w:rsidRDefault="00F96C88">
            <w:bookmarkStart w:id="0" w:name="KomNr"/>
            <w:bookmarkEnd w:id="0"/>
            <w:r w:rsidRPr="00F96C88">
              <w:t>KOM (2008) 814 slutlig</w:t>
            </w:r>
          </w:p>
        </w:tc>
      </w:tr>
      <w:tr w:rsidR="00000000" w:rsidRPr="00F96C88">
        <w:tblPrEx>
          <w:tblCellMar>
            <w:top w:w="0" w:type="dxa"/>
            <w:left w:w="0" w:type="dxa"/>
            <w:bottom w:w="0" w:type="dxa"/>
            <w:right w:w="0" w:type="dxa"/>
          </w:tblCellMar>
        </w:tblPrEx>
        <w:trPr>
          <w:gridAfter w:val="1"/>
          <w:wAfter w:w="1560" w:type="dxa"/>
          <w:trHeight w:val="120"/>
        </w:trPr>
        <w:tc>
          <w:tcPr>
            <w:tcW w:w="6095" w:type="dxa"/>
            <w:gridSpan w:val="2"/>
          </w:tcPr>
          <w:p w:rsidR="00F96C88" w:rsidRPr="00F96C88" w:rsidRDefault="00F96C88">
            <w:pPr>
              <w:pStyle w:val="Dokumentbeteckning-titel"/>
            </w:pPr>
            <w:r w:rsidRPr="00F96C88">
              <w:t>Förslag till Europaparlamentets och rådets beslut om gemenskapens deltagande i ett europeiskt forskningsprogram för metrologi som genomförs av flera medlemsstater</w:t>
            </w:r>
          </w:p>
        </w:tc>
      </w:tr>
    </w:tbl>
    <w:p w:rsidR="00F96C88" w:rsidRPr="00F96C88" w:rsidRDefault="00F96C88">
      <w:pPr>
        <w:pStyle w:val="Rubrik1"/>
        <w:numPr>
          <w:ilvl w:val="0"/>
          <w:numId w:val="0"/>
        </w:numPr>
      </w:pPr>
      <w:r w:rsidRPr="00F96C88">
        <w:t>Sammanfattning</w:t>
      </w:r>
    </w:p>
    <w:p w:rsidR="00F96C88" w:rsidRPr="00F96C88" w:rsidRDefault="00F96C88">
      <w:r w:rsidRPr="00F96C88">
        <w:t>Förslaget innebär att det skapas ett nytt europeiskt forskningsprogram under fördragets artikel 169 i syfte att på europeisk nivå stärka metrologins betydelse för tillväxt. Det gemensamma programmet motiveras av att den europeiska metrologiforskningen är alltför fragmenterad då den uteslutande bedrivs på nationell nivå. Det gemensamma programmet löper under 6-7 år. 22 länder (varav 19 medlemsstater) bidrar genom sina nationella metrologiforskningsprogram med totalt 200 miljoner euro, plus 100 miljoner euro</w:t>
      </w:r>
      <w:r w:rsidRPr="00F96C88">
        <w:t xml:space="preserve"> i reserv. Till detta bidrar gemenskapen med ytterligare 200 miljoner euro. Programmet förväntas påskynda utveckling, utprovning och utnyttjande av nya metrologiska tekniker, standarder, processer, instrument, referensmaterial och kunskaper för att driva på den innovativa utvecklingen inom industri och handel, höja kvaliteten på data inom forskning, industri och beslutsfattande samt stödja utveckling och genomförande av direktiv och förordningar. Regeringen är positiv till förslaget och detsamma gäller ansv</w:t>
      </w:r>
      <w:r w:rsidRPr="00F96C88">
        <w:t>arig myndighet (Vinnova) och huvudansvarig utförare (SP Sveriges Tekniska Forskningsinstitut AB). Det svenska deltagandet i programmet finansieras genom Vinnovas nationella metrologiforskningsprogram och medför ingen extra belastning på statens utgifter.</w:t>
      </w:r>
    </w:p>
    <w:p w:rsidR="00F96C88" w:rsidRPr="00F96C88" w:rsidRDefault="00F96C88">
      <w:pPr>
        <w:pStyle w:val="Rubrik1"/>
      </w:pPr>
      <w:r w:rsidRPr="00F96C88">
        <w:lastRenderedPageBreak/>
        <w:t>Förslaget</w:t>
      </w:r>
    </w:p>
    <w:p w:rsidR="00F96C88" w:rsidRPr="00F96C88" w:rsidRDefault="00F96C88">
      <w:pPr>
        <w:pStyle w:val="Rubrik2"/>
      </w:pPr>
      <w:r w:rsidRPr="00F96C88">
        <w:t>Ärendets bakgrund</w:t>
      </w:r>
    </w:p>
    <w:p w:rsidR="00F96C88" w:rsidRPr="00F96C88" w:rsidRDefault="00F96C88">
      <w:r w:rsidRPr="00F96C88">
        <w:t>Trots att metrologisk forskning är ett mindre allmänt känt område så har det stor betydelse för bl.a. innovation, handel, kommunikation, regler och standardisering. Internationella ekonomer är eniga om att metrologisk forskning och utveckling har fundamental betydelse för långsiktig tillväxt. I Europa bedrivs metrologisk forskning uteslutande på nationell basis av specialister som är löst knutna till forskningsorganisationer eller akademi. Den europeiska metrologiforskningen har stor utvecklingspotential d</w:t>
      </w:r>
      <w:r w:rsidRPr="00F96C88">
        <w:t xml:space="preserve">å den f.n. är alltför fragmenterad och bedrivs med nationellt varierande ambitionsnivåer. Mot denna bakgrund beslutade rådet i juni 2006 (No 971/2006/EC) att avsätta vissa medel inom det s.k. sjunde ramprogrammet (FP7) för att förbereda ett koordinerat europeiskt metrologisamarbete under Fördragets Artikel 169, vilket så småningom ledde fram till det förslag som kommissionen nu presenterar.     </w:t>
      </w:r>
    </w:p>
    <w:p w:rsidR="00F96C88" w:rsidRPr="00F96C88" w:rsidRDefault="00F96C88">
      <w:pPr>
        <w:pStyle w:val="Rubrik2"/>
      </w:pPr>
      <w:r w:rsidRPr="00F96C88">
        <w:t>Förslagets innehåll</w:t>
      </w:r>
    </w:p>
    <w:p w:rsidR="00F96C88" w:rsidRPr="00F96C88" w:rsidRDefault="00F96C88">
      <w:r w:rsidRPr="00F96C88">
        <w:t>Förslaget innebär att det skapas ett nytt europeiskt metrologiforskningsprogram (European Metrology Research Programme, förk. EMRP) som sammanför 22 nationella metrologiforskningsprogram i ett enda gemensamt program. Förslaget syftar till att genom koordinerade insatser öka den europeiska effektiviteten och genomslagskraften i offentligfinansierad metrologiforskning. Följande medlemsstater eller till FP7 associerade länder är involverade i programmet: Österrike, Belgien, Tjeckien, Danmark, Estland, Finland</w:t>
      </w:r>
      <w:r w:rsidRPr="00F96C88">
        <w:t>, Frankrike, Tyskland, Ungern, Italien, Holland, Polen, Portugal, Rumänien, Slovakien, Slovenien, Spanien, Sverige och England samt Norge, Schweiz och Turkiet. Kommissionen kan komma att associeras till programmet genom dess gemensamma forskningscentrum (JRC)/Institutet för referensmaterial och mätningar.</w:t>
      </w:r>
    </w:p>
    <w:p w:rsidR="00F96C88" w:rsidRPr="00F96C88" w:rsidRDefault="00F96C88">
      <w:r w:rsidRPr="00F96C88">
        <w:t>Programmet förväntas påskynda utveckling, utprovning och utnyttjande av nya metrologiska tekniker, standarder, processer, instrument, referensmaterial och kunskaper för att driva på den innovativa utveckli</w:t>
      </w:r>
      <w:r w:rsidRPr="00F96C88">
        <w:t>ngen inom industri och handel, höja kvaliteten på data inom forskning, industri och beslutsfattande samt stödja utveckling och genomförande av direktiv och förordningar.</w:t>
      </w:r>
    </w:p>
    <w:p w:rsidR="00F96C88" w:rsidRPr="00F96C88" w:rsidRDefault="00F96C88">
      <w:r w:rsidRPr="00F96C88">
        <w:t>Dessa mål ska uppnås på följande vis:</w:t>
      </w:r>
    </w:p>
    <w:p w:rsidR="00F96C88" w:rsidRPr="00F96C88" w:rsidRDefault="00F96C88">
      <w:r w:rsidRPr="00F96C88">
        <w:t>a) Gemensamt utnyttjande av kompetens inom metrologiforskning — genom att skapa konkurrerande gemensamma forskningsprojekt som samlar kapacitet med tillräcklig kritisk massa från de deltagande medlemsstaternas nätverk av nationella metrologiska institut och särskilt utsedda institut för att möta de stora metrologiska utmaningarna på europeisk nivå.</w:t>
      </w:r>
    </w:p>
    <w:p w:rsidR="00F96C88" w:rsidRPr="00F96C88" w:rsidRDefault="00F96C88">
      <w:r w:rsidRPr="00F96C88">
        <w:t>b) Ett system som är öppet för den bästa forskningen — genom att öka deltagandet från det bredare europeiska forskningssamhället genom forskningsstipendier.</w:t>
      </w:r>
    </w:p>
    <w:p w:rsidR="00F96C88" w:rsidRPr="00F96C88" w:rsidRDefault="00F96C88">
      <w:r w:rsidRPr="00F96C88">
        <w:t>c) Kapacitetsuppbyggnad — genom att öka de europeiska metrologiforskarnas kapacitet genom rörlighetsbidrag till forskare i de länder som är medlemmar i EURAMET</w:t>
      </w:r>
      <w:r w:rsidRPr="00F96C88">
        <w:rPr>
          <w:rStyle w:val="Fotnotsreferens"/>
        </w:rPr>
        <w:footnoteReference w:id="1"/>
      </w:r>
      <w:r w:rsidRPr="00F96C88">
        <w:t xml:space="preserve"> och som har begränsad metrologisk forskningskapacitet.</w:t>
      </w:r>
    </w:p>
    <w:p w:rsidR="00F96C88" w:rsidRPr="00F96C88" w:rsidRDefault="00F96C88">
      <w:r w:rsidRPr="00F96C88">
        <w:t>Det gemensamma programmet (EMRP) kommer att komplettera befintliga nationella program och aktiviteter som är inriktade på nationella prioriteringar.</w:t>
      </w:r>
    </w:p>
    <w:p w:rsidR="00F96C88" w:rsidRPr="00F96C88" w:rsidRDefault="00F96C88">
      <w:r w:rsidRPr="00F96C88">
        <w:t xml:space="preserve">Programmet föreslås få en löptid om 6-7 år med en total budget om 400 miljoner euro plus 100 miljoner euro i reserv. Programmet föreslås finansieras med bidrag från deltagande MS nationella program med totalt 200 miljoner euro plus ytterligare 200 miljoner euro från gemenskapen. Medlemsstater föreslås därutöver bidra med en reservpott om totalt 100 miljoner euro. </w:t>
      </w:r>
    </w:p>
    <w:p w:rsidR="00F96C88" w:rsidRPr="00F96C88" w:rsidRDefault="00F96C88">
      <w:pPr>
        <w:pStyle w:val="Rubrik2"/>
      </w:pPr>
      <w:r w:rsidRPr="00F96C88">
        <w:t>Gällande svenska regler och förslagets effekt på dessa</w:t>
      </w:r>
    </w:p>
    <w:p w:rsidR="00F96C88" w:rsidRPr="00F96C88" w:rsidRDefault="00F96C88">
      <w:r w:rsidRPr="00F96C88">
        <w:t xml:space="preserve">Frågor om lagbunden mätteknisk verksamhet, s.k. legal metrologi, regleras i lagen (1992:1524) om måttenheter, mätningar och mätdon. Legal metrologi omfattar i huvudsak legala krav på mätningar och mättekniska metoder, på mätinstruments beskaffenhet och kontroll av sådana instrument och förpackningar. För sådana mätinstrument som ännu inte satts på marknaden finns dessutom harmoniserade EG-regler. Nuvarande lagstiftning berörs inte av förslaget.   </w:t>
      </w:r>
    </w:p>
    <w:p w:rsidR="00F96C88" w:rsidRPr="00F96C88" w:rsidRDefault="00F96C88">
      <w:pPr>
        <w:pStyle w:val="Rubrik2"/>
      </w:pPr>
      <w:r w:rsidRPr="00F96C88">
        <w:t>Budgetära konsekvenser / Konsekvensanalys</w:t>
      </w:r>
    </w:p>
    <w:p w:rsidR="00F96C88" w:rsidRPr="00F96C88" w:rsidRDefault="00F96C88">
      <w:r w:rsidRPr="00F96C88">
        <w:t xml:space="preserve">De nationella bidragen till programmet finansieras utifrån existerande nationella program. Således förutses ingen extra budgetbelastning på nationell nivå. De nationella bidragens storlek beräknas utifrån en särskild nyckel och indelas i två huvudkomponenter; dels en mindre andel som avsätts kontant i en gemensam pott, dels en större andel som täcker eget (nationellt) insatt forskningsarbete i programmet. </w:t>
      </w:r>
    </w:p>
    <w:p w:rsidR="00F96C88" w:rsidRPr="00F96C88" w:rsidRDefault="00F96C88">
      <w:r w:rsidRPr="00F96C88">
        <w:t xml:space="preserve">Sveriges bidrag till den gemensamma potten beräknas av Vinnova uppgå till ca 2 miljoner kronor per år. Sveriges kostnader i programmet kommer att täckas av Vinnova inom  ramen för statens stöd till metrologisk forskning. </w:t>
      </w:r>
    </w:p>
    <w:p w:rsidR="00F96C88" w:rsidRPr="00F96C88" w:rsidRDefault="00F96C88">
      <w:r w:rsidRPr="00F96C88">
        <w:t xml:space="preserve">De budgetära konsekvenserna för gemenskapen har redan behandlats i den rättsliga grunden för FP7 och i det särskilda programmet Samarbete inom FP7. Det avtal som ska ingås mellan kommissionen och den särskilda genomförandeorganisationen ska garantera att gemenskapens finansiella intressen är skyddade.   </w:t>
      </w:r>
    </w:p>
    <w:p w:rsidR="00F96C88" w:rsidRPr="00F96C88" w:rsidRDefault="00F96C88">
      <w:pPr>
        <w:pStyle w:val="Rubrik1"/>
      </w:pPr>
      <w:r w:rsidRPr="00F96C88">
        <w:t>Ståndpunkter</w:t>
      </w:r>
    </w:p>
    <w:p w:rsidR="00F96C88" w:rsidRPr="00F96C88" w:rsidRDefault="00F96C88">
      <w:pPr>
        <w:pStyle w:val="Rubrik2"/>
      </w:pPr>
      <w:r w:rsidRPr="00F96C88">
        <w:t>Preliminär svensk ståndpunkt</w:t>
      </w:r>
    </w:p>
    <w:p w:rsidR="00F96C88" w:rsidRPr="00F96C88" w:rsidRDefault="00F96C88">
      <w:r w:rsidRPr="00F96C88">
        <w:t xml:space="preserve">Regeringen är positiv till förslaget som finansieras inom befintliga budgetramar. </w:t>
      </w:r>
    </w:p>
    <w:p w:rsidR="00F96C88" w:rsidRPr="00F96C88" w:rsidRDefault="00F96C88">
      <w:pPr>
        <w:pStyle w:val="Rubrik2"/>
      </w:pPr>
      <w:r w:rsidRPr="00F96C88">
        <w:t>Medlemsstaternas ståndpunkter</w:t>
      </w:r>
    </w:p>
    <w:p w:rsidR="00F96C88" w:rsidRPr="00F96C88" w:rsidRDefault="00F96C88">
      <w:r w:rsidRPr="00F96C88">
        <w:t>De medlemsstater som står utanför programmet har möjlighet att senare ansluta till programmet.</w:t>
      </w:r>
    </w:p>
    <w:p w:rsidR="00F96C88" w:rsidRPr="00F96C88" w:rsidRDefault="00F96C88">
      <w:pPr>
        <w:pStyle w:val="Rubrik2"/>
      </w:pPr>
      <w:r w:rsidRPr="00F96C88">
        <w:t>Institutionernas ståndpunkter</w:t>
      </w:r>
    </w:p>
    <w:p w:rsidR="00F96C88" w:rsidRPr="00F96C88" w:rsidRDefault="00F96C88">
      <w:r w:rsidRPr="00F96C88">
        <w:t xml:space="preserve">Europaparlamentet och rådet är i allt väsentligt positiva till förslaget (2008/0230 (COD). </w:t>
      </w:r>
    </w:p>
    <w:p w:rsidR="00F96C88" w:rsidRPr="00F96C88" w:rsidRDefault="00F96C88">
      <w:pPr>
        <w:pStyle w:val="Rubrik2"/>
      </w:pPr>
      <w:r w:rsidRPr="00F96C88">
        <w:t>Remissinstansernas ståndpunkter</w:t>
      </w:r>
    </w:p>
    <w:p w:rsidR="00F96C88" w:rsidRPr="00F96C88" w:rsidRDefault="00F96C88">
      <w:r w:rsidRPr="00F96C88">
        <w:t>Förslaget har utarbetats i beaktande av kommissionens samråd och möten med berörda organisationer och företag. I Sverige är såväl ansvarig myndighet, Vinnova, som huvudansvarig svensk utförare, SP Sveriges Tekniska Forskningsinstitut AB (som också deltagit i de informella förberedelserna), positiva till förslaget.</w:t>
      </w:r>
    </w:p>
    <w:p w:rsidR="00F96C88" w:rsidRPr="00F96C88" w:rsidRDefault="00F96C88">
      <w:pPr>
        <w:pStyle w:val="Rubrik1"/>
      </w:pPr>
      <w:r w:rsidRPr="00F96C88">
        <w:t>Förslagets förutsättningar</w:t>
      </w:r>
    </w:p>
    <w:p w:rsidR="00F96C88" w:rsidRPr="00F96C88" w:rsidRDefault="00F96C88">
      <w:pPr>
        <w:pStyle w:val="Rubrik2"/>
      </w:pPr>
      <w:r w:rsidRPr="00F96C88">
        <w:t>Rättslig grund och beslutsförfarande</w:t>
      </w:r>
    </w:p>
    <w:p w:rsidR="00F96C88" w:rsidRPr="00F96C88" w:rsidRDefault="00F96C88">
      <w:r w:rsidRPr="00F96C88">
        <w:t>Artikel 169 i Fördraget.</w:t>
      </w:r>
    </w:p>
    <w:p w:rsidR="00F96C88" w:rsidRPr="00F96C88" w:rsidRDefault="00F96C88">
      <w:pPr>
        <w:pStyle w:val="Rubrik2"/>
      </w:pPr>
      <w:r w:rsidRPr="00F96C88">
        <w:t>Subsidiaritets- och proportionalitetsprincipen</w:t>
      </w:r>
    </w:p>
    <w:p w:rsidR="00F96C88" w:rsidRPr="00F96C88" w:rsidRDefault="00F96C88">
      <w:r w:rsidRPr="00F96C88">
        <w:t xml:space="preserve">Subsidiaritetsprincipen uppfylls genom att förslaget ligger utanför gemenskapens uttalade ansvar och kompetens samt genom att enskilda medlemsstater saknar resurser att på egen hand genomföra eller uppnå de insatser och mål som det gemensamma programmet åsyftar. </w:t>
      </w:r>
    </w:p>
    <w:p w:rsidR="00F96C88" w:rsidRPr="00F96C88" w:rsidRDefault="00F96C88">
      <w:r w:rsidRPr="00F96C88">
        <w:t xml:space="preserve">Proportionalitetsprincipen uppfylls genom att det gemensamma programmet leds av medlemsstater med stort utrymme för nationella beslut, att medlemsstater totala insats i programmet utgör en relativt låg andel av motsvarande nationella program  och att kommissionens bidrag till programmet möjliggör en gemensam och koordinerad insats på europeisk nivå.  </w:t>
      </w:r>
    </w:p>
    <w:p w:rsidR="00F96C88" w:rsidRPr="00F96C88" w:rsidRDefault="00F96C88">
      <w:pPr>
        <w:pStyle w:val="Rubrik1"/>
      </w:pPr>
      <w:r w:rsidRPr="00F96C88">
        <w:t>Övrigt</w:t>
      </w:r>
    </w:p>
    <w:p w:rsidR="00F96C88" w:rsidRPr="00F96C88" w:rsidRDefault="00F96C88">
      <w:pPr>
        <w:pStyle w:val="Rubrik2"/>
      </w:pPr>
      <w:r w:rsidRPr="00F96C88">
        <w:t>Fortsatt behandling av ärendet</w:t>
      </w:r>
    </w:p>
    <w:p w:rsidR="00F96C88" w:rsidRPr="00F96C88" w:rsidRDefault="00F96C88">
      <w:r w:rsidRPr="00F96C88">
        <w:t>Förslaget kommer nu att behandlas i rådet. En överenskommelse i rådet bör därför kunna förväntas under första halvåret 2009.</w:t>
      </w:r>
    </w:p>
    <w:p w:rsidR="00F96C88" w:rsidRPr="00F96C88" w:rsidRDefault="00F96C88">
      <w:pPr>
        <w:pStyle w:val="Rubrik2"/>
      </w:pPr>
      <w:r w:rsidRPr="00F96C88">
        <w:t>Fackuttryck/termer</w:t>
      </w:r>
    </w:p>
    <w:p w:rsidR="00F96C88" w:rsidRPr="00F96C88" w:rsidRDefault="00F96C88">
      <w:r w:rsidRPr="00F96C88">
        <w:t>Metrologi; Läran om hur man genomför mätningar och kontrollerar mätresultat.</w:t>
      </w:r>
    </w:p>
    <w:sectPr w:rsidR="00000000" w:rsidRPr="00F96C8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C88" w:rsidRPr="00F96C88" w:rsidRDefault="00F96C88">
      <w:r w:rsidRPr="00F96C88">
        <w:separator/>
      </w:r>
    </w:p>
  </w:endnote>
  <w:endnote w:type="continuationSeparator" w:id="0">
    <w:p w:rsidR="00F96C88" w:rsidRPr="00F96C88" w:rsidRDefault="00F96C88">
      <w:r w:rsidRPr="00F96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fotH"/>
      <w:framePr w:wrap="around"/>
    </w:pPr>
    <w:r w:rsidRPr="00F96C88">
      <w:t>2</w:t>
    </w:r>
  </w:p>
  <w:p w:rsidR="00F96C88" w:rsidRPr="00F96C88" w:rsidRDefault="00F96C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fotH"/>
      <w:framePr w:wrap="around"/>
    </w:pPr>
    <w:r w:rsidRPr="00F96C88">
      <w:t>1</w:t>
    </w:r>
  </w:p>
  <w:p w:rsidR="00F96C88" w:rsidRPr="00F96C88" w:rsidRDefault="00F96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C88" w:rsidRPr="00F96C88" w:rsidRDefault="00F96C88">
      <w:r w:rsidRPr="00F96C88">
        <w:separator/>
      </w:r>
    </w:p>
  </w:footnote>
  <w:footnote w:type="continuationSeparator" w:id="0">
    <w:p w:rsidR="00F96C88" w:rsidRPr="00F96C88" w:rsidRDefault="00F96C88">
      <w:r w:rsidRPr="00F96C88">
        <w:continuationSeparator/>
      </w:r>
    </w:p>
  </w:footnote>
  <w:footnote w:id="1">
    <w:p w:rsidR="00F96C88" w:rsidRPr="00F96C88" w:rsidRDefault="00F96C88">
      <w:pPr>
        <w:pStyle w:val="Fotnotstext"/>
      </w:pPr>
      <w:r w:rsidRPr="00F96C88">
        <w:rPr>
          <w:rStyle w:val="Fotnotsreferens"/>
        </w:rPr>
        <w:footnoteRef/>
      </w:r>
      <w:r w:rsidRPr="00F96C88">
        <w:t xml:space="preserve"> EURAMET e.V. är den särskilda genomförarorganisationen för EMRP. Den inrättades 2007 enligt tysk lag som ideell förening. EURAMET e.V. är den europeiska regionala metrologiorganisationen.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Kantrubrik"/>
      <w:framePr w:h="1157" w:hRule="exact" w:wrap="around" w:y="738"/>
    </w:pPr>
    <w:r w:rsidRPr="00F96C88">
      <w:t>2008/09:FPM59</w:t>
    </w:r>
  </w:p>
  <w:p w:rsidR="00F96C88" w:rsidRPr="00F96C88" w:rsidRDefault="00F96C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C88" w:rsidRPr="00F96C88" w:rsidRDefault="00F96C88">
    <w:pPr>
      <w:pStyle w:val="Sidhuvud"/>
    </w:pPr>
    <w:r w:rsidRPr="00F96C8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86320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C88" w:rsidRDefault="00F96C8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96C88" w:rsidRDefault="00F96C88">
                    <w:pPr>
                      <w:pStyle w:val="Logo"/>
                    </w:pPr>
                    <w:r>
                      <w:object w:dxaOrig="840" w:dyaOrig="1545">
                        <v:shape id="_x0000_i1025" type="#_x0000_t75" style="width:42pt;height:77.5pt" filled="t">
                          <v:imagedata r:id="rId1" o:title=""/>
                        </v:shape>
                        <o:OLEObject Type="Embed" ProgID="Word.Picture.8" ShapeID="_x0000_i1025" DrawAspect="Content" ObjectID="_18275102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16974179">
    <w:abstractNumId w:val="4"/>
  </w:num>
  <w:num w:numId="2" w16cid:durableId="1424954328">
    <w:abstractNumId w:val="1"/>
  </w:num>
  <w:num w:numId="3" w16cid:durableId="1928340801">
    <w:abstractNumId w:val="2"/>
  </w:num>
  <w:num w:numId="4" w16cid:durableId="1605579051">
    <w:abstractNumId w:val="3"/>
  </w:num>
  <w:num w:numId="5" w16cid:durableId="2076975386">
    <w:abstractNumId w:val="5"/>
  </w:num>
  <w:num w:numId="6" w16cid:durableId="25790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13"/>
    <w:docVar w:name="Ar" w:val="2008/09"/>
    <w:docVar w:name="Dep" w:val="Näringsdepartementet"/>
    <w:docVar w:name="DepWeb" w:val="Näringsdepartementet"/>
    <w:docVar w:name="GDB1" w:val="KOM (2008) 81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gemenskapens deltagande i ett europeiskt forskningsprogram för metrologi som genomförs av flera medlemssta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14 slutlig"/>
    <w:docVar w:name="Nr" w:val="59"/>
    <w:docVar w:name="RD_APPVERSION" w:val="3.00"/>
    <w:docVar w:name="Rub" w:val="Samarbete kring metrologisk forskning och utveckling (Artikel 169)"/>
    <w:docVar w:name="UppDat" w:val="2009-01-13"/>
    <w:docVar w:name="Utsk" w:val="Utbildningsutskottet"/>
  </w:docVars>
  <w:rsids>
    <w:rsidRoot w:val="00EF3FEF"/>
    <w:rsid w:val="00EF3FEF"/>
    <w:rsid w:val="00F96C8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0E6988-CDE0-4F7C-BCB4-EBFD34E9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1065</Words>
  <Characters>7237</Characters>
  <Application>Microsoft Office Word</Application>
  <DocSecurity>4</DocSecurity>
  <Lines>144</Lines>
  <Paragraphs>54</Paragraphs>
  <ScaleCrop>false</ScaleCrop>
  <HeadingPairs>
    <vt:vector size="2" baseType="variant">
      <vt:variant>
        <vt:lpstr>Rubrik</vt:lpstr>
      </vt:variant>
      <vt:variant>
        <vt:i4>1</vt:i4>
      </vt:variant>
    </vt:vector>
  </HeadingPairs>
  <TitlesOfParts>
    <vt:vector size="1" baseType="lpstr">
      <vt:lpstr>FPM_200809__59</vt:lpstr>
    </vt:vector>
  </TitlesOfParts>
  <Company>RD-DTSL</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FPM_200809__59</dc:title>
  <dc:subject>FPM_200809__59</dc:subject>
  <dc:creator>Riksdagen</dc:creator>
  <cp:keywords>Riksdagen</cp:keywords>
  <dc:description>KP2004-version.  Ändringarna påverkar enbart användningen inom Riksdagen. 050429 nya departement DTSL.</dc:description>
  <cp:lastModifiedBy>Lars Brink</cp:lastModifiedBy>
  <cp:revision>2</cp:revision>
  <cp:lastPrinted>2009-01-14T06:17:00Z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59</vt:lpwstr>
  </property>
  <property fmtid="{D5CDD505-2E9C-101B-9397-08002B2CF9AE}" pid="4" name="GDB1">
    <vt:lpwstr>KOM (2008) 814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Samarbete kring metrologisk forskning och utveckling (Artikel 169)</vt:lpwstr>
  </property>
  <property fmtid="{D5CDD505-2E9C-101B-9397-08002B2CF9AE}" pid="8" name="UppDat">
    <vt:lpwstr>2009-01-13</vt:lpwstr>
  </property>
  <property fmtid="{D5CDD505-2E9C-101B-9397-08002B2CF9AE}" pid="9" name="AnkDat">
    <vt:lpwstr>2009-01-13</vt:lpwstr>
  </property>
  <property fmtid="{D5CDD505-2E9C-101B-9397-08002B2CF9AE}" pid="10" name="Utsk">
    <vt:lpwstr>Utbildningsutskottet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10;0;0;460</vt:lpwstr>
  </property>
  <property fmtid="{D5CDD505-2E9C-101B-9397-08002B2CF9AE}" pid="42" name="Sprak">
    <vt:lpwstr>Svenska</vt:lpwstr>
  </property>
  <property fmtid="{D5CDD505-2E9C-101B-9397-08002B2CF9AE}" pid="43" name="DokID">
    <vt:i4>80</vt:i4>
  </property>
</Properties>
</file>