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8F2FCD" w:rsidTr="00CC73DA">
        <w:tc>
          <w:tcPr>
            <w:tcW w:w="2268" w:type="dxa"/>
          </w:tcPr>
          <w:p w:rsidR="008F2FCD" w:rsidRDefault="008F2FCD" w:rsidP="007242A3">
            <w:pPr>
              <w:framePr w:w="5035" w:h="1644" w:wrap="notBeside" w:vAnchor="page" w:hAnchor="page" w:x="6573" w:y="721"/>
              <w:rPr>
                <w:rFonts w:ascii="TradeGothic" w:hAnsi="TradeGothic"/>
                <w:i/>
                <w:sz w:val="18"/>
              </w:rPr>
            </w:pPr>
          </w:p>
        </w:tc>
        <w:tc>
          <w:tcPr>
            <w:tcW w:w="2999" w:type="dxa"/>
            <w:gridSpan w:val="2"/>
          </w:tcPr>
          <w:p w:rsidR="008F2FCD" w:rsidRPr="00A640C2" w:rsidRDefault="008F2FCD"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8F2FCD" w:rsidTr="00CC73DA">
        <w:tc>
          <w:tcPr>
            <w:tcW w:w="5267" w:type="dxa"/>
            <w:gridSpan w:val="3"/>
          </w:tcPr>
          <w:p w:rsidR="008F2FCD" w:rsidRDefault="008F2FCD"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8F2FCD" w:rsidTr="00CC73DA">
        <w:tc>
          <w:tcPr>
            <w:tcW w:w="3402" w:type="dxa"/>
            <w:gridSpan w:val="2"/>
          </w:tcPr>
          <w:p w:rsidR="008F2FCD" w:rsidRDefault="008F2FCD" w:rsidP="007242A3">
            <w:pPr>
              <w:framePr w:w="5035" w:h="1644" w:wrap="notBeside" w:vAnchor="page" w:hAnchor="page" w:x="6573" w:y="721"/>
            </w:pPr>
          </w:p>
        </w:tc>
        <w:tc>
          <w:tcPr>
            <w:tcW w:w="1865" w:type="dxa"/>
          </w:tcPr>
          <w:p w:rsidR="008F2FCD" w:rsidRDefault="008F2FCD" w:rsidP="007242A3">
            <w:pPr>
              <w:framePr w:w="5035" w:h="1644" w:wrap="notBeside" w:vAnchor="page" w:hAnchor="page" w:x="6573" w:y="721"/>
            </w:pPr>
          </w:p>
        </w:tc>
      </w:tr>
      <w:tr w:rsidR="008F2FCD" w:rsidTr="00CC73DA">
        <w:tc>
          <w:tcPr>
            <w:tcW w:w="2268" w:type="dxa"/>
          </w:tcPr>
          <w:p w:rsidR="008F2FCD" w:rsidRDefault="008F2FCD" w:rsidP="00307709">
            <w:pPr>
              <w:framePr w:w="5035" w:h="1644" w:wrap="notBeside" w:vAnchor="page" w:hAnchor="page" w:x="6573" w:y="721"/>
            </w:pPr>
            <w:r>
              <w:t>2012-11-29</w:t>
            </w:r>
          </w:p>
        </w:tc>
        <w:tc>
          <w:tcPr>
            <w:tcW w:w="2999" w:type="dxa"/>
            <w:gridSpan w:val="2"/>
          </w:tcPr>
          <w:p w:rsidR="008F2FCD" w:rsidRPr="00ED583F" w:rsidRDefault="008F2FCD" w:rsidP="007242A3">
            <w:pPr>
              <w:framePr w:w="5035" w:h="1644" w:wrap="notBeside" w:vAnchor="page" w:hAnchor="page" w:x="6573" w:y="721"/>
              <w:rPr>
                <w:sz w:val="20"/>
              </w:rPr>
            </w:pPr>
          </w:p>
        </w:tc>
      </w:tr>
      <w:tr w:rsidR="008F2FCD" w:rsidTr="00CC73DA">
        <w:tc>
          <w:tcPr>
            <w:tcW w:w="2268" w:type="dxa"/>
          </w:tcPr>
          <w:p w:rsidR="008F2FCD" w:rsidRDefault="008F2FCD" w:rsidP="007242A3">
            <w:pPr>
              <w:framePr w:w="5035" w:h="1644" w:wrap="notBeside" w:vAnchor="page" w:hAnchor="page" w:x="6573" w:y="721"/>
            </w:pPr>
          </w:p>
        </w:tc>
        <w:tc>
          <w:tcPr>
            <w:tcW w:w="2999" w:type="dxa"/>
            <w:gridSpan w:val="2"/>
          </w:tcPr>
          <w:p w:rsidR="008F2FCD" w:rsidRDefault="008F2FCD" w:rsidP="007242A3">
            <w:pPr>
              <w:framePr w:w="5035" w:h="1644" w:wrap="notBeside" w:vAnchor="page" w:hAnchor="page" w:x="6573" w:y="721"/>
            </w:pPr>
          </w:p>
        </w:tc>
      </w:tr>
    </w:tbl>
    <w:tbl>
      <w:tblPr>
        <w:tblW w:w="0" w:type="auto"/>
        <w:tblLayout w:type="fixed"/>
        <w:tblLook w:val="0000"/>
      </w:tblPr>
      <w:tblGrid>
        <w:gridCol w:w="4911"/>
      </w:tblGrid>
      <w:tr w:rsidR="008F2FCD">
        <w:trPr>
          <w:trHeight w:val="284"/>
        </w:trPr>
        <w:tc>
          <w:tcPr>
            <w:tcW w:w="4911" w:type="dxa"/>
          </w:tcPr>
          <w:p w:rsidR="008F2FCD" w:rsidRDefault="008F2FCD">
            <w:pPr>
              <w:pStyle w:val="Avsndare"/>
              <w:framePr w:h="2483" w:wrap="notBeside" w:x="1504"/>
              <w:rPr>
                <w:b/>
                <w:i w:val="0"/>
                <w:sz w:val="22"/>
              </w:rPr>
            </w:pPr>
            <w:r>
              <w:rPr>
                <w:b/>
                <w:i w:val="0"/>
                <w:sz w:val="22"/>
              </w:rPr>
              <w:t>Finansdepartementet</w:t>
            </w:r>
          </w:p>
        </w:tc>
      </w:tr>
      <w:tr w:rsidR="008F2FCD">
        <w:trPr>
          <w:trHeight w:val="284"/>
        </w:trPr>
        <w:tc>
          <w:tcPr>
            <w:tcW w:w="4911" w:type="dxa"/>
          </w:tcPr>
          <w:p w:rsidR="008F2FCD" w:rsidRDefault="008F2FCD">
            <w:pPr>
              <w:pStyle w:val="Avsndare"/>
              <w:framePr w:h="2483" w:wrap="notBeside" w:x="1504"/>
              <w:rPr>
                <w:bCs/>
                <w:iCs/>
              </w:rPr>
            </w:pPr>
          </w:p>
        </w:tc>
      </w:tr>
      <w:tr w:rsidR="008F2FCD">
        <w:trPr>
          <w:trHeight w:val="284"/>
        </w:trPr>
        <w:tc>
          <w:tcPr>
            <w:tcW w:w="4911" w:type="dxa"/>
          </w:tcPr>
          <w:p w:rsidR="008F2FCD" w:rsidRDefault="008F2FCD">
            <w:pPr>
              <w:pStyle w:val="Avsndare"/>
              <w:framePr w:h="2483" w:wrap="notBeside" w:x="1504"/>
              <w:rPr>
                <w:bCs/>
                <w:iCs/>
              </w:rPr>
            </w:pPr>
            <w:r>
              <w:rPr>
                <w:bCs/>
                <w:iCs/>
              </w:rPr>
              <w:t>Skatte- och tullavdelningen</w:t>
            </w:r>
          </w:p>
        </w:tc>
      </w:tr>
      <w:tr w:rsidR="008F2FCD">
        <w:trPr>
          <w:trHeight w:val="284"/>
        </w:trPr>
        <w:tc>
          <w:tcPr>
            <w:tcW w:w="4911" w:type="dxa"/>
          </w:tcPr>
          <w:p w:rsidR="008F2FCD" w:rsidRDefault="008F2FCD">
            <w:pPr>
              <w:pStyle w:val="Avsndare"/>
              <w:framePr w:h="2483" w:wrap="notBeside" w:x="1504"/>
              <w:rPr>
                <w:bCs/>
                <w:iCs/>
              </w:rPr>
            </w:pPr>
          </w:p>
        </w:tc>
      </w:tr>
      <w:tr w:rsidR="008F2FCD">
        <w:trPr>
          <w:trHeight w:val="284"/>
        </w:trPr>
        <w:tc>
          <w:tcPr>
            <w:tcW w:w="4911" w:type="dxa"/>
          </w:tcPr>
          <w:p w:rsidR="008F2FCD" w:rsidRDefault="008F2FCD">
            <w:pPr>
              <w:pStyle w:val="Avsndare"/>
              <w:framePr w:h="2483" w:wrap="notBeside" w:x="1504"/>
              <w:rPr>
                <w:bCs/>
                <w:iCs/>
              </w:rPr>
            </w:pPr>
          </w:p>
        </w:tc>
      </w:tr>
      <w:tr w:rsidR="008F2FCD">
        <w:trPr>
          <w:trHeight w:val="284"/>
        </w:trPr>
        <w:tc>
          <w:tcPr>
            <w:tcW w:w="4911" w:type="dxa"/>
          </w:tcPr>
          <w:p w:rsidR="008F2FCD" w:rsidRDefault="008F2FCD">
            <w:pPr>
              <w:pStyle w:val="Avsndare"/>
              <w:framePr w:h="2483" w:wrap="notBeside" w:x="1504"/>
              <w:rPr>
                <w:bCs/>
                <w:iCs/>
              </w:rPr>
            </w:pPr>
          </w:p>
        </w:tc>
      </w:tr>
      <w:tr w:rsidR="008F2FCD">
        <w:trPr>
          <w:trHeight w:val="284"/>
        </w:trPr>
        <w:tc>
          <w:tcPr>
            <w:tcW w:w="4911" w:type="dxa"/>
          </w:tcPr>
          <w:p w:rsidR="008F2FCD" w:rsidRDefault="008F2FCD">
            <w:pPr>
              <w:pStyle w:val="Avsndare"/>
              <w:framePr w:h="2483" w:wrap="notBeside" w:x="1504"/>
              <w:rPr>
                <w:bCs/>
                <w:iCs/>
              </w:rPr>
            </w:pPr>
          </w:p>
        </w:tc>
      </w:tr>
      <w:tr w:rsidR="008F2FCD">
        <w:trPr>
          <w:trHeight w:val="284"/>
        </w:trPr>
        <w:tc>
          <w:tcPr>
            <w:tcW w:w="4911" w:type="dxa"/>
          </w:tcPr>
          <w:p w:rsidR="008F2FCD" w:rsidRDefault="008F2FCD">
            <w:pPr>
              <w:pStyle w:val="Avsndare"/>
              <w:framePr w:h="2483" w:wrap="notBeside" w:x="1504"/>
              <w:rPr>
                <w:bCs/>
                <w:iCs/>
              </w:rPr>
            </w:pPr>
          </w:p>
        </w:tc>
      </w:tr>
      <w:tr w:rsidR="008F2FCD">
        <w:trPr>
          <w:trHeight w:val="284"/>
        </w:trPr>
        <w:tc>
          <w:tcPr>
            <w:tcW w:w="4911" w:type="dxa"/>
          </w:tcPr>
          <w:p w:rsidR="008F2FCD" w:rsidRDefault="008F2FCD">
            <w:pPr>
              <w:pStyle w:val="Avsndare"/>
              <w:framePr w:h="2483" w:wrap="notBeside" w:x="1504"/>
              <w:rPr>
                <w:bCs/>
                <w:iCs/>
              </w:rPr>
            </w:pPr>
          </w:p>
        </w:tc>
      </w:tr>
    </w:tbl>
    <w:p w:rsidR="008F2FCD" w:rsidRPr="00CC73DA" w:rsidRDefault="008F2FCD">
      <w:pPr>
        <w:framePr w:w="4400" w:h="2523" w:wrap="notBeside" w:vAnchor="page" w:hAnchor="page" w:x="6453" w:y="2445"/>
        <w:ind w:left="142"/>
        <w:rPr>
          <w:b/>
        </w:rPr>
      </w:pPr>
    </w:p>
    <w:p w:rsidR="008F2FCD" w:rsidRDefault="008F2FCD">
      <w:pPr>
        <w:pStyle w:val="RKrubrik"/>
        <w:pBdr>
          <w:bottom w:val="single" w:sz="6" w:space="1" w:color="auto"/>
        </w:pBdr>
      </w:pPr>
      <w:bookmarkStart w:id="0" w:name="bRubrik"/>
      <w:bookmarkEnd w:id="0"/>
      <w:r>
        <w:t>Konkurrenskraftsrådet (KKR) den 10 december 2012</w:t>
      </w:r>
    </w:p>
    <w:p w:rsidR="008F2FCD" w:rsidRDefault="008F2FCD">
      <w:pPr>
        <w:pStyle w:val="RKnormal"/>
      </w:pPr>
    </w:p>
    <w:p w:rsidR="008F2FCD" w:rsidRPr="009227B9" w:rsidRDefault="008F2FCD" w:rsidP="00B62600">
      <w:pPr>
        <w:spacing w:line="240" w:lineRule="auto"/>
        <w:ind w:left="567" w:hanging="207"/>
        <w:rPr>
          <w:b/>
        </w:rPr>
      </w:pPr>
      <w:r w:rsidRPr="009227B9">
        <w:rPr>
          <w:b/>
        </w:rPr>
        <w:t>5.</w:t>
      </w:r>
      <w:r w:rsidRPr="009227B9">
        <w:rPr>
          <w:b/>
        </w:rPr>
        <w:tab/>
        <w:t xml:space="preserve">Förslag till Europaparlamentets och rådets förordning om fastställande av en tullkodex för unionen </w:t>
      </w:r>
    </w:p>
    <w:p w:rsidR="008F2FCD" w:rsidRPr="009227B9" w:rsidRDefault="008F2FCD" w:rsidP="00B62600">
      <w:pPr>
        <w:ind w:left="720"/>
        <w:rPr>
          <w:i/>
        </w:rPr>
      </w:pPr>
      <w:r w:rsidRPr="009227B9">
        <w:rPr>
          <w:i/>
        </w:rPr>
        <w:t>–</w:t>
      </w:r>
      <w:r w:rsidRPr="009227B9">
        <w:rPr>
          <w:i/>
        </w:rPr>
        <w:tab/>
        <w:t>Riktlinjedebatt</w:t>
      </w:r>
    </w:p>
    <w:p w:rsidR="008F2FCD" w:rsidRDefault="008F2FCD">
      <w:pPr>
        <w:pStyle w:val="RKnormal"/>
      </w:pPr>
    </w:p>
    <w:p w:rsidR="008F2FCD" w:rsidRDefault="008F2FCD">
      <w:pPr>
        <w:pStyle w:val="RKnormal"/>
      </w:pPr>
      <w:r w:rsidRPr="00B62600">
        <w:t>Dokument:</w:t>
      </w:r>
      <w:r w:rsidRPr="00E036D2">
        <w:rPr>
          <w:b/>
        </w:rPr>
        <w:t xml:space="preserve"> </w:t>
      </w:r>
      <w:r>
        <w:t>2012/0027 (COD)</w:t>
      </w:r>
    </w:p>
    <w:p w:rsidR="008F2FCD" w:rsidRDefault="008F2FCD">
      <w:pPr>
        <w:pStyle w:val="RKnormal"/>
      </w:pPr>
      <w:r w:rsidRPr="00766BB9">
        <w:t>Tidigare dokument:</w:t>
      </w:r>
      <w:r>
        <w:t xml:space="preserve"> KOM (2012) 64, 2011/12:FPM122</w:t>
      </w:r>
    </w:p>
    <w:p w:rsidR="008F2FCD" w:rsidRDefault="008F2FCD">
      <w:pPr>
        <w:pStyle w:val="RKnormal"/>
      </w:pPr>
      <w:r w:rsidRPr="00766BB9">
        <w:t>Tidigare behandl</w:t>
      </w:r>
      <w:r>
        <w:t>ing</w:t>
      </w:r>
      <w:r w:rsidRPr="00766BB9">
        <w:t xml:space="preserve"> </w:t>
      </w:r>
      <w:r>
        <w:t>i</w:t>
      </w:r>
      <w:r w:rsidRPr="00766BB9">
        <w:t xml:space="preserve"> EU-nämnden: </w:t>
      </w:r>
      <w:r>
        <w:t>Nej</w:t>
      </w:r>
    </w:p>
    <w:p w:rsidR="008F2FCD" w:rsidRDefault="008F2FCD">
      <w:pPr>
        <w:pStyle w:val="RKrubrik"/>
      </w:pPr>
      <w:r>
        <w:t>Bakgrund</w:t>
      </w:r>
    </w:p>
    <w:p w:rsidR="008F2FCD" w:rsidRDefault="008F2FCD" w:rsidP="00CB6D14">
      <w:pPr>
        <w:pStyle w:val="RKnormal"/>
      </w:pPr>
      <w:r>
        <w:t>I rådets förordning (EEG) nr 2913/92 om inrättandet av en tullkodex för gemenskapen (nu gällande tullkodex) finns de allmänna regler och förfaranden som behövs för att säkerställa genomförandet av tulltaxebestämmelser och andra bestämmelser som gäller för handeln med varor mellan EU och tredje land.</w:t>
      </w:r>
    </w:p>
    <w:p w:rsidR="008F2FCD" w:rsidRDefault="008F2FCD" w:rsidP="00CB6D14">
      <w:pPr>
        <w:pStyle w:val="RKnormal"/>
      </w:pPr>
    </w:p>
    <w:p w:rsidR="008F2FCD" w:rsidRDefault="008F2FCD" w:rsidP="006D0AF6">
      <w:pPr>
        <w:pStyle w:val="RKnormal"/>
      </w:pPr>
      <w:r>
        <w:t xml:space="preserve">Europaparlamentets och rådets förordning (EG) nr 450/2008 om fastställandet av en tullkodex för gemenskapen (moderniserad tullkodex) trädde i kraft den 24 juni 2008, men har ännu inte blivit tillämplig. Den ska ersätta den nu gällande tullkodexen när kommissionens genomförandebestämmelser har blivit tillämpliga, dock senast den 24 juni 2013. </w:t>
      </w:r>
    </w:p>
    <w:p w:rsidR="008F2FCD" w:rsidRDefault="008F2FCD" w:rsidP="006D0AF6">
      <w:pPr>
        <w:pStyle w:val="RKnormal"/>
      </w:pPr>
    </w:p>
    <w:p w:rsidR="008F2FCD" w:rsidRDefault="008F2FCD" w:rsidP="004D54D3">
      <w:pPr>
        <w:pStyle w:val="RKnormal"/>
      </w:pPr>
      <w:r>
        <w:t>Den 20 februari 2012 lade kommissionen fram ett förslag till en tullkodex för unionen, vilken utgör en omarbetning av den moderniserade tullkodexen. Avsikten är att tullkodexen för unionen ska träda i kraft senast den 24 juni 2013 för att ersätta den moderniserade tullkodexen innan den har blivit tillämplig.</w:t>
      </w:r>
    </w:p>
    <w:p w:rsidR="008F2FCD" w:rsidRDefault="008F2FCD" w:rsidP="006D0AF6">
      <w:pPr>
        <w:pStyle w:val="RKnormal"/>
      </w:pPr>
    </w:p>
    <w:p w:rsidR="008F2FCD" w:rsidRDefault="008F2FCD" w:rsidP="006D0AF6">
      <w:pPr>
        <w:pStyle w:val="RKnormal"/>
      </w:pPr>
      <w:r>
        <w:t>I juni 2012 påbörjades en första läsning av kommissionens förslag i rådsarbetsgruppen för tullunionen. Det har visat sig att medlemsstaterna har en stor mängd synpunkter på förslaget och att det har varit svårt att nå fram till en godtagbar text. Vid mötet i rådsarbetsgruppen den 7 november 2012 presenterade ordförandeskapet ett kompromissförslag. Ordföranden bad medlemsstaterna meddela om man kan godkänna kompromissförslaget eller inte. Vid möte den 19 november framkom att en rad medlemsstater, inklusive Sverige, anser att ytterligare beredning i rådsarbetsgruppen är nödvändig före ett godkännande.</w:t>
      </w:r>
    </w:p>
    <w:p w:rsidR="008F2FCD" w:rsidRDefault="008F2FCD" w:rsidP="006D0AF6">
      <w:pPr>
        <w:pStyle w:val="RKnormal"/>
      </w:pPr>
    </w:p>
    <w:p w:rsidR="008F2FCD" w:rsidRDefault="008F2FCD" w:rsidP="006D0AF6">
      <w:pPr>
        <w:pStyle w:val="RKnormal"/>
      </w:pPr>
      <w:r>
        <w:t xml:space="preserve">Efter en genomgång av kompromissförslaget kan man se att det i vissa delar är en förbättring jämfört med kommissionens förslag, men att det också är behäftat med en hel del brister. Bristerna rör sakfrågor, men de rör även det rent redaktionella. Fortsatt beredning i rådsarbetsgruppen bör kunna leda till en slutlig kompromiss som de flesta medlemsstater kan godkänna. </w:t>
      </w:r>
    </w:p>
    <w:p w:rsidR="008F2FCD" w:rsidRDefault="008F2FCD" w:rsidP="006D0AF6">
      <w:pPr>
        <w:pStyle w:val="RKnormal"/>
      </w:pPr>
    </w:p>
    <w:p w:rsidR="008F2FCD" w:rsidRDefault="008F2FCD" w:rsidP="006D0AF6">
      <w:pPr>
        <w:pStyle w:val="RKnormal"/>
      </w:pPr>
      <w:r>
        <w:t>Det finns en viss risk för att en fortsatt beredning i rådsarbetsgruppen medför att beslut inte kan tas i så god tid att tullkodexen för unionen kan ersätta den moderniserade tullkodexen före den 24 juni 2013. Om så blir fallet kommer den moderniserade tullkodexen att bli tillämplig vid det datumet, vilket vore olyckligt mot bakgrund av att det saknas nödvändiga kompletterande bestämmelser både på unionsnivå och på nationell nivå. En möjlig lösning vore att kommissionen lägger fram ett förslag om en övergångsperiod för att säkerställa att nu gällande tullkodex fortsätter att gälla till dess att tullkodexen för unionen kan träda i kraft.</w:t>
      </w:r>
    </w:p>
    <w:p w:rsidR="008F2FCD" w:rsidRDefault="008F2FCD" w:rsidP="006D0AF6">
      <w:pPr>
        <w:pStyle w:val="RKnormal"/>
      </w:pPr>
    </w:p>
    <w:p w:rsidR="008F2FCD" w:rsidRDefault="008F2FCD" w:rsidP="006D0AF6">
      <w:pPr>
        <w:pStyle w:val="RKnormal"/>
      </w:pPr>
      <w:r>
        <w:t>Ordförandeskapet har under hand framfört att syftet med en orienteringsdebatt i KKR är att behandla frågan om det fortsatta arbetet med förslaget till en tullkodex för unionen.</w:t>
      </w:r>
    </w:p>
    <w:p w:rsidR="008F2FCD" w:rsidRDefault="008F2FCD">
      <w:pPr>
        <w:pStyle w:val="RKrubrik"/>
      </w:pPr>
      <w:r>
        <w:t>Rättslig grund och beslutsförfarande</w:t>
      </w:r>
    </w:p>
    <w:p w:rsidR="008F2FCD" w:rsidRDefault="008F2FCD" w:rsidP="00E3020D">
      <w:pPr>
        <w:pStyle w:val="RKnormal"/>
        <w:numPr>
          <w:ilvl w:val="0"/>
          <w:numId w:val="1"/>
        </w:numPr>
      </w:pPr>
      <w:r>
        <w:t>Artiklarna 33, 114 och 207 i fördraget om Europeiska unionens funktionssätt (EUF-fördraget).</w:t>
      </w:r>
    </w:p>
    <w:p w:rsidR="008F2FCD" w:rsidRDefault="008F2FCD" w:rsidP="00E3020D">
      <w:pPr>
        <w:pStyle w:val="RKnormal"/>
        <w:numPr>
          <w:ilvl w:val="0"/>
          <w:numId w:val="1"/>
        </w:numPr>
      </w:pPr>
      <w:r>
        <w:t>Kvalificerad majoritet.</w:t>
      </w:r>
    </w:p>
    <w:p w:rsidR="008F2FCD" w:rsidRDefault="008F2FCD" w:rsidP="00E3020D">
      <w:pPr>
        <w:pStyle w:val="RKnormal"/>
        <w:numPr>
          <w:ilvl w:val="0"/>
          <w:numId w:val="1"/>
        </w:numPr>
      </w:pPr>
      <w:r>
        <w:t>Ordinarie lagstiftningsförfarande.</w:t>
      </w:r>
    </w:p>
    <w:p w:rsidR="008F2FCD" w:rsidRDefault="008F2FCD">
      <w:pPr>
        <w:pStyle w:val="RKrubrik"/>
        <w:rPr>
          <w:i/>
          <w:iCs/>
        </w:rPr>
      </w:pPr>
      <w:r>
        <w:rPr>
          <w:i/>
          <w:iCs/>
        </w:rPr>
        <w:t>Svensk ståndpunkt</w:t>
      </w:r>
    </w:p>
    <w:p w:rsidR="008F2FCD" w:rsidRDefault="008F2FCD">
      <w:pPr>
        <w:pStyle w:val="RKnormal"/>
      </w:pPr>
      <w:r>
        <w:t>Det är</w:t>
      </w:r>
      <w:r w:rsidRPr="006D0AF6">
        <w:t xml:space="preserve"> i nuläget inte</w:t>
      </w:r>
      <w:r>
        <w:t xml:space="preserve"> möjligt att</w:t>
      </w:r>
      <w:r w:rsidRPr="006D0AF6">
        <w:t xml:space="preserve"> godkänna ordförandeskapets kompromissförslag. </w:t>
      </w:r>
      <w:r>
        <w:t>Även om kompromissen utgör en förbättring jämfört med kommissionens förslag har vi en</w:t>
      </w:r>
      <w:r w:rsidRPr="006D0AF6">
        <w:t xml:space="preserve"> rad invändningar i fråga om saker som, om de skulle godkännas, skulle ku</w:t>
      </w:r>
      <w:r>
        <w:t>nna få icke önskvärda effekter.</w:t>
      </w:r>
      <w:r w:rsidRPr="006D0AF6">
        <w:t xml:space="preserve"> </w:t>
      </w:r>
    </w:p>
    <w:p w:rsidR="008F2FCD" w:rsidRDefault="008F2FCD">
      <w:pPr>
        <w:pStyle w:val="RKnormal"/>
      </w:pPr>
    </w:p>
    <w:p w:rsidR="008F2FCD" w:rsidRDefault="008F2FCD">
      <w:pPr>
        <w:pStyle w:val="RKnormal"/>
      </w:pPr>
      <w:r w:rsidRPr="006D0AF6">
        <w:t xml:space="preserve">Med tanke på att den nya tullkodexen ska gälla under lång tid framöver är det nödvändigt att förslaget blir väl berett så att vi får en produkt av hög kvalitet. </w:t>
      </w:r>
      <w:r>
        <w:t>Visar det sig inte vara möjligt att nå fram till ett beslut i så god tid att tullkodexen för unionen kan ersätta den moderniserade tullkodexen innan den börjar gälla, bör kommissionen lägga</w:t>
      </w:r>
      <w:r w:rsidRPr="006D0AF6">
        <w:t xml:space="preserve"> fram förslag om en</w:t>
      </w:r>
      <w:r>
        <w:t xml:space="preserve"> begränsad</w:t>
      </w:r>
      <w:r w:rsidRPr="006D0AF6">
        <w:t xml:space="preserve"> öve</w:t>
      </w:r>
      <w:r>
        <w:t>rgångsperiod</w:t>
      </w:r>
      <w:r w:rsidRPr="006D0AF6">
        <w:t>.</w:t>
      </w:r>
      <w:r>
        <w:t xml:space="preserve"> </w:t>
      </w:r>
    </w:p>
    <w:p w:rsidR="008F2FCD" w:rsidRDefault="008F2FCD">
      <w:pPr>
        <w:pStyle w:val="RKrubrik"/>
      </w:pPr>
      <w:r>
        <w:t>Europaparlamentets inställning</w:t>
      </w:r>
    </w:p>
    <w:p w:rsidR="008F2FCD" w:rsidRDefault="008F2FCD">
      <w:pPr>
        <w:pStyle w:val="RKnormal"/>
      </w:pPr>
      <w:r>
        <w:t>Vi saknar kännedom om Europaparlamentets inställning.</w:t>
      </w:r>
    </w:p>
    <w:p w:rsidR="008F2FCD" w:rsidRDefault="008F2FCD">
      <w:pPr>
        <w:pStyle w:val="RKrubrik"/>
        <w:rPr>
          <w:i/>
          <w:iCs/>
        </w:rPr>
      </w:pPr>
      <w:r>
        <w:rPr>
          <w:i/>
          <w:iCs/>
        </w:rPr>
        <w:t>Förslaget</w:t>
      </w:r>
    </w:p>
    <w:p w:rsidR="008F2FCD" w:rsidRPr="00982CEB" w:rsidRDefault="008F2FCD" w:rsidP="00982CEB">
      <w:pPr>
        <w:pStyle w:val="RKnormal"/>
      </w:pPr>
      <w:r w:rsidRPr="00982CEB">
        <w:t xml:space="preserve">Europaparlamentets och rådets förordning (EG) nr 450/2008 om fastställandet av en tullkodex för gemenskapen (Moderniserad tullkodex) trädde i kraft den 24 juni </w:t>
      </w:r>
      <w:r>
        <w:t>2008, men har ännu inte blivit tillämplig.</w:t>
      </w:r>
      <w:r w:rsidRPr="00982CEB">
        <w:t xml:space="preserve"> </w:t>
      </w:r>
    </w:p>
    <w:p w:rsidR="008F2FCD" w:rsidRDefault="008F2FCD" w:rsidP="00982CEB">
      <w:pPr>
        <w:pStyle w:val="RKnormal"/>
      </w:pPr>
    </w:p>
    <w:p w:rsidR="008F2FCD" w:rsidRDefault="008F2FCD" w:rsidP="00982CEB">
      <w:pPr>
        <w:pStyle w:val="RKnormal"/>
      </w:pPr>
      <w:r>
        <w:t xml:space="preserve">Det nu aktuella förslaget till en tullkodex för unionen lade kommissionen fram den 20 februari 2012. Denna tullkodex för unionen utgör en omarbetning av den moderniserade tullkodexen. Det finns tre huvudsakliga anledningar till att kommissionen lade fram förslaget. </w:t>
      </w:r>
    </w:p>
    <w:p w:rsidR="008F2FCD" w:rsidRDefault="008F2FCD" w:rsidP="00982CEB">
      <w:pPr>
        <w:pStyle w:val="RKnormal"/>
      </w:pPr>
      <w:r>
        <w:t>-</w:t>
      </w:r>
      <w:r>
        <w:tab/>
        <w:t>Anpassning till Lissabonfördraget, bl.a. reglerna om tilldelande av befogenheter till kommissionen,</w:t>
      </w:r>
    </w:p>
    <w:p w:rsidR="008F2FCD" w:rsidRDefault="008F2FCD" w:rsidP="00982CEB">
      <w:pPr>
        <w:pStyle w:val="RKnormal"/>
      </w:pPr>
      <w:r>
        <w:t>-</w:t>
      </w:r>
      <w:r>
        <w:tab/>
        <w:t>Uppskjutande av tidpunkten då förordningen ska börja tillämpas, p.g.a. den tid som det kommer att ta att införa de IT-system som behövs,</w:t>
      </w:r>
    </w:p>
    <w:p w:rsidR="008F2FCD" w:rsidRDefault="008F2FCD" w:rsidP="00982CEB">
      <w:pPr>
        <w:pStyle w:val="RKnormal"/>
      </w:pPr>
      <w:r>
        <w:t>-</w:t>
      </w:r>
      <w:r>
        <w:tab/>
        <w:t>Ändringar av vissa bestämmelser som man under beredningen av genomförandebestämmelser har funnit vara olämpliga.</w:t>
      </w:r>
    </w:p>
    <w:p w:rsidR="008F2FCD" w:rsidRDefault="008F2FCD">
      <w:pPr>
        <w:pStyle w:val="RKrubrik"/>
        <w:rPr>
          <w:i/>
          <w:iCs/>
        </w:rPr>
      </w:pPr>
      <w:r>
        <w:rPr>
          <w:i/>
          <w:iCs/>
        </w:rPr>
        <w:t>Gällande svenska regler och förslagets effekter på dessa</w:t>
      </w:r>
    </w:p>
    <w:p w:rsidR="008F2FCD" w:rsidRDefault="008F2FCD">
      <w:pPr>
        <w:pStyle w:val="RKnormal"/>
      </w:pPr>
      <w:r>
        <w:t>Kompletterande nationella bestämmelser finns i följande lagar och förordningar:</w:t>
      </w:r>
    </w:p>
    <w:p w:rsidR="008F2FCD" w:rsidRDefault="008F2FCD">
      <w:pPr>
        <w:pStyle w:val="RKnormal"/>
      </w:pPr>
    </w:p>
    <w:p w:rsidR="008F2FCD" w:rsidRDefault="008F2FCD" w:rsidP="00337C92">
      <w:pPr>
        <w:pStyle w:val="RKnormal"/>
        <w:ind w:left="705" w:hanging="705"/>
      </w:pPr>
      <w:r>
        <w:t>-</w:t>
      </w:r>
      <w:r>
        <w:tab/>
        <w:t>Lag (1973:980) om transport, förvaring och förstöring av införselreglerade varor, m.m.</w:t>
      </w:r>
    </w:p>
    <w:p w:rsidR="008F2FCD" w:rsidRDefault="008F2FCD" w:rsidP="00337C92">
      <w:pPr>
        <w:pStyle w:val="RKnormal"/>
        <w:ind w:left="705" w:hanging="705"/>
      </w:pPr>
      <w:r>
        <w:t>-</w:t>
      </w:r>
      <w:r>
        <w:tab/>
      </w:r>
      <w:r w:rsidRPr="00FE0AD8">
        <w:t>Lag (1994:1548) om vissa tullförfaranden med ekonomisk verkan, m.m.</w:t>
      </w:r>
    </w:p>
    <w:p w:rsidR="008F2FCD" w:rsidRDefault="008F2FCD" w:rsidP="00337C92">
      <w:pPr>
        <w:pStyle w:val="RKnormal"/>
        <w:ind w:left="705" w:hanging="705"/>
      </w:pPr>
      <w:r>
        <w:t>-</w:t>
      </w:r>
      <w:r>
        <w:tab/>
      </w:r>
      <w:r w:rsidRPr="00FE0AD8">
        <w:t>Förordning (1994:1606) om vissa tullförfaranden med ekonomisk verkan, m.m.</w:t>
      </w:r>
    </w:p>
    <w:p w:rsidR="008F2FCD" w:rsidRDefault="008F2FCD" w:rsidP="00337C92">
      <w:pPr>
        <w:pStyle w:val="RKnormal"/>
        <w:ind w:left="705" w:hanging="705"/>
      </w:pPr>
      <w:r>
        <w:t>-</w:t>
      </w:r>
      <w:r>
        <w:tab/>
        <w:t>Tullag (2000:1281)</w:t>
      </w:r>
    </w:p>
    <w:p w:rsidR="008F2FCD" w:rsidRDefault="008F2FCD">
      <w:pPr>
        <w:pStyle w:val="RKnormal"/>
      </w:pPr>
      <w:r>
        <w:t>-</w:t>
      </w:r>
      <w:r>
        <w:tab/>
        <w:t>Tullförordning (2000:1306)</w:t>
      </w:r>
    </w:p>
    <w:p w:rsidR="008F2FCD" w:rsidRDefault="008F2FCD">
      <w:pPr>
        <w:pStyle w:val="RKnormal"/>
      </w:pPr>
    </w:p>
    <w:p w:rsidR="008F2FCD" w:rsidRDefault="008F2FCD">
      <w:pPr>
        <w:pStyle w:val="RKnormal"/>
      </w:pPr>
      <w:r>
        <w:t>Utöver ovan nämnda lagar och förordningar finns en stor mängd myndighetsföreskrifter utfärdade av Tullverket.</w:t>
      </w:r>
    </w:p>
    <w:p w:rsidR="008F2FCD" w:rsidRDefault="008F2FCD">
      <w:pPr>
        <w:pStyle w:val="RKnormal"/>
      </w:pPr>
    </w:p>
    <w:p w:rsidR="008F2FCD" w:rsidRDefault="008F2FCD">
      <w:pPr>
        <w:pStyle w:val="RKnormal"/>
      </w:pPr>
      <w:r>
        <w:t>Den moderniserade tullkodexen som trädde i kraft den 24 juni 2008 har medfört ett behov av att göra en fullständig omarbetning av de nationella lagarna, förordningarna och myndighetsföreskrifterna. Det nu aktuella förslaget om en tullkodex för unionen förändrar inte det behovet på annat sätt än att tidpunkten då allt ska vara på plats förskjuts.</w:t>
      </w:r>
    </w:p>
    <w:p w:rsidR="008F2FCD" w:rsidRDefault="008F2FCD">
      <w:pPr>
        <w:pStyle w:val="RKrubrik"/>
      </w:pPr>
      <w:r>
        <w:t>Ekonomiska konsekvenser</w:t>
      </w:r>
    </w:p>
    <w:p w:rsidR="008F2FCD" w:rsidRDefault="008F2FCD">
      <w:pPr>
        <w:pStyle w:val="RKnormal"/>
      </w:pPr>
      <w:r>
        <w:t xml:space="preserve">Ikraftträdandet av den moderniserade tullkodexen den 24 juni 2008 har medfört att det kommer att bli stora kostnader för att skapa den IT-plattform som behövs för att förverkliga kravet om att allt informationsutbyte som rör tullförfaranden ska ske på elektronisk väg. Det nu aktuella förslaget om en tullkodex för unionen förändrar inte de ekonomiska konsekvenserna på annat sätt än att den tidpunkt då allt ska vara på plats förskjuts. </w:t>
      </w:r>
      <w:bookmarkStart w:id="1" w:name="_GoBack"/>
      <w:bookmarkEnd w:id="1"/>
    </w:p>
    <w:p w:rsidR="008F2FCD" w:rsidRPr="004D54D3" w:rsidRDefault="008F2FCD" w:rsidP="004D54D3">
      <w:pPr>
        <w:pStyle w:val="RKrubrik"/>
      </w:pPr>
    </w:p>
    <w:p w:rsidR="008F2FCD" w:rsidRDefault="008F2FCD">
      <w:pPr>
        <w:pStyle w:val="RKnormal"/>
        <w:ind w:left="-1134"/>
      </w:pPr>
    </w:p>
    <w:p w:rsidR="008F2FCD" w:rsidRDefault="008F2FCD">
      <w:pPr>
        <w:pStyle w:val="RKrubrik"/>
        <w:spacing w:before="0" w:after="0"/>
      </w:pPr>
    </w:p>
    <w:p w:rsidR="008F2FCD" w:rsidRDefault="008F2FCD">
      <w:pPr>
        <w:pStyle w:val="RKnormal"/>
      </w:pPr>
    </w:p>
    <w:sectPr w:rsidR="008F2FCD" w:rsidSect="009719B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FCD" w:rsidRDefault="008F2FCD">
      <w:r>
        <w:separator/>
      </w:r>
    </w:p>
  </w:endnote>
  <w:endnote w:type="continuationSeparator" w:id="0">
    <w:p w:rsidR="008F2FCD" w:rsidRDefault="008F2FCD">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FCD" w:rsidRDefault="008F2FCD">
      <w:r>
        <w:separator/>
      </w:r>
    </w:p>
  </w:footnote>
  <w:footnote w:type="continuationSeparator" w:id="0">
    <w:p w:rsidR="008F2FCD" w:rsidRDefault="008F2F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FCD" w:rsidRDefault="008F2FC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8F2FCD">
      <w:trPr>
        <w:cantSplit/>
      </w:trPr>
      <w:tc>
        <w:tcPr>
          <w:tcW w:w="3119" w:type="dxa"/>
        </w:tcPr>
        <w:p w:rsidR="008F2FCD" w:rsidRDefault="008F2FCD">
          <w:pPr>
            <w:pStyle w:val="Header"/>
            <w:spacing w:line="200" w:lineRule="atLeast"/>
            <w:ind w:right="357"/>
            <w:rPr>
              <w:rFonts w:ascii="TradeGothic" w:hAnsi="TradeGothic"/>
              <w:b/>
              <w:bCs/>
              <w:sz w:val="16"/>
            </w:rPr>
          </w:pPr>
        </w:p>
      </w:tc>
      <w:tc>
        <w:tcPr>
          <w:tcW w:w="4111" w:type="dxa"/>
          <w:tcMar>
            <w:left w:w="567" w:type="dxa"/>
          </w:tcMar>
        </w:tcPr>
        <w:p w:rsidR="008F2FCD" w:rsidRDefault="008F2FCD">
          <w:pPr>
            <w:pStyle w:val="Header"/>
            <w:ind w:right="360"/>
          </w:pPr>
        </w:p>
      </w:tc>
      <w:tc>
        <w:tcPr>
          <w:tcW w:w="1525" w:type="dxa"/>
        </w:tcPr>
        <w:p w:rsidR="008F2FCD" w:rsidRDefault="008F2FCD">
          <w:pPr>
            <w:pStyle w:val="Header"/>
            <w:ind w:right="360"/>
          </w:pPr>
        </w:p>
      </w:tc>
    </w:tr>
  </w:tbl>
  <w:p w:rsidR="008F2FCD" w:rsidRDefault="008F2FCD">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FCD" w:rsidRDefault="008F2FC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8F2FCD">
      <w:trPr>
        <w:cantSplit/>
      </w:trPr>
      <w:tc>
        <w:tcPr>
          <w:tcW w:w="3119" w:type="dxa"/>
        </w:tcPr>
        <w:p w:rsidR="008F2FCD" w:rsidRDefault="008F2FCD">
          <w:pPr>
            <w:pStyle w:val="Header"/>
            <w:spacing w:line="200" w:lineRule="atLeast"/>
            <w:ind w:right="357"/>
            <w:rPr>
              <w:rFonts w:ascii="TradeGothic" w:hAnsi="TradeGothic"/>
              <w:b/>
              <w:bCs/>
              <w:sz w:val="16"/>
            </w:rPr>
          </w:pPr>
        </w:p>
      </w:tc>
      <w:tc>
        <w:tcPr>
          <w:tcW w:w="4111" w:type="dxa"/>
          <w:tcMar>
            <w:left w:w="567" w:type="dxa"/>
          </w:tcMar>
        </w:tcPr>
        <w:p w:rsidR="008F2FCD" w:rsidRDefault="008F2FCD">
          <w:pPr>
            <w:pStyle w:val="Header"/>
            <w:ind w:right="360"/>
          </w:pPr>
        </w:p>
      </w:tc>
      <w:tc>
        <w:tcPr>
          <w:tcW w:w="1525" w:type="dxa"/>
        </w:tcPr>
        <w:p w:rsidR="008F2FCD" w:rsidRDefault="008F2FCD">
          <w:pPr>
            <w:pStyle w:val="Header"/>
            <w:ind w:right="360"/>
          </w:pPr>
        </w:p>
      </w:tc>
    </w:tr>
  </w:tbl>
  <w:p w:rsidR="008F2FCD" w:rsidRDefault="008F2FCD">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FCD" w:rsidRDefault="008F2FCD">
    <w:pPr>
      <w:framePr w:w="2948" w:h="1321" w:hRule="exact" w:wrap="notBeside" w:vAnchor="page" w:hAnchor="page" w:x="1362" w:y="653"/>
    </w:pPr>
    <w:r w:rsidRPr="00C046CE">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8F2FCD" w:rsidRDefault="008F2FCD">
    <w:pPr>
      <w:pStyle w:val="RKrubrik"/>
      <w:keepNext w:val="0"/>
      <w:tabs>
        <w:tab w:val="clear" w:pos="1134"/>
        <w:tab w:val="clear" w:pos="2835"/>
      </w:tabs>
      <w:spacing w:before="0" w:after="0" w:line="320" w:lineRule="atLeast"/>
      <w:rPr>
        <w:bCs/>
      </w:rPr>
    </w:pPr>
  </w:p>
  <w:p w:rsidR="008F2FCD" w:rsidRDefault="008F2FCD">
    <w:pPr>
      <w:rPr>
        <w:rFonts w:ascii="TradeGothic" w:hAnsi="TradeGothic"/>
        <w:b/>
        <w:bCs/>
        <w:spacing w:val="12"/>
        <w:sz w:val="22"/>
      </w:rPr>
    </w:pPr>
  </w:p>
  <w:p w:rsidR="008F2FCD" w:rsidRDefault="008F2FCD">
    <w:pPr>
      <w:pStyle w:val="RKrubrik"/>
      <w:keepNext w:val="0"/>
      <w:tabs>
        <w:tab w:val="clear" w:pos="1134"/>
        <w:tab w:val="clear" w:pos="2835"/>
      </w:tabs>
      <w:spacing w:before="0" w:after="0" w:line="320" w:lineRule="atLeast"/>
      <w:rPr>
        <w:bCs/>
      </w:rPr>
    </w:pPr>
  </w:p>
  <w:p w:rsidR="008F2FCD" w:rsidRDefault="008F2FCD">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1F19"/>
    <w:multiLevelType w:val="hybridMultilevel"/>
    <w:tmpl w:val="95681D82"/>
    <w:lvl w:ilvl="0" w:tplc="63648332">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1FC3511"/>
    <w:multiLevelType w:val="hybridMultilevel"/>
    <w:tmpl w:val="1BF6342A"/>
    <w:lvl w:ilvl="0" w:tplc="2E1EB250">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Finansdepartementet"/>
    <w:docVar w:name="Regering" w:val="N"/>
  </w:docVars>
  <w:rsids>
    <w:rsidRoot w:val="00CC73DA"/>
    <w:rsid w:val="00004517"/>
    <w:rsid w:val="000702C7"/>
    <w:rsid w:val="00140E7E"/>
    <w:rsid w:val="00150384"/>
    <w:rsid w:val="00156F84"/>
    <w:rsid w:val="00160901"/>
    <w:rsid w:val="0016762A"/>
    <w:rsid w:val="001805B7"/>
    <w:rsid w:val="00267501"/>
    <w:rsid w:val="002A0261"/>
    <w:rsid w:val="002F00F7"/>
    <w:rsid w:val="00307709"/>
    <w:rsid w:val="00337C92"/>
    <w:rsid w:val="00367B1C"/>
    <w:rsid w:val="003768A2"/>
    <w:rsid w:val="00376DB7"/>
    <w:rsid w:val="003B3C71"/>
    <w:rsid w:val="004072F5"/>
    <w:rsid w:val="00413EA4"/>
    <w:rsid w:val="0042124C"/>
    <w:rsid w:val="00455E1A"/>
    <w:rsid w:val="004A328D"/>
    <w:rsid w:val="004A4B61"/>
    <w:rsid w:val="004D54D3"/>
    <w:rsid w:val="0058762B"/>
    <w:rsid w:val="00594D6C"/>
    <w:rsid w:val="006855E1"/>
    <w:rsid w:val="006D0AF6"/>
    <w:rsid w:val="006E4E11"/>
    <w:rsid w:val="007242A3"/>
    <w:rsid w:val="007329F0"/>
    <w:rsid w:val="00766BB9"/>
    <w:rsid w:val="007A6855"/>
    <w:rsid w:val="008D28D5"/>
    <w:rsid w:val="008F2FCD"/>
    <w:rsid w:val="0092027A"/>
    <w:rsid w:val="009227B9"/>
    <w:rsid w:val="00935EEB"/>
    <w:rsid w:val="00953E11"/>
    <w:rsid w:val="00955E31"/>
    <w:rsid w:val="009719BF"/>
    <w:rsid w:val="00982CEB"/>
    <w:rsid w:val="00992E72"/>
    <w:rsid w:val="00A3412E"/>
    <w:rsid w:val="00A640C2"/>
    <w:rsid w:val="00AB669D"/>
    <w:rsid w:val="00AF26D1"/>
    <w:rsid w:val="00B1391D"/>
    <w:rsid w:val="00B62600"/>
    <w:rsid w:val="00BD534D"/>
    <w:rsid w:val="00BF7E3C"/>
    <w:rsid w:val="00C046CE"/>
    <w:rsid w:val="00C717BB"/>
    <w:rsid w:val="00CB369A"/>
    <w:rsid w:val="00CB6D14"/>
    <w:rsid w:val="00CC73DA"/>
    <w:rsid w:val="00D03F90"/>
    <w:rsid w:val="00D133D7"/>
    <w:rsid w:val="00D841E6"/>
    <w:rsid w:val="00DF2766"/>
    <w:rsid w:val="00E036D2"/>
    <w:rsid w:val="00E3020D"/>
    <w:rsid w:val="00E80146"/>
    <w:rsid w:val="00E904D0"/>
    <w:rsid w:val="00EC25F9"/>
    <w:rsid w:val="00EC7135"/>
    <w:rsid w:val="00ED583F"/>
    <w:rsid w:val="00F13843"/>
    <w:rsid w:val="00F65934"/>
    <w:rsid w:val="00F77DBB"/>
    <w:rsid w:val="00F8084C"/>
    <w:rsid w:val="00FA184A"/>
    <w:rsid w:val="00FE0AD8"/>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9BF"/>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9719BF"/>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9719BF"/>
    <w:pPr>
      <w:spacing w:before="360"/>
      <w:outlineLvl w:val="1"/>
    </w:pPr>
  </w:style>
  <w:style w:type="paragraph" w:styleId="Heading3">
    <w:name w:val="heading 3"/>
    <w:basedOn w:val="Heading2"/>
    <w:next w:val="RKnormal"/>
    <w:link w:val="Heading3Char"/>
    <w:uiPriority w:val="99"/>
    <w:qFormat/>
    <w:rsid w:val="009719BF"/>
    <w:pPr>
      <w:spacing w:after="120" w:line="240" w:lineRule="atLeast"/>
      <w:outlineLvl w:val="2"/>
    </w:pPr>
    <w:rPr>
      <w:b w:val="0"/>
    </w:rPr>
  </w:style>
  <w:style w:type="paragraph" w:styleId="Heading4">
    <w:name w:val="heading 4"/>
    <w:basedOn w:val="Heading3"/>
    <w:next w:val="RKnormal"/>
    <w:link w:val="Heading4Char"/>
    <w:uiPriority w:val="99"/>
    <w:qFormat/>
    <w:rsid w:val="009719BF"/>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62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24562D"/>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24562D"/>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24562D"/>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9719BF"/>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9719BF"/>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24562D"/>
    <w:rPr>
      <w:rFonts w:ascii="OrigGarmnd BT" w:hAnsi="OrigGarmnd BT"/>
      <w:sz w:val="24"/>
      <w:szCs w:val="20"/>
      <w:lang w:eastAsia="en-US"/>
    </w:rPr>
  </w:style>
  <w:style w:type="paragraph" w:styleId="Header">
    <w:name w:val="header"/>
    <w:basedOn w:val="Normal"/>
    <w:link w:val="HeaderChar"/>
    <w:uiPriority w:val="99"/>
    <w:rsid w:val="009719BF"/>
    <w:pPr>
      <w:tabs>
        <w:tab w:val="center" w:pos="4153"/>
        <w:tab w:val="right" w:pos="8306"/>
      </w:tabs>
    </w:pPr>
  </w:style>
  <w:style w:type="character" w:customStyle="1" w:styleId="HeaderChar">
    <w:name w:val="Header Char"/>
    <w:basedOn w:val="DefaultParagraphFont"/>
    <w:link w:val="Header"/>
    <w:uiPriority w:val="99"/>
    <w:semiHidden/>
    <w:rsid w:val="0024562D"/>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9719BF"/>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9719BF"/>
    <w:rPr>
      <w:rFonts w:cs="Times New Roman"/>
    </w:rPr>
  </w:style>
  <w:style w:type="paragraph" w:styleId="BalloonText">
    <w:name w:val="Balloon Text"/>
    <w:basedOn w:val="Normal"/>
    <w:link w:val="BalloonTextChar"/>
    <w:uiPriority w:val="99"/>
    <w:rsid w:val="007329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329F0"/>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919</Words>
  <Characters>5415</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Mikael Jeppsson</dc:creator>
  <cp:keywords/>
  <dc:description/>
  <cp:lastModifiedBy>ha0808ab</cp:lastModifiedBy>
  <cp:revision>2</cp:revision>
  <cp:lastPrinted>2012-11-30T15:26:00Z</cp:lastPrinted>
  <dcterms:created xsi:type="dcterms:W3CDTF">2012-11-30T15:26:00Z</dcterms:created>
  <dcterms:modified xsi:type="dcterms:W3CDTF">2012-11-30T15:26:00Z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0x01010053E1D612BA3F4E21AA250ECD751942B300BEB80B031A7EB547B6901546B9851C7A</vt:lpwstr>
  </property>
  <property fmtid="{D5CDD505-2E9C-101B-9397-08002B2CF9AE}" pid="6" name="_dlc_DocIdItemGuid">
    <vt:lpwstr>49c41446-9059-4577-ba2a-5dda535163e1</vt:lpwstr>
  </property>
  <property fmtid="{D5CDD505-2E9C-101B-9397-08002B2CF9AE}" pid="7" name="Nyckelord">
    <vt:lpwstr/>
  </property>
  <property fmtid="{D5CDD505-2E9C-101B-9397-08002B2CF9AE}" pid="8" name="Sekretess">
    <vt:lpwstr/>
  </property>
  <property fmtid="{D5CDD505-2E9C-101B-9397-08002B2CF9AE}" pid="9" name="TaxCatchAll">
    <vt:lpwstr/>
  </property>
  <property fmtid="{D5CDD505-2E9C-101B-9397-08002B2CF9AE}" pid="10" name="c9cd366cc722410295b9eacffbd73909">
    <vt:lpwstr/>
  </property>
  <property fmtid="{D5CDD505-2E9C-101B-9397-08002B2CF9AE}" pid="11" name="k46d94c0acf84ab9a79866a9d8b1905f">
    <vt:lpwstr/>
  </property>
  <property fmtid="{D5CDD505-2E9C-101B-9397-08002B2CF9AE}" pid="12" name="Diarienummer">
    <vt:lpwstr/>
  </property>
  <property fmtid="{D5CDD505-2E9C-101B-9397-08002B2CF9AE}" pid="13" name="_dlc_DocId">
    <vt:lpwstr>W2C5EU7TYCK3-13-288</vt:lpwstr>
  </property>
  <property fmtid="{D5CDD505-2E9C-101B-9397-08002B2CF9AE}" pid="14" name="_dlc_DocIdUrl">
    <vt:lpwstr>http://rkdhs-ud/enhet/fim/29_30_maj/_layouts/DocIdRedir.aspx?ID=W2C5EU7TYCK3-13-288, W2C5EU7TYCK3-13-288</vt:lpwstr>
  </property>
  <property fmtid="{D5CDD505-2E9C-101B-9397-08002B2CF9AE}" pid="15" name="RKOrdnaCheckInComment">
    <vt:lpwstr/>
  </property>
  <property fmtid="{D5CDD505-2E9C-101B-9397-08002B2CF9AE}" pid="16" name="RKOrdnaClass">
    <vt:lpwstr/>
  </property>
</Properties>
</file>