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3088B" w:rsidP="007242A3">
            <w:pPr>
              <w:framePr w:w="5035" w:h="1644" w:wrap="notBeside" w:vAnchor="page" w:hAnchor="page" w:x="6573" w:y="721"/>
              <w:rPr>
                <w:sz w:val="20"/>
              </w:rPr>
            </w:pPr>
            <w:r>
              <w:rPr>
                <w:sz w:val="20"/>
              </w:rPr>
              <w:t>Dnr N2015/5008/JM</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3088B">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B3088B">
            <w:pPr>
              <w:pStyle w:val="Avsndare"/>
              <w:framePr w:h="2483" w:wrap="notBeside" w:x="1504"/>
              <w:rPr>
                <w:bCs/>
                <w:iCs/>
              </w:rPr>
            </w:pPr>
            <w:r>
              <w:rPr>
                <w:bCs/>
                <w:iCs/>
              </w:rPr>
              <w:t>Landsbygdsministern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3088B">
      <w:pPr>
        <w:framePr w:w="4400" w:h="2523" w:wrap="notBeside" w:vAnchor="page" w:hAnchor="page" w:x="6453" w:y="2445"/>
        <w:ind w:left="142"/>
      </w:pPr>
      <w:r>
        <w:t>Till riksdagen</w:t>
      </w:r>
    </w:p>
    <w:p w:rsidR="006E4E11" w:rsidRDefault="00B3088B" w:rsidP="00B3088B">
      <w:pPr>
        <w:pStyle w:val="RKrubrik"/>
        <w:pBdr>
          <w:bottom w:val="single" w:sz="4" w:space="1" w:color="auto"/>
        </w:pBdr>
        <w:spacing w:before="0" w:after="0"/>
      </w:pPr>
      <w:r>
        <w:t xml:space="preserve">Svar på fråga 2014/15:704 av Gunilla Nordgren (M) Försörjningsberedskap </w:t>
      </w:r>
      <w:bookmarkStart w:id="0" w:name="_GoBack"/>
      <w:bookmarkEnd w:id="0"/>
      <w:r>
        <w:t>och sårbarhetsanalys vid framtagandet av livsmedelsstrategi</w:t>
      </w:r>
    </w:p>
    <w:p w:rsidR="006E4E11" w:rsidRDefault="006E4E11">
      <w:pPr>
        <w:pStyle w:val="RKnormal"/>
      </w:pPr>
    </w:p>
    <w:p w:rsidR="006E4E11" w:rsidRDefault="00B3088B">
      <w:pPr>
        <w:pStyle w:val="RKnormal"/>
      </w:pPr>
      <w:r>
        <w:t xml:space="preserve">Gunilla Nordgren har frågat mig </w:t>
      </w:r>
      <w:r w:rsidR="006951B3">
        <w:t>om jag är beredd att arbeta för att involvera aspekter på försörjningsberedskap och på en sårbarhetsanalys i arbetet med att ta fram en livsmedelsstrategi.</w:t>
      </w:r>
    </w:p>
    <w:p w:rsidR="00013EB7" w:rsidRDefault="00013EB7" w:rsidP="006951B3">
      <w:pPr>
        <w:pStyle w:val="RKnormal"/>
      </w:pPr>
    </w:p>
    <w:p w:rsidR="006951B3" w:rsidRDefault="006951B3" w:rsidP="006951B3">
      <w:pPr>
        <w:pStyle w:val="RKnormal"/>
      </w:pPr>
      <w:r>
        <w:t xml:space="preserve">I arbetet med att ta fram en livsmedelsstrategi pågår för närvarande ett intensivt arbete med att inhämta synpunkter från berörda parter och analysera ett antal olika livsmedelsstrategiska frågeställningar. Kopplingarna mellan livsmedelsproduktionens förutsättningar och försörjningsberedskapen är en av de frågeställningar som belyses i det arbetet. </w:t>
      </w:r>
    </w:p>
    <w:p w:rsidR="006951B3" w:rsidRPr="00AE3AB2" w:rsidRDefault="006951B3" w:rsidP="006951B3">
      <w:pPr>
        <w:pStyle w:val="RKnormal"/>
      </w:pPr>
    </w:p>
    <w:p w:rsidR="00561DF3" w:rsidRDefault="006951B3" w:rsidP="00561DF3">
      <w:pPr>
        <w:pStyle w:val="RKnormal"/>
      </w:pPr>
      <w:r w:rsidRPr="007926DD">
        <w:t>Under många år har det endast bedrivits ett begränsat arbete att planera och förbereda civilt försvar.</w:t>
      </w:r>
      <w:r>
        <w:t xml:space="preserve"> </w:t>
      </w:r>
      <w:r w:rsidRPr="007926DD">
        <w:t>Vissa resurser, t.ex. livsmedelslagren, har avvecklats.</w:t>
      </w:r>
      <w:r>
        <w:t xml:space="preserve"> Regeringens bedömning är dock att planeringen för det civila försvaret bör återupptas samt att en sammanhängande planering för totalförsvaret bör säkerställas genom anvisningar till berörda myndigheter. </w:t>
      </w:r>
      <w:r w:rsidR="00F07A95">
        <w:t>Det krävs emellertid analyser och planering av hur</w:t>
      </w:r>
      <w:r w:rsidR="00561DF3">
        <w:t xml:space="preserve"> leveranssäkerheten och beredskapen inom livsmedelsförsörjningen </w:t>
      </w:r>
      <w:r w:rsidR="00F07A95">
        <w:t xml:space="preserve">kan förbättras inför höjd beredskap vilket är ett led i den nyligen av riksdagen antagna försvarspropositionen. </w:t>
      </w:r>
    </w:p>
    <w:p w:rsidR="00061DA1" w:rsidRDefault="00061DA1" w:rsidP="00061DA1">
      <w:pPr>
        <w:pStyle w:val="RKnormal"/>
      </w:pPr>
    </w:p>
    <w:p w:rsidR="00C90D24" w:rsidRDefault="00061DA1">
      <w:pPr>
        <w:pStyle w:val="RKnormal"/>
      </w:pPr>
      <w:r>
        <w:t>Livsmedelsverket är redan i dag ansvarig myndighet och svarar, i leden efter primärproduktionen, för nationell samordning när det gäller kris- och beredskapsplanering av livsmedelsförsörjning. I det ingår att analysera om det finns sårbarhet eller hot och risker inom myndighetens ansvarsområde som synnerligen allvarligt kan försämra förmågan till verksamhet inom området</w:t>
      </w:r>
      <w:r w:rsidR="00561DF3">
        <w:t xml:space="preserve"> samt att </w:t>
      </w:r>
      <w:r>
        <w:t>sammanställa resultatet i en risk- och sårbarhetsanalys.</w:t>
      </w:r>
    </w:p>
    <w:p w:rsidR="00C90D24" w:rsidRDefault="00C90D24">
      <w:pPr>
        <w:pStyle w:val="RKnormal"/>
      </w:pPr>
    </w:p>
    <w:p w:rsidR="00B3088B" w:rsidRDefault="00B3088B">
      <w:pPr>
        <w:pStyle w:val="RKnormal"/>
      </w:pPr>
      <w:r>
        <w:t>Stockholm den 8 juli 2015</w:t>
      </w:r>
    </w:p>
    <w:p w:rsidR="00B3088B" w:rsidRDefault="00B3088B">
      <w:pPr>
        <w:pStyle w:val="RKnormal"/>
      </w:pPr>
    </w:p>
    <w:p w:rsidR="00C90D24" w:rsidRDefault="00C90D24">
      <w:pPr>
        <w:pStyle w:val="RKnormal"/>
      </w:pPr>
    </w:p>
    <w:p w:rsidR="00B3088B" w:rsidRDefault="00B3088B">
      <w:pPr>
        <w:pStyle w:val="RKnormal"/>
      </w:pPr>
      <w:r>
        <w:t>Sven-Erik Bucht</w:t>
      </w:r>
    </w:p>
    <w:sectPr w:rsidR="00B3088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30F" w:rsidRDefault="0040530F">
      <w:r>
        <w:separator/>
      </w:r>
    </w:p>
  </w:endnote>
  <w:endnote w:type="continuationSeparator" w:id="0">
    <w:p w:rsidR="0040530F" w:rsidRDefault="0040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30F" w:rsidRDefault="0040530F">
      <w:r>
        <w:separator/>
      </w:r>
    </w:p>
  </w:footnote>
  <w:footnote w:type="continuationSeparator" w:id="0">
    <w:p w:rsidR="0040530F" w:rsidRDefault="00405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90D2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8B" w:rsidRDefault="00B3088B">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88B"/>
    <w:rsid w:val="00013EB7"/>
    <w:rsid w:val="00061DA1"/>
    <w:rsid w:val="00062635"/>
    <w:rsid w:val="000B385D"/>
    <w:rsid w:val="00150384"/>
    <w:rsid w:val="00160901"/>
    <w:rsid w:val="001805B7"/>
    <w:rsid w:val="00294D83"/>
    <w:rsid w:val="002A5A3E"/>
    <w:rsid w:val="00367B1C"/>
    <w:rsid w:val="0040530F"/>
    <w:rsid w:val="004377FD"/>
    <w:rsid w:val="004A328D"/>
    <w:rsid w:val="00561DF3"/>
    <w:rsid w:val="0058762B"/>
    <w:rsid w:val="006951B3"/>
    <w:rsid w:val="006E4E11"/>
    <w:rsid w:val="007242A3"/>
    <w:rsid w:val="00733531"/>
    <w:rsid w:val="00772CCA"/>
    <w:rsid w:val="007A6855"/>
    <w:rsid w:val="007D7BBC"/>
    <w:rsid w:val="0092027A"/>
    <w:rsid w:val="00955E31"/>
    <w:rsid w:val="00992E72"/>
    <w:rsid w:val="00A86968"/>
    <w:rsid w:val="00AF26D1"/>
    <w:rsid w:val="00B3088B"/>
    <w:rsid w:val="00B74F6B"/>
    <w:rsid w:val="00C80B8B"/>
    <w:rsid w:val="00C90D24"/>
    <w:rsid w:val="00D02EA1"/>
    <w:rsid w:val="00D133D7"/>
    <w:rsid w:val="00D80FB3"/>
    <w:rsid w:val="00E65DEE"/>
    <w:rsid w:val="00E80146"/>
    <w:rsid w:val="00E904D0"/>
    <w:rsid w:val="00EC25F9"/>
    <w:rsid w:val="00ED583F"/>
    <w:rsid w:val="00F07A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951B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951B3"/>
    <w:rPr>
      <w:rFonts w:ascii="Tahoma" w:hAnsi="Tahoma" w:cs="Tahoma"/>
      <w:sz w:val="16"/>
      <w:szCs w:val="16"/>
      <w:lang w:eastAsia="en-US"/>
    </w:rPr>
  </w:style>
  <w:style w:type="character" w:styleId="Kommentarsreferens">
    <w:name w:val="annotation reference"/>
    <w:basedOn w:val="Standardstycketeckensnitt"/>
    <w:rsid w:val="00294D83"/>
    <w:rPr>
      <w:sz w:val="16"/>
      <w:szCs w:val="16"/>
    </w:rPr>
  </w:style>
  <w:style w:type="paragraph" w:styleId="Kommentarer">
    <w:name w:val="annotation text"/>
    <w:basedOn w:val="Normal"/>
    <w:link w:val="KommentarerChar"/>
    <w:rsid w:val="00294D83"/>
    <w:pPr>
      <w:spacing w:line="240" w:lineRule="auto"/>
    </w:pPr>
    <w:rPr>
      <w:sz w:val="20"/>
    </w:rPr>
  </w:style>
  <w:style w:type="character" w:customStyle="1" w:styleId="KommentarerChar">
    <w:name w:val="Kommentarer Char"/>
    <w:basedOn w:val="Standardstycketeckensnitt"/>
    <w:link w:val="Kommentarer"/>
    <w:rsid w:val="00294D83"/>
    <w:rPr>
      <w:rFonts w:ascii="OrigGarmnd BT" w:hAnsi="OrigGarmnd BT"/>
      <w:lang w:eastAsia="en-US"/>
    </w:rPr>
  </w:style>
  <w:style w:type="paragraph" w:styleId="Kommentarsmne">
    <w:name w:val="annotation subject"/>
    <w:basedOn w:val="Kommentarer"/>
    <w:next w:val="Kommentarer"/>
    <w:link w:val="KommentarsmneChar"/>
    <w:rsid w:val="00294D83"/>
    <w:rPr>
      <w:b/>
      <w:bCs/>
    </w:rPr>
  </w:style>
  <w:style w:type="character" w:customStyle="1" w:styleId="KommentarsmneChar">
    <w:name w:val="Kommentarsämne Char"/>
    <w:basedOn w:val="KommentarerChar"/>
    <w:link w:val="Kommentarsmne"/>
    <w:rsid w:val="00294D83"/>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951B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951B3"/>
    <w:rPr>
      <w:rFonts w:ascii="Tahoma" w:hAnsi="Tahoma" w:cs="Tahoma"/>
      <w:sz w:val="16"/>
      <w:szCs w:val="16"/>
      <w:lang w:eastAsia="en-US"/>
    </w:rPr>
  </w:style>
  <w:style w:type="character" w:styleId="Kommentarsreferens">
    <w:name w:val="annotation reference"/>
    <w:basedOn w:val="Standardstycketeckensnitt"/>
    <w:rsid w:val="00294D83"/>
    <w:rPr>
      <w:sz w:val="16"/>
      <w:szCs w:val="16"/>
    </w:rPr>
  </w:style>
  <w:style w:type="paragraph" w:styleId="Kommentarer">
    <w:name w:val="annotation text"/>
    <w:basedOn w:val="Normal"/>
    <w:link w:val="KommentarerChar"/>
    <w:rsid w:val="00294D83"/>
    <w:pPr>
      <w:spacing w:line="240" w:lineRule="auto"/>
    </w:pPr>
    <w:rPr>
      <w:sz w:val="20"/>
    </w:rPr>
  </w:style>
  <w:style w:type="character" w:customStyle="1" w:styleId="KommentarerChar">
    <w:name w:val="Kommentarer Char"/>
    <w:basedOn w:val="Standardstycketeckensnitt"/>
    <w:link w:val="Kommentarer"/>
    <w:rsid w:val="00294D83"/>
    <w:rPr>
      <w:rFonts w:ascii="OrigGarmnd BT" w:hAnsi="OrigGarmnd BT"/>
      <w:lang w:eastAsia="en-US"/>
    </w:rPr>
  </w:style>
  <w:style w:type="paragraph" w:styleId="Kommentarsmne">
    <w:name w:val="annotation subject"/>
    <w:basedOn w:val="Kommentarer"/>
    <w:next w:val="Kommentarer"/>
    <w:link w:val="KommentarsmneChar"/>
    <w:rsid w:val="00294D83"/>
    <w:rPr>
      <w:b/>
      <w:bCs/>
    </w:rPr>
  </w:style>
  <w:style w:type="character" w:customStyle="1" w:styleId="KommentarsmneChar">
    <w:name w:val="Kommentarsämne Char"/>
    <w:basedOn w:val="KommentarerChar"/>
    <w:link w:val="Kommentarsmne"/>
    <w:rsid w:val="00294D83"/>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eba78965-12be-4268-a57c-73484c1b27aa</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6DF0-37BB-4432-9BFD-36BE40E5C4E9}"/>
</file>

<file path=customXml/itemProps2.xml><?xml version="1.0" encoding="utf-8"?>
<ds:datastoreItem xmlns:ds="http://schemas.openxmlformats.org/officeDocument/2006/customXml" ds:itemID="{819925E4-2D7A-4968-ADB9-0D6998CC649A}"/>
</file>

<file path=customXml/itemProps3.xml><?xml version="1.0" encoding="utf-8"?>
<ds:datastoreItem xmlns:ds="http://schemas.openxmlformats.org/officeDocument/2006/customXml" ds:itemID="{41338089-16C2-4879-92AD-4EB1F453D1C0}"/>
</file>

<file path=customXml/itemProps4.xml><?xml version="1.0" encoding="utf-8"?>
<ds:datastoreItem xmlns:ds="http://schemas.openxmlformats.org/officeDocument/2006/customXml" ds:itemID="{68925EA8-A9DB-47C9-B6E2-F8E2240F3F84}">
  <ds:schemaRefs>
    <ds:schemaRef ds:uri="http://schemas.microsoft.com/office/2006/metadata/customXsn"/>
  </ds:schemaRefs>
</ds:datastoreItem>
</file>

<file path=customXml/itemProps5.xml><?xml version="1.0" encoding="utf-8"?>
<ds:datastoreItem xmlns:ds="http://schemas.openxmlformats.org/officeDocument/2006/customXml" ds:itemID="{516A17F2-1B8A-489D-9727-1442A45D52F5}"/>
</file>

<file path=customXml/itemProps6.xml><?xml version="1.0" encoding="utf-8"?>
<ds:datastoreItem xmlns:ds="http://schemas.openxmlformats.org/officeDocument/2006/customXml" ds:itemID="{68925EA8-A9DB-47C9-B6E2-F8E2240F3F84}"/>
</file>

<file path=customXml/itemProps7.xml><?xml version="1.0" encoding="utf-8"?>
<ds:datastoreItem xmlns:ds="http://schemas.openxmlformats.org/officeDocument/2006/customXml" ds:itemID="{141B8B01-4665-4628-A592-7B3224C1ACC6}"/>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1560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 af Wetterstedt</dc:creator>
  <cp:lastModifiedBy>Lidia H-Strömberg</cp:lastModifiedBy>
  <cp:revision>2</cp:revision>
  <cp:lastPrinted>2015-06-30T11:26:00Z</cp:lastPrinted>
  <dcterms:created xsi:type="dcterms:W3CDTF">2015-07-08T09:22:00Z</dcterms:created>
  <dcterms:modified xsi:type="dcterms:W3CDTF">2015-07-08T09:22:00Z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14ea9f62-c6f5-42f0-8426-3d10edb6d32c</vt:lpwstr>
  </property>
  <property fmtid="{D5CDD505-2E9C-101B-9397-08002B2CF9AE}" pid="7" name="Departementsenhet">
    <vt:lpwstr/>
  </property>
  <property fmtid="{D5CDD505-2E9C-101B-9397-08002B2CF9AE}" pid="8" name="Aktivitetskategori">
    <vt:lpwstr/>
  </property>
</Properties>
</file>