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5A6" w:rsidRPr="00F075A6" w:rsidRDefault="00F075A6">
      <w:pPr>
        <w:pStyle w:val="Frslagsrubrik"/>
        <w:shd w:val="clear" w:color="000000" w:fill="auto"/>
      </w:pPr>
      <w:r w:rsidRPr="00F075A6">
        <w:t>Förslag till riksdagsbeslut</w:t>
      </w:r>
    </w:p>
    <w:p w:rsidR="00F075A6" w:rsidRPr="00F075A6" w:rsidRDefault="00F075A6">
      <w:pPr>
        <w:pStyle w:val="Hemstlatt"/>
        <w:shd w:val="clear" w:color="000000" w:fill="auto"/>
      </w:pPr>
      <w:r w:rsidRPr="00F075A6">
        <w:t>Riksdagen anvisar till utgiftsområde 21 Energi 150 000 000 kr utöver vad regeringen föreslagit för budgetåret 2011 eller således 3 020 194 000 kr.</w:t>
      </w:r>
    </w:p>
    <w:p w:rsidR="00F075A6" w:rsidRPr="00F075A6" w:rsidRDefault="00F075A6">
      <w:pPr>
        <w:pStyle w:val="Rubrik1"/>
        <w:shd w:val="clear" w:color="000000" w:fill="auto"/>
        <w:spacing w:before="600"/>
      </w:pPr>
      <w:r w:rsidRPr="00F075A6">
        <w:t>Motivering</w:t>
      </w:r>
    </w:p>
    <w:p w:rsidR="00F075A6" w:rsidRPr="00F075A6" w:rsidRDefault="00F075A6">
      <w:pPr>
        <w:shd w:val="clear" w:color="000000" w:fill="auto"/>
      </w:pPr>
      <w:r w:rsidRPr="00F075A6">
        <w:t>För att Sverige skall kunna stå sig i konkurrensen gentemot omvärlden, för att ambitionerna om att bryta landets oljeberoende skall kunna förverkligas och för att hushållen skall kunna hålla sina boendekostnader på en rimlig nivå måste energipriserna hållas låga. Sverigedemokraterna vill därför öppna för att förnya och att bygga ut kärnkraften. Som ett led i vår ambition att ta Sv</w:t>
      </w:r>
      <w:r w:rsidRPr="00F075A6">
        <w:t>e</w:t>
      </w:r>
      <w:r w:rsidRPr="00F075A6">
        <w:t>rige ur oljeberoendet, samt för att utveckla den inhemska energiindustrin, väljer vi också att avsätta resurser till en satsning på inhemska energikällor.</w:t>
      </w:r>
    </w:p>
    <w:p w:rsidR="00F075A6" w:rsidRPr="00F075A6" w:rsidRDefault="00F075A6">
      <w:pPr>
        <w:shd w:val="clear" w:color="000000" w:fill="auto"/>
        <w:rPr>
          <w:b/>
        </w:rPr>
      </w:pPr>
      <w:r w:rsidRPr="00F075A6">
        <w:rPr>
          <w:b/>
        </w:rPr>
        <w:t>Anslagsförslag 2011 för utgiftsområde 21 Energi (SD)</w:t>
      </w:r>
    </w:p>
    <w:p w:rsidR="00F075A6" w:rsidRPr="00F075A6" w:rsidRDefault="00F075A6">
      <w:pPr>
        <w:shd w:val="clear" w:color="000000" w:fill="auto"/>
        <w:spacing w:before="0"/>
        <w:ind w:left="57"/>
        <w:rPr>
          <w:i/>
          <w:sz w:val="16"/>
          <w:szCs w:val="16"/>
        </w:rPr>
      </w:pPr>
      <w:r w:rsidRPr="00F075A6">
        <w:rPr>
          <w:i/>
          <w:sz w:val="16"/>
          <w:szCs w:val="16"/>
        </w:rPr>
        <w:t>Tusental kronor</w:t>
      </w:r>
    </w:p>
    <w:tbl>
      <w:tblPr>
        <w:tblW w:w="5926" w:type="dxa"/>
        <w:tblInd w:w="70" w:type="dxa"/>
        <w:tblLayout w:type="fixed"/>
        <w:tblCellMar>
          <w:left w:w="70" w:type="dxa"/>
          <w:right w:w="70" w:type="dxa"/>
        </w:tblCellMar>
        <w:tblLook w:val="0000" w:firstRow="0" w:lastRow="0" w:firstColumn="0" w:lastColumn="0" w:noHBand="0" w:noVBand="0"/>
      </w:tblPr>
      <w:tblGrid>
        <w:gridCol w:w="447"/>
        <w:gridCol w:w="3303"/>
        <w:gridCol w:w="967"/>
        <w:gridCol w:w="1209"/>
      </w:tblGrid>
      <w:tr w:rsidR="00000000" w:rsidRPr="00F075A6">
        <w:trPr>
          <w:tblHeader/>
        </w:trPr>
        <w:tc>
          <w:tcPr>
            <w:tcW w:w="3750" w:type="dxa"/>
            <w:gridSpan w:val="2"/>
            <w:tcBorders>
              <w:top w:val="single" w:sz="4" w:space="0" w:color="auto"/>
              <w:left w:val="nil"/>
              <w:bottom w:val="single" w:sz="4" w:space="0" w:color="auto"/>
              <w:right w:val="nil"/>
            </w:tcBorders>
            <w:noWrap/>
          </w:tcPr>
          <w:p w:rsidR="00F075A6" w:rsidRPr="00F075A6" w:rsidRDefault="00F075A6">
            <w:pPr>
              <w:shd w:val="clear" w:color="000000" w:fill="auto"/>
              <w:spacing w:before="60" w:line="200" w:lineRule="atLeast"/>
              <w:rPr>
                <w:b/>
                <w:bCs/>
                <w:sz w:val="16"/>
                <w:szCs w:val="16"/>
              </w:rPr>
            </w:pPr>
            <w:r w:rsidRPr="00F075A6">
              <w:rPr>
                <w:b/>
                <w:bCs/>
                <w:sz w:val="16"/>
                <w:szCs w:val="16"/>
              </w:rPr>
              <w:t>Anslag (ramanslag)</w:t>
            </w:r>
          </w:p>
        </w:tc>
        <w:tc>
          <w:tcPr>
            <w:tcW w:w="967" w:type="dxa"/>
            <w:tcBorders>
              <w:top w:val="single" w:sz="4" w:space="0" w:color="auto"/>
              <w:left w:val="nil"/>
              <w:bottom w:val="single" w:sz="4" w:space="0" w:color="auto"/>
              <w:right w:val="nil"/>
            </w:tcBorders>
          </w:tcPr>
          <w:p w:rsidR="00F075A6" w:rsidRPr="00F075A6" w:rsidRDefault="00F075A6">
            <w:pPr>
              <w:shd w:val="clear" w:color="000000" w:fill="auto"/>
              <w:spacing w:before="60" w:line="200" w:lineRule="atLeast"/>
              <w:jc w:val="right"/>
              <w:rPr>
                <w:b/>
                <w:bCs/>
                <w:sz w:val="16"/>
                <w:szCs w:val="16"/>
              </w:rPr>
            </w:pPr>
            <w:r w:rsidRPr="00F075A6">
              <w:rPr>
                <w:b/>
                <w:bCs/>
                <w:sz w:val="16"/>
                <w:szCs w:val="16"/>
              </w:rPr>
              <w:t>Regerin</w:t>
            </w:r>
            <w:r w:rsidRPr="00F075A6">
              <w:rPr>
                <w:b/>
                <w:bCs/>
                <w:sz w:val="16"/>
                <w:szCs w:val="16"/>
              </w:rPr>
              <w:t>g</w:t>
            </w:r>
            <w:r w:rsidRPr="00F075A6">
              <w:rPr>
                <w:b/>
                <w:bCs/>
                <w:sz w:val="16"/>
                <w:szCs w:val="16"/>
              </w:rPr>
              <w:t>ens förslag</w:t>
            </w:r>
          </w:p>
        </w:tc>
        <w:tc>
          <w:tcPr>
            <w:tcW w:w="1209" w:type="dxa"/>
            <w:tcBorders>
              <w:top w:val="single" w:sz="4" w:space="0" w:color="auto"/>
              <w:left w:val="nil"/>
              <w:bottom w:val="single" w:sz="4" w:space="0" w:color="auto"/>
              <w:right w:val="nil"/>
            </w:tcBorders>
          </w:tcPr>
          <w:p w:rsidR="00F075A6" w:rsidRPr="00F075A6" w:rsidRDefault="00F075A6">
            <w:pPr>
              <w:shd w:val="clear" w:color="000000" w:fill="auto"/>
              <w:spacing w:before="60" w:line="200" w:lineRule="atLeast"/>
              <w:jc w:val="right"/>
              <w:rPr>
                <w:b/>
                <w:bCs/>
                <w:sz w:val="16"/>
                <w:szCs w:val="16"/>
              </w:rPr>
            </w:pPr>
            <w:r w:rsidRPr="00F075A6">
              <w:rPr>
                <w:b/>
                <w:bCs/>
                <w:sz w:val="16"/>
                <w:szCs w:val="16"/>
              </w:rPr>
              <w:t>Avvikelse gen</w:t>
            </w:r>
            <w:r w:rsidRPr="00F075A6">
              <w:rPr>
                <w:b/>
                <w:bCs/>
                <w:sz w:val="16"/>
                <w:szCs w:val="16"/>
              </w:rPr>
              <w:t>t</w:t>
            </w:r>
            <w:r w:rsidRPr="00F075A6">
              <w:rPr>
                <w:b/>
                <w:bCs/>
                <w:sz w:val="16"/>
                <w:szCs w:val="16"/>
              </w:rPr>
              <w:t>emot regerin</w:t>
            </w:r>
            <w:r w:rsidRPr="00F075A6">
              <w:rPr>
                <w:b/>
                <w:bCs/>
                <w:sz w:val="16"/>
                <w:szCs w:val="16"/>
              </w:rPr>
              <w:t>g</w:t>
            </w:r>
            <w:r w:rsidRPr="00F075A6">
              <w:rPr>
                <w:b/>
                <w:bCs/>
                <w:sz w:val="16"/>
                <w:szCs w:val="16"/>
              </w:rPr>
              <w:t>ens förslag</w:t>
            </w: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1:1</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Statens energimyndighet: Förvaltningskostn</w:t>
            </w:r>
            <w:r w:rsidRPr="00F075A6">
              <w:rPr>
                <w:sz w:val="16"/>
                <w:szCs w:val="16"/>
              </w:rPr>
              <w:t>a</w:t>
            </w:r>
            <w:r w:rsidRPr="00F075A6">
              <w:rPr>
                <w:sz w:val="16"/>
                <w:szCs w:val="16"/>
              </w:rPr>
              <w:t>der</w:t>
            </w:r>
          </w:p>
        </w:tc>
        <w:tc>
          <w:tcPr>
            <w:tcW w:w="967" w:type="dxa"/>
            <w:tcBorders>
              <w:top w:val="nil"/>
              <w:left w:val="nil"/>
              <w:bottom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t>237 936</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1:2</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Regionala och lokala insatser för energieffektiv</w:t>
            </w:r>
            <w:r w:rsidRPr="00F075A6">
              <w:rPr>
                <w:sz w:val="16"/>
                <w:szCs w:val="16"/>
              </w:rPr>
              <w:t>i</w:t>
            </w:r>
            <w:r w:rsidRPr="00F075A6">
              <w:rPr>
                <w:sz w:val="16"/>
                <w:szCs w:val="16"/>
              </w:rPr>
              <w:t>sering m.m.</w:t>
            </w:r>
          </w:p>
        </w:tc>
        <w:tc>
          <w:tcPr>
            <w:tcW w:w="967" w:type="dxa"/>
            <w:tcBorders>
              <w:top w:val="nil"/>
              <w:left w:val="nil"/>
              <w:bottom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t>140 000</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1:3</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Insatser för uthållig energianvändning</w:t>
            </w:r>
          </w:p>
        </w:tc>
        <w:tc>
          <w:tcPr>
            <w:tcW w:w="967"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r w:rsidRPr="00F075A6">
              <w:rPr>
                <w:sz w:val="16"/>
                <w:szCs w:val="16"/>
              </w:rPr>
              <w:t>119 909</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1:4</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Stöd för marknadsintroduktion av vindkraft</w:t>
            </w:r>
          </w:p>
        </w:tc>
        <w:tc>
          <w:tcPr>
            <w:tcW w:w="967"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r w:rsidRPr="00F075A6">
              <w:rPr>
                <w:sz w:val="16"/>
                <w:szCs w:val="16"/>
              </w:rPr>
              <w:t>70 000</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1:5</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Energiforskning</w:t>
            </w:r>
          </w:p>
        </w:tc>
        <w:tc>
          <w:tcPr>
            <w:tcW w:w="967"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r w:rsidRPr="00F075A6">
              <w:rPr>
                <w:sz w:val="16"/>
                <w:szCs w:val="16"/>
              </w:rPr>
              <w:t>1 315 804</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r w:rsidRPr="00F075A6">
              <w:rPr>
                <w:sz w:val="16"/>
                <w:szCs w:val="16"/>
              </w:rPr>
              <w:t>+150 000</w:t>
            </w: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1:6</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Ersättning för vissa kostnader vid avveckling av Barsebäcksverket</w:t>
            </w:r>
          </w:p>
        </w:tc>
        <w:tc>
          <w:tcPr>
            <w:tcW w:w="967" w:type="dxa"/>
            <w:tcBorders>
              <w:top w:val="nil"/>
              <w:left w:val="nil"/>
              <w:bottom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t>184 000</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1:7</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Planeringsstöd för vindkraft m.m.</w:t>
            </w:r>
          </w:p>
        </w:tc>
        <w:tc>
          <w:tcPr>
            <w:tcW w:w="967"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r w:rsidRPr="00F075A6">
              <w:rPr>
                <w:sz w:val="16"/>
                <w:szCs w:val="16"/>
              </w:rPr>
              <w:t>20 000</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bottom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1:8</w:t>
            </w:r>
          </w:p>
        </w:tc>
        <w:tc>
          <w:tcPr>
            <w:tcW w:w="3303" w:type="dxa"/>
            <w:tcBorders>
              <w:top w:val="nil"/>
              <w:left w:val="nil"/>
              <w:bottom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Stöd för installation av solvärme</w:t>
            </w:r>
          </w:p>
        </w:tc>
        <w:tc>
          <w:tcPr>
            <w:tcW w:w="967"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r w:rsidRPr="00F075A6">
              <w:rPr>
                <w:sz w:val="16"/>
                <w:szCs w:val="16"/>
              </w:rPr>
              <w:t>25 000</w:t>
            </w:r>
          </w:p>
        </w:tc>
        <w:tc>
          <w:tcPr>
            <w:tcW w:w="1209" w:type="dxa"/>
            <w:tcBorders>
              <w:top w:val="nil"/>
              <w:left w:val="nil"/>
              <w:bottom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1:9</w:t>
            </w:r>
          </w:p>
        </w:tc>
        <w:tc>
          <w:tcPr>
            <w:tcW w:w="3303" w:type="dxa"/>
            <w:tcBorders>
              <w:top w:val="nil"/>
              <w:left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Energimarknadsinspektionen: Förvaltningskos</w:t>
            </w:r>
            <w:r w:rsidRPr="00F075A6">
              <w:rPr>
                <w:sz w:val="16"/>
                <w:szCs w:val="16"/>
              </w:rPr>
              <w:t>t</w:t>
            </w:r>
            <w:r w:rsidRPr="00F075A6">
              <w:rPr>
                <w:sz w:val="16"/>
                <w:szCs w:val="16"/>
              </w:rPr>
              <w:lastRenderedPageBreak/>
              <w:t>nader</w:t>
            </w:r>
          </w:p>
        </w:tc>
        <w:tc>
          <w:tcPr>
            <w:tcW w:w="967" w:type="dxa"/>
            <w:tcBorders>
              <w:top w:val="nil"/>
              <w:left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lastRenderedPageBreak/>
              <w:t>90 217</w:t>
            </w:r>
          </w:p>
        </w:tc>
        <w:tc>
          <w:tcPr>
            <w:tcW w:w="1209" w:type="dxa"/>
            <w:tcBorders>
              <w:top w:val="nil"/>
              <w:left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right w:val="nil"/>
            </w:tcBorders>
          </w:tcPr>
          <w:p w:rsidR="00F075A6" w:rsidRPr="00F075A6" w:rsidRDefault="00F075A6">
            <w:pPr>
              <w:shd w:val="clear" w:color="000000" w:fill="auto"/>
              <w:spacing w:before="60" w:line="200" w:lineRule="atLeast"/>
              <w:rPr>
                <w:sz w:val="16"/>
                <w:szCs w:val="16"/>
              </w:rPr>
            </w:pPr>
            <w:r w:rsidRPr="00F075A6">
              <w:rPr>
                <w:sz w:val="16"/>
                <w:szCs w:val="16"/>
              </w:rPr>
              <w:t>1:10</w:t>
            </w:r>
          </w:p>
        </w:tc>
        <w:tc>
          <w:tcPr>
            <w:tcW w:w="3303" w:type="dxa"/>
            <w:tcBorders>
              <w:top w:val="nil"/>
              <w:left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Energiteknik</w:t>
            </w:r>
          </w:p>
        </w:tc>
        <w:tc>
          <w:tcPr>
            <w:tcW w:w="967" w:type="dxa"/>
            <w:tcBorders>
              <w:top w:val="nil"/>
              <w:left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t>122 000</w:t>
            </w:r>
          </w:p>
        </w:tc>
        <w:tc>
          <w:tcPr>
            <w:tcW w:w="1209" w:type="dxa"/>
            <w:tcBorders>
              <w:top w:val="nil"/>
              <w:left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right w:val="nil"/>
            </w:tcBorders>
          </w:tcPr>
          <w:p w:rsidR="00F075A6" w:rsidRPr="00F075A6" w:rsidRDefault="00F075A6">
            <w:pPr>
              <w:pStyle w:val="Normaltindrag"/>
              <w:shd w:val="clear" w:color="000000" w:fill="auto"/>
              <w:ind w:firstLine="0"/>
            </w:pPr>
            <w:r w:rsidRPr="00F075A6">
              <w:rPr>
                <w:sz w:val="16"/>
                <w:szCs w:val="16"/>
              </w:rPr>
              <w:t>1:11</w:t>
            </w:r>
          </w:p>
        </w:tc>
        <w:tc>
          <w:tcPr>
            <w:tcW w:w="3303" w:type="dxa"/>
            <w:tcBorders>
              <w:top w:val="nil"/>
              <w:left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Elberedskap</w:t>
            </w:r>
          </w:p>
        </w:tc>
        <w:tc>
          <w:tcPr>
            <w:tcW w:w="967" w:type="dxa"/>
            <w:tcBorders>
              <w:top w:val="nil"/>
              <w:left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t>250 000</w:t>
            </w:r>
          </w:p>
        </w:tc>
        <w:tc>
          <w:tcPr>
            <w:tcW w:w="1209" w:type="dxa"/>
            <w:tcBorders>
              <w:top w:val="nil"/>
              <w:left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right w:val="nil"/>
            </w:tcBorders>
          </w:tcPr>
          <w:p w:rsidR="00F075A6" w:rsidRPr="00F075A6" w:rsidRDefault="00F075A6">
            <w:pPr>
              <w:pStyle w:val="Normaltindrag"/>
              <w:shd w:val="clear" w:color="000000" w:fill="auto"/>
              <w:ind w:firstLine="0"/>
            </w:pPr>
            <w:r w:rsidRPr="00F075A6">
              <w:rPr>
                <w:sz w:val="16"/>
                <w:szCs w:val="16"/>
              </w:rPr>
              <w:t>1:12</w:t>
            </w:r>
          </w:p>
        </w:tc>
        <w:tc>
          <w:tcPr>
            <w:tcW w:w="3303" w:type="dxa"/>
            <w:tcBorders>
              <w:top w:val="nil"/>
              <w:left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Energieffektiviseringsprogram</w:t>
            </w:r>
          </w:p>
        </w:tc>
        <w:tc>
          <w:tcPr>
            <w:tcW w:w="967" w:type="dxa"/>
            <w:tcBorders>
              <w:top w:val="nil"/>
              <w:left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t>270 000</w:t>
            </w:r>
          </w:p>
        </w:tc>
        <w:tc>
          <w:tcPr>
            <w:tcW w:w="1209" w:type="dxa"/>
            <w:tcBorders>
              <w:top w:val="nil"/>
              <w:left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right w:val="nil"/>
            </w:tcBorders>
          </w:tcPr>
          <w:p w:rsidR="00F075A6" w:rsidRPr="00F075A6" w:rsidRDefault="00F075A6">
            <w:pPr>
              <w:pStyle w:val="Normaltindrag"/>
              <w:shd w:val="clear" w:color="000000" w:fill="auto"/>
              <w:ind w:firstLine="0"/>
            </w:pPr>
            <w:r w:rsidRPr="00F075A6">
              <w:rPr>
                <w:sz w:val="16"/>
                <w:szCs w:val="16"/>
              </w:rPr>
              <w:t>1:13</w:t>
            </w:r>
          </w:p>
        </w:tc>
        <w:tc>
          <w:tcPr>
            <w:tcW w:w="3303" w:type="dxa"/>
            <w:tcBorders>
              <w:top w:val="nil"/>
              <w:left w:val="nil"/>
              <w:right w:val="nil"/>
            </w:tcBorders>
          </w:tcPr>
          <w:p w:rsidR="00F075A6" w:rsidRPr="00F075A6" w:rsidRDefault="00F075A6">
            <w:pPr>
              <w:shd w:val="clear" w:color="000000" w:fill="auto"/>
              <w:spacing w:before="60" w:line="200" w:lineRule="atLeast"/>
              <w:jc w:val="left"/>
              <w:rPr>
                <w:sz w:val="16"/>
                <w:szCs w:val="16"/>
              </w:rPr>
            </w:pPr>
            <w:r w:rsidRPr="00F075A6">
              <w:rPr>
                <w:sz w:val="16"/>
                <w:szCs w:val="16"/>
              </w:rPr>
              <w:t>Avgifter till internationella organisationer</w:t>
            </w:r>
          </w:p>
        </w:tc>
        <w:tc>
          <w:tcPr>
            <w:tcW w:w="967" w:type="dxa"/>
            <w:tcBorders>
              <w:top w:val="nil"/>
              <w:left w:val="nil"/>
              <w:right w:val="nil"/>
            </w:tcBorders>
            <w:vAlign w:val="bottom"/>
          </w:tcPr>
          <w:p w:rsidR="00F075A6" w:rsidRPr="00F075A6" w:rsidRDefault="00F075A6">
            <w:pPr>
              <w:shd w:val="clear" w:color="000000" w:fill="auto"/>
              <w:spacing w:before="60" w:line="200" w:lineRule="atLeast"/>
              <w:jc w:val="right"/>
              <w:rPr>
                <w:sz w:val="16"/>
                <w:szCs w:val="16"/>
              </w:rPr>
            </w:pPr>
            <w:r w:rsidRPr="00F075A6">
              <w:rPr>
                <w:sz w:val="16"/>
                <w:szCs w:val="16"/>
              </w:rPr>
              <w:t>25 328</w:t>
            </w:r>
          </w:p>
        </w:tc>
        <w:tc>
          <w:tcPr>
            <w:tcW w:w="1209" w:type="dxa"/>
            <w:tcBorders>
              <w:top w:val="nil"/>
              <w:left w:val="nil"/>
              <w:right w:val="nil"/>
            </w:tcBorders>
          </w:tcPr>
          <w:p w:rsidR="00F075A6" w:rsidRPr="00F075A6" w:rsidRDefault="00F075A6">
            <w:pPr>
              <w:shd w:val="clear" w:color="000000" w:fill="auto"/>
              <w:spacing w:before="60" w:line="200" w:lineRule="atLeast"/>
              <w:jc w:val="right"/>
              <w:rPr>
                <w:sz w:val="16"/>
                <w:szCs w:val="16"/>
              </w:rPr>
            </w:pPr>
          </w:p>
        </w:tc>
      </w:tr>
      <w:tr w:rsidR="00000000" w:rsidRPr="00F075A6">
        <w:tc>
          <w:tcPr>
            <w:tcW w:w="447" w:type="dxa"/>
            <w:tcBorders>
              <w:top w:val="nil"/>
              <w:left w:val="nil"/>
              <w:bottom w:val="single" w:sz="4" w:space="0" w:color="auto"/>
              <w:right w:val="nil"/>
            </w:tcBorders>
          </w:tcPr>
          <w:p w:rsidR="00F075A6" w:rsidRPr="00F075A6" w:rsidRDefault="00F075A6">
            <w:pPr>
              <w:pStyle w:val="Normaltindrag"/>
              <w:shd w:val="clear" w:color="000000" w:fill="auto"/>
              <w:ind w:firstLine="0"/>
            </w:pPr>
          </w:p>
        </w:tc>
        <w:tc>
          <w:tcPr>
            <w:tcW w:w="3303" w:type="dxa"/>
            <w:tcBorders>
              <w:top w:val="nil"/>
              <w:left w:val="nil"/>
              <w:bottom w:val="single" w:sz="4" w:space="0" w:color="auto"/>
              <w:right w:val="nil"/>
            </w:tcBorders>
          </w:tcPr>
          <w:p w:rsidR="00F075A6" w:rsidRPr="00F075A6" w:rsidRDefault="00F075A6">
            <w:pPr>
              <w:shd w:val="clear" w:color="000000" w:fill="auto"/>
              <w:spacing w:before="60" w:line="200" w:lineRule="atLeast"/>
              <w:jc w:val="left"/>
              <w:rPr>
                <w:sz w:val="16"/>
                <w:szCs w:val="16"/>
              </w:rPr>
            </w:pPr>
            <w:r w:rsidRPr="00F075A6">
              <w:rPr>
                <w:b/>
                <w:bCs/>
                <w:sz w:val="16"/>
                <w:szCs w:val="16"/>
              </w:rPr>
              <w:t>Summa för utgiftsområdet</w:t>
            </w:r>
          </w:p>
        </w:tc>
        <w:tc>
          <w:tcPr>
            <w:tcW w:w="967" w:type="dxa"/>
            <w:tcBorders>
              <w:top w:val="nil"/>
              <w:left w:val="nil"/>
              <w:bottom w:val="single" w:sz="4" w:space="0" w:color="auto"/>
              <w:right w:val="nil"/>
            </w:tcBorders>
            <w:vAlign w:val="bottom"/>
          </w:tcPr>
          <w:p w:rsidR="00F075A6" w:rsidRPr="00F075A6" w:rsidRDefault="00F075A6">
            <w:pPr>
              <w:shd w:val="clear" w:color="000000" w:fill="auto"/>
              <w:spacing w:before="60" w:line="200" w:lineRule="atLeast"/>
              <w:jc w:val="right"/>
              <w:rPr>
                <w:sz w:val="16"/>
                <w:szCs w:val="16"/>
              </w:rPr>
            </w:pPr>
            <w:r w:rsidRPr="00F075A6">
              <w:rPr>
                <w:b/>
                <w:bCs/>
                <w:sz w:val="16"/>
                <w:szCs w:val="16"/>
              </w:rPr>
              <w:t>2 870 194</w:t>
            </w:r>
          </w:p>
        </w:tc>
        <w:tc>
          <w:tcPr>
            <w:tcW w:w="1209" w:type="dxa"/>
            <w:tcBorders>
              <w:top w:val="nil"/>
              <w:left w:val="nil"/>
              <w:bottom w:val="single" w:sz="4" w:space="0" w:color="auto"/>
              <w:right w:val="nil"/>
            </w:tcBorders>
          </w:tcPr>
          <w:p w:rsidR="00F075A6" w:rsidRPr="00F075A6" w:rsidRDefault="00F075A6">
            <w:pPr>
              <w:shd w:val="clear" w:color="000000" w:fill="auto"/>
              <w:spacing w:before="60" w:line="200" w:lineRule="atLeast"/>
              <w:jc w:val="right"/>
              <w:rPr>
                <w:sz w:val="16"/>
                <w:szCs w:val="16"/>
              </w:rPr>
            </w:pPr>
            <w:r w:rsidRPr="00F075A6">
              <w:rPr>
                <w:b/>
                <w:bCs/>
                <w:sz w:val="16"/>
                <w:szCs w:val="16"/>
              </w:rPr>
              <w:t>+150 000</w:t>
            </w:r>
          </w:p>
        </w:tc>
      </w:tr>
    </w:tbl>
    <w:p w:rsidR="00F075A6" w:rsidRPr="00F075A6" w:rsidRDefault="00F075A6">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5A6">
        <w:trPr>
          <w:cantSplit/>
        </w:trPr>
        <w:tc>
          <w:tcPr>
            <w:tcW w:w="3046" w:type="dxa"/>
          </w:tcPr>
          <w:p w:rsidR="00F075A6" w:rsidRPr="00F075A6" w:rsidRDefault="00F075A6">
            <w:pPr>
              <w:pStyle w:val="UnderskriftDatum"/>
              <w:shd w:val="clear" w:color="000000" w:fill="auto"/>
              <w:spacing w:before="240"/>
            </w:pPr>
            <w:r w:rsidRPr="00F075A6">
              <w:t>Stockholm den 25 oktober 2010</w:t>
            </w:r>
          </w:p>
        </w:tc>
        <w:tc>
          <w:tcPr>
            <w:tcW w:w="3047" w:type="dxa"/>
          </w:tcPr>
          <w:p w:rsidR="00F075A6" w:rsidRPr="00F075A6" w:rsidRDefault="00F075A6">
            <w:pPr>
              <w:pStyle w:val="Underskrifter"/>
              <w:shd w:val="clear" w:color="000000" w:fill="auto"/>
              <w:spacing w:before="240"/>
            </w:pPr>
          </w:p>
        </w:tc>
      </w:tr>
      <w:tr w:rsidR="00000000" w:rsidRPr="00F075A6">
        <w:trPr>
          <w:cantSplit/>
        </w:trPr>
        <w:tc>
          <w:tcPr>
            <w:tcW w:w="3046" w:type="dxa"/>
          </w:tcPr>
          <w:p w:rsidR="00F075A6" w:rsidRPr="00F075A6" w:rsidRDefault="00F075A6">
            <w:pPr>
              <w:pStyle w:val="Underskrifter"/>
              <w:shd w:val="clear" w:color="000000" w:fill="auto"/>
            </w:pPr>
            <w:r w:rsidRPr="00F075A6">
              <w:t>Johnny Skalin (SD)</w:t>
            </w:r>
          </w:p>
        </w:tc>
        <w:tc>
          <w:tcPr>
            <w:tcW w:w="3046" w:type="dxa"/>
          </w:tcPr>
          <w:p w:rsidR="00F075A6" w:rsidRPr="00F075A6" w:rsidRDefault="00F075A6">
            <w:pPr>
              <w:pStyle w:val="Underskrifter"/>
              <w:shd w:val="clear" w:color="000000" w:fill="auto"/>
            </w:pPr>
            <w:r w:rsidRPr="00F075A6">
              <w:t>Björn Söder (SD)</w:t>
            </w:r>
          </w:p>
        </w:tc>
      </w:tr>
    </w:tbl>
    <w:p w:rsidR="00F075A6" w:rsidRPr="00F075A6" w:rsidRDefault="00F075A6">
      <w:pPr>
        <w:pStyle w:val="Normaltindrag"/>
        <w:shd w:val="clear" w:color="000000" w:fill="auto"/>
      </w:pPr>
    </w:p>
    <w:sectPr w:rsidR="00000000" w:rsidRPr="00F075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5A6" w:rsidRPr="00F075A6" w:rsidRDefault="00F075A6">
      <w:r w:rsidRPr="00F075A6">
        <w:separator/>
      </w:r>
    </w:p>
  </w:endnote>
  <w:endnote w:type="continuationSeparator" w:id="0">
    <w:p w:rsidR="00F075A6" w:rsidRPr="00F075A6" w:rsidRDefault="00F075A6">
      <w:r w:rsidRPr="00F075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A6" w:rsidRPr="00F075A6" w:rsidRDefault="00F075A6">
    <w:pPr>
      <w:pStyle w:val="Sidfot"/>
    </w:pPr>
    <w:r w:rsidRPr="00F075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827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A6" w:rsidRDefault="00F075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5A6" w:rsidRDefault="00F075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A6" w:rsidRPr="00F075A6" w:rsidRDefault="00F075A6">
    <w:pPr>
      <w:pStyle w:val="Sidfot"/>
    </w:pPr>
    <w:r w:rsidRPr="00F075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337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A6" w:rsidRDefault="00F075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5A6" w:rsidRDefault="00F075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A6" w:rsidRPr="00F075A6" w:rsidRDefault="00F075A6">
    <w:pPr>
      <w:pStyle w:val="Sidfot"/>
    </w:pPr>
    <w:r w:rsidRPr="00F075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756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A6" w:rsidRDefault="00F075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5A6" w:rsidRDefault="00F075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5A6" w:rsidRPr="00F075A6" w:rsidRDefault="00F075A6">
      <w:r w:rsidRPr="00F075A6">
        <w:separator/>
      </w:r>
    </w:p>
  </w:footnote>
  <w:footnote w:type="continuationSeparator" w:id="0">
    <w:p w:rsidR="00F075A6" w:rsidRPr="00F075A6" w:rsidRDefault="00F075A6">
      <w:r w:rsidRPr="00F075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A6" w:rsidRPr="00F075A6" w:rsidRDefault="00F075A6">
    <w:pPr>
      <w:pStyle w:val="Sidhuvud"/>
    </w:pPr>
    <w:r w:rsidRPr="00F075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9696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A6" w:rsidRDefault="00F075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5A6" w:rsidRDefault="00F075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A6" w:rsidRPr="00F075A6" w:rsidRDefault="00F075A6">
    <w:pPr>
      <w:pStyle w:val="Sidhuvud"/>
    </w:pPr>
    <w:r w:rsidRPr="00F075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023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5A6" w:rsidRDefault="00F075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5A6" w:rsidRDefault="00F075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5A6" w:rsidRPr="00F075A6" w:rsidRDefault="00F075A6">
    <w:pPr>
      <w:pStyle w:val="FSHNormal"/>
      <w:tabs>
        <w:tab w:val="right" w:pos="5840"/>
      </w:tabs>
    </w:pPr>
    <w:r w:rsidRPr="00F075A6">
      <w:br/>
    </w:r>
    <w:r w:rsidRPr="00F075A6">
      <w:fldChar w:fldCharType="begin" w:fldLock="1"/>
    </w:r>
    <w:r w:rsidRPr="00F075A6">
      <w:instrText xml:space="preserve"> DOCPROPERTY</w:instrText>
    </w:r>
    <w:r w:rsidRPr="00F075A6">
      <w:rPr>
        <w:sz w:val="18"/>
      </w:rPr>
      <w:instrText xml:space="preserve"> "YearUser" *\charformat </w:instrText>
    </w:r>
    <w:r w:rsidRPr="00F075A6">
      <w:fldChar w:fldCharType="separate"/>
    </w:r>
    <w:r w:rsidRPr="00F075A6">
      <w:t>2010/11</w:t>
    </w:r>
    <w:r w:rsidRPr="00F075A6">
      <w:fldChar w:fldCharType="end"/>
    </w:r>
    <w:r w:rsidRPr="00F075A6">
      <w:t xml:space="preserve"> </w:t>
    </w:r>
    <w:r w:rsidRPr="00F075A6">
      <w:tab/>
      <w:t xml:space="preserve">mnr: </w:t>
    </w:r>
    <w:r w:rsidRPr="00F075A6">
      <w:fldChar w:fldCharType="begin" w:fldLock="1"/>
    </w:r>
    <w:r w:rsidRPr="00F075A6">
      <w:instrText xml:space="preserve"> DOCPROPERTY</w:instrText>
    </w:r>
    <w:r w:rsidRPr="00F075A6">
      <w:rPr>
        <w:sz w:val="18"/>
      </w:rPr>
      <w:instrText xml:space="preserve"> "Motionsnummer" *\charformat </w:instrText>
    </w:r>
    <w:r w:rsidRPr="00F075A6">
      <w:fldChar w:fldCharType="separate"/>
    </w:r>
    <w:r w:rsidRPr="00F075A6">
      <w:t>N407</w:t>
    </w:r>
    <w:r w:rsidRPr="00F075A6">
      <w:fldChar w:fldCharType="end"/>
    </w:r>
    <w:r w:rsidRPr="00F075A6">
      <w:br/>
    </w:r>
    <w:r w:rsidRPr="00F075A6">
      <w:fldChar w:fldCharType="begin" w:fldLock="1"/>
    </w:r>
    <w:r w:rsidRPr="00F075A6">
      <w:instrText xml:space="preserve"> DOCPROPERTY</w:instrText>
    </w:r>
    <w:r w:rsidRPr="00F075A6">
      <w:rPr>
        <w:sz w:val="18"/>
      </w:rPr>
      <w:instrText xml:space="preserve"> "Samling" *\charformat </w:instrText>
    </w:r>
    <w:r w:rsidRPr="00F075A6">
      <w:fldChar w:fldCharType="end"/>
    </w:r>
    <w:r w:rsidRPr="00F075A6">
      <w:tab/>
      <w:t xml:space="preserve">pnr: </w:t>
    </w:r>
    <w:r w:rsidRPr="00F075A6">
      <w:fldChar w:fldCharType="begin" w:fldLock="1"/>
    </w:r>
    <w:r w:rsidRPr="00F075A6">
      <w:instrText xml:space="preserve"> DOCPROPERTY</w:instrText>
    </w:r>
    <w:r w:rsidRPr="00F075A6">
      <w:rPr>
        <w:sz w:val="18"/>
      </w:rPr>
      <w:instrText xml:space="preserve"> "Partinummer" *\charformat </w:instrText>
    </w:r>
    <w:r w:rsidRPr="00F075A6">
      <w:fldChar w:fldCharType="separate"/>
    </w:r>
    <w:r w:rsidRPr="00F075A6">
      <w:t>SD206</w:t>
    </w:r>
    <w:r w:rsidRPr="00F075A6">
      <w:fldChar w:fldCharType="end"/>
    </w:r>
  </w:p>
  <w:p w:rsidR="00F075A6" w:rsidRPr="00F075A6" w:rsidRDefault="00F075A6">
    <w:pPr>
      <w:pStyle w:val="FSHRub1"/>
    </w:pPr>
    <w:r w:rsidRPr="00F075A6">
      <w:t>Motion till riksdagen</w:t>
    </w:r>
    <w:r w:rsidRPr="00F075A6">
      <w:br/>
    </w:r>
    <w:r w:rsidRPr="00F075A6">
      <w:fldChar w:fldCharType="begin" w:fldLock="1"/>
    </w:r>
    <w:r w:rsidRPr="00F075A6">
      <w:instrText xml:space="preserve"> DOCPROPERTY "YearUser" *\charformat </w:instrText>
    </w:r>
    <w:r w:rsidRPr="00F075A6">
      <w:fldChar w:fldCharType="separate"/>
    </w:r>
    <w:r w:rsidRPr="00F075A6">
      <w:t>2010/11</w:t>
    </w:r>
    <w:r w:rsidRPr="00F075A6">
      <w:fldChar w:fldCharType="end"/>
    </w:r>
    <w:r w:rsidRPr="00F075A6">
      <w:t>:</w:t>
    </w:r>
    <w:r w:rsidRPr="00F075A6">
      <w:fldChar w:fldCharType="begin" w:fldLock="1"/>
    </w:r>
    <w:r w:rsidRPr="00F075A6">
      <w:instrText xml:space="preserve"> DOCPROPERTY "Motionsnummer" *\charformat </w:instrText>
    </w:r>
    <w:r w:rsidRPr="00F075A6">
      <w:fldChar w:fldCharType="separate"/>
    </w:r>
    <w:r w:rsidRPr="00F075A6">
      <w:t>N407</w:t>
    </w:r>
    <w:r w:rsidRPr="00F075A6">
      <w:fldChar w:fldCharType="end"/>
    </w:r>
  </w:p>
  <w:p w:rsidR="00F075A6" w:rsidRPr="00F075A6" w:rsidRDefault="00F075A6">
    <w:pPr>
      <w:pStyle w:val="FSHNormalS5"/>
    </w:pPr>
    <w:r w:rsidRPr="00F075A6">
      <w:fldChar w:fldCharType="begin" w:fldLock="1"/>
    </w:r>
    <w:r w:rsidRPr="00F075A6">
      <w:instrText xml:space="preserve"> DOCPROPERTY "MotionarText" *\charformat </w:instrText>
    </w:r>
    <w:r w:rsidRPr="00F075A6">
      <w:fldChar w:fldCharType="separate"/>
    </w:r>
    <w:r w:rsidRPr="00F075A6">
      <w:t>av Johnny Skalin och Björn Söder (SD)</w:t>
    </w:r>
    <w:r w:rsidRPr="00F075A6">
      <w:fldChar w:fldCharType="end"/>
    </w:r>
    <w:r w:rsidRPr="00F075A6">
      <w:br/>
    </w:r>
    <w:r w:rsidRPr="00F075A6">
      <w:fldChar w:fldCharType="begin" w:fldLock="1"/>
    </w:r>
    <w:r w:rsidRPr="00F075A6">
      <w:instrText xml:space="preserve"> DOCPROPERTY "SvarFrasKort" *\charformat </w:instrText>
    </w:r>
    <w:r w:rsidRPr="00F075A6">
      <w:fldChar w:fldCharType="end"/>
    </w:r>
  </w:p>
  <w:p w:rsidR="00F075A6" w:rsidRPr="00F075A6" w:rsidRDefault="00F075A6">
    <w:pPr>
      <w:pStyle w:val="FSHTitel"/>
    </w:pPr>
    <w:r w:rsidRPr="00F075A6">
      <w:fldChar w:fldCharType="begin" w:fldLock="1"/>
    </w:r>
    <w:r w:rsidRPr="00F075A6">
      <w:instrText xml:space="preserve"> DOCPROPERTY</w:instrText>
    </w:r>
    <w:r w:rsidRPr="00F075A6">
      <w:rPr>
        <w:sz w:val="18"/>
      </w:rPr>
      <w:instrText xml:space="preserve"> "RubrikSvar" *\charformat </w:instrText>
    </w:r>
    <w:r w:rsidRPr="00F075A6">
      <w:fldChar w:fldCharType="separate"/>
    </w:r>
    <w:r w:rsidRPr="00F075A6">
      <w:t>Utgiftsområde 21 Energi</w:t>
    </w:r>
    <w:r w:rsidRPr="00F075A6">
      <w:fldChar w:fldCharType="end"/>
    </w:r>
  </w:p>
  <w:p w:rsidR="00F075A6" w:rsidRPr="00F075A6" w:rsidRDefault="00F075A6">
    <w:pPr>
      <w:pStyle w:val="Normal00"/>
    </w:pPr>
  </w:p>
  <w:p w:rsidR="00F075A6" w:rsidRPr="00F075A6" w:rsidRDefault="00F075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6790339">
    <w:abstractNumId w:val="3"/>
  </w:num>
  <w:num w:numId="2" w16cid:durableId="1828667820">
    <w:abstractNumId w:val="2"/>
  </w:num>
  <w:num w:numId="3" w16cid:durableId="564335408">
    <w:abstractNumId w:val="1"/>
  </w:num>
  <w:num w:numId="4" w16cid:durableId="987713536">
    <w:abstractNumId w:val="0"/>
  </w:num>
  <w:num w:numId="5" w16cid:durableId="1182360726">
    <w:abstractNumId w:val="7"/>
  </w:num>
  <w:num w:numId="6" w16cid:durableId="289439035">
    <w:abstractNumId w:val="6"/>
  </w:num>
  <w:num w:numId="7" w16cid:durableId="528880475">
    <w:abstractNumId w:val="5"/>
  </w:num>
  <w:num w:numId="8" w16cid:durableId="1110901896">
    <w:abstractNumId w:val="4"/>
  </w:num>
  <w:num w:numId="9" w16cid:durableId="1963657413">
    <w:abstractNumId w:val="8"/>
  </w:num>
  <w:num w:numId="10" w16cid:durableId="780029983">
    <w:abstractNumId w:val="9"/>
  </w:num>
  <w:num w:numId="11" w16cid:durableId="193688241">
    <w:abstractNumId w:val="10"/>
  </w:num>
  <w:num w:numId="12" w16cid:durableId="1097404905">
    <w:abstractNumId w:val="13"/>
  </w:num>
  <w:num w:numId="13" w16cid:durableId="996614833">
    <w:abstractNumId w:val="15"/>
  </w:num>
  <w:num w:numId="14" w16cid:durableId="333648688">
    <w:abstractNumId w:val="16"/>
  </w:num>
  <w:num w:numId="15" w16cid:durableId="1469469063">
    <w:abstractNumId w:val="11"/>
  </w:num>
  <w:num w:numId="16" w16cid:durableId="1660427634">
    <w:abstractNumId w:val="18"/>
  </w:num>
  <w:num w:numId="17" w16cid:durableId="1648168476">
    <w:abstractNumId w:val="17"/>
  </w:num>
  <w:num w:numId="18" w16cid:durableId="1934126557">
    <w:abstractNumId w:val="14"/>
  </w:num>
  <w:num w:numId="19" w16cid:durableId="2003699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5D897251-768B-4F79-A746-942424C0E48F},{C8E093A7-EDD6-43FF-8CD7-70C04D240193}"/>
  </w:docVars>
  <w:rsids>
    <w:rsidRoot w:val="00585FAC"/>
    <w:rsid w:val="00585FAC"/>
    <w:rsid w:val="00F075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8E69949D-1244-4ED8-BD70-BFD5B548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23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1434</Characters>
  <Application>Microsoft Office Word</Application>
  <DocSecurity>4</DocSecurity>
  <Lines>89</Lines>
  <Paragraphs>64</Paragraphs>
  <ScaleCrop>false</ScaleCrop>
  <HeadingPairs>
    <vt:vector size="2" baseType="variant">
      <vt:variant>
        <vt:lpstr>Rubrik</vt:lpstr>
      </vt:variant>
      <vt:variant>
        <vt:i4>1</vt:i4>
      </vt:variant>
    </vt:vector>
  </HeadingPairs>
  <TitlesOfParts>
    <vt:vector size="1" baseType="lpstr">
      <vt:lpstr>sd206</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sd206</dc:title>
  <dc:subject>sd206</dc:subject>
  <dc:creator>Riksdagen</dc:creator>
  <cp:keywords>Riksdagen</cp:keywords>
  <dc:description>Versal/gemen i partibeteckning. Gemen i tryck för 0910, versal för 1011 och nyare</dc:description>
  <cp:lastModifiedBy>Lars Brink</cp:lastModifiedBy>
  <cp:revision>2</cp:revision>
  <cp:lastPrinted>2010-11-15T12:59:00Z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21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21 Energi</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SD206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20102011000001150100000002060080</vt:lpwstr>
  </property>
  <property fmtid="{D5CDD505-2E9C-101B-9397-08002B2CF9AE}" pid="47" name="datum">
    <vt:lpwstr>101025</vt:lpwstr>
  </property>
  <property fmtid="{D5CDD505-2E9C-101B-9397-08002B2CF9AE}" pid="48" name="avsändar-e-post">
    <vt:lpwstr>mikael.valtersson@riksdagen.se</vt:lpwstr>
  </property>
  <property fmtid="{D5CDD505-2E9C-101B-9397-08002B2CF9AE}" pid="49" name="id">
    <vt:lpwstr>20102011000001150100000002060080</vt:lpwstr>
  </property>
  <property fmtid="{D5CDD505-2E9C-101B-9397-08002B2CF9AE}" pid="50" name="nummer">
    <vt:lpwstr>407</vt:lpwstr>
  </property>
  <property fmtid="{D5CDD505-2E9C-101B-9397-08002B2CF9AE}" pid="51" name="utskottsbeteckning">
    <vt:lpwstr>N</vt:lpwstr>
  </property>
  <property fmtid="{D5CDD505-2E9C-101B-9397-08002B2CF9AE}" pid="52" name="GlobalUID">
    <vt:lpwstr>{48E01B16-6C0D-4F36-B148-3F1C3A36EA0C}</vt:lpwstr>
  </property>
  <property fmtid="{D5CDD505-2E9C-101B-9397-08002B2CF9AE}" pid="53" name="Överföringar">
    <vt:i4>0</vt:i4>
  </property>
  <property fmtid="{D5CDD505-2E9C-101B-9397-08002B2CF9AE}" pid="54" name="Checksum">
    <vt:lpwstr>*0015971047947*</vt:lpwstr>
  </property>
  <property fmtid="{D5CDD505-2E9C-101B-9397-08002B2CF9AE}" pid="55" name="skuggnummer">
    <vt:lpwstr>2802</vt:lpwstr>
  </property>
  <property fmtid="{D5CDD505-2E9C-101B-9397-08002B2CF9AE}" pid="56" name="urixVersion">
    <vt:lpwstr>4.3.0.0</vt:lpwstr>
  </property>
  <property fmtid="{D5CDD505-2E9C-101B-9397-08002B2CF9AE}" pid="57" name="urixOrigin">
    <vt:lpwstr>101115 14:00:32.921</vt:lpwstr>
  </property>
  <property fmtid="{D5CDD505-2E9C-101B-9397-08002B2CF9AE}" pid="58" name="urixGuid">
    <vt:lpwstr>{1CE39F85-E25E-4EB6-B2CB-06C9A90F4FAC}</vt:lpwstr>
  </property>
</Properties>
</file>