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0E59" w:rsidRDefault="00D85782"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ca7dd6df-385a-45fc-94c2-88753f163f8c"/>
        <w:id w:val="-1377468135"/>
        <w:lock w:val="sdtLocked"/>
      </w:sdtPr>
      <w:sdtEndPr/>
      <w:sdtContent>
        <w:p w:rsidR="00186F41" w:rsidRDefault="00D85782" w14:paraId="673CADF1" w14:textId="77777777">
          <w:pPr>
            <w:pStyle w:val="Frslagstext"/>
            <w:numPr>
              <w:ilvl w:val="0"/>
              <w:numId w:val="0"/>
            </w:numPr>
          </w:pPr>
          <w:r>
            <w:t xml:space="preserve">Riksdagen ställer sig bakom det som anförs i motionen om att införa en teknikneutral reglering av betalningslösningar vid onlinespel, som omfattar alla betalningsmetoder och inte enbart </w:t>
          </w:r>
          <w:r>
            <w:t>kortbetalningar,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A71E72" w:rsidP="000B50FF" w:rsidRDefault="00A71E72" w14:paraId="03BE3C8F" w14:textId="77777777">
      <w:pPr>
        <w:pStyle w:val="Normalutanindragellerluft"/>
      </w:pPr>
      <w:r>
        <w:t>Onlinespelen är idag beroende av fungerande betalningslösningar för insättningar och uttag av vinster. Betalningsleverantörer fungerar som en kritisk länk mellan kunder och spelbolag. Utan fungerande betalningslösningar kan spel inte genomföras.</w:t>
      </w:r>
    </w:p>
    <w:p w:rsidR="00A71E72" w:rsidP="000B50FF" w:rsidRDefault="00A71E72" w14:paraId="6910B8E6" w14:textId="3E378DC2">
      <w:r>
        <w:t>Spellicensutredningen, som arbetade mellan 2015 och 2017, föreslog att reglering av kortbetalningar till speltjänster skulle vara en viktig åtgärd för att säkerställa rättvisa och skydda konsumenter. Utredningen rekommenderade att blockera MCC-kategorin 7995 (som används för speltjänster) för alla utom de som har spellicens i Sverige. Vid den tiden utgjorde kortbetalningar via Visa och Master</w:t>
      </w:r>
      <w:r w:rsidR="00063484">
        <w:t>c</w:t>
      </w:r>
      <w:r>
        <w:t>ard en dominerande betalmetod, där de stod för cirka 60</w:t>
      </w:r>
      <w:r w:rsidR="00063484">
        <w:t> </w:t>
      </w:r>
      <w:r>
        <w:t>% av inbetalningarna hos spe</w:t>
      </w:r>
      <w:r w:rsidR="000D0E59">
        <w:t>l</w:t>
      </w:r>
      <w:r>
        <w:t>bolagen.</w:t>
      </w:r>
    </w:p>
    <w:p w:rsidR="00A71E72" w:rsidP="000B50FF" w:rsidRDefault="00A71E72" w14:paraId="294EDEC5" w14:textId="74462444">
      <w:r>
        <w:t>Dock har betalningslandskapet förändrats kraftigt sedan dess. Idag använder svenskar främst betalningstjänster som Swish och direktöverföringar via open banking-tjänster som Trustly. Kortbetalningar utgör numera mindre än 1</w:t>
      </w:r>
      <w:r w:rsidR="00063484">
        <w:t> </w:t>
      </w:r>
      <w:r>
        <w:t>% av transaktionerna.</w:t>
      </w:r>
    </w:p>
    <w:p w:rsidR="00A71E72" w:rsidP="000B50FF" w:rsidRDefault="00A71E72" w14:paraId="02F40C4A" w14:textId="30BBE311">
      <w:r>
        <w:t>Trots de goda intentionerna bakom reglerna för att skydda konsumenter och säker</w:t>
      </w:r>
      <w:r w:rsidR="000B50FF">
        <w:softHyphen/>
      </w:r>
      <w:r>
        <w:t>ställa konkurrens, visar det sig att dessa regler har begränsad effekt i dagens betalnings</w:t>
      </w:r>
      <w:r w:rsidR="000B50FF">
        <w:softHyphen/>
      </w:r>
      <w:r>
        <w:t>miljö. Nuvarande lagstiftning tillåter inte betalningsleverantörer att blockera betalningar som inte görs med kort. Detta innebär att olicensierade spelbolag fortfarande kan dra nytta av de regler som var avsedda att begränsa deras verksamhet.</w:t>
      </w:r>
    </w:p>
    <w:p w:rsidR="00A71E72" w:rsidP="000B50FF" w:rsidRDefault="00A71E72" w14:paraId="26CDFF11" w14:textId="2FC8C9BC">
      <w:r>
        <w:t>För att åtgärda detta och för att uppnå det konsumentskydd och den konkurrens</w:t>
      </w:r>
      <w:r w:rsidR="006B4FAF">
        <w:softHyphen/>
      </w:r>
      <w:r>
        <w:t xml:space="preserve">neutralitet som var syftet med Spellicensutredningen, är det nödvändigt att reformera regleringen. Det innebär att en teknikneutral reglering behövere utarbetas, vilket innebär </w:t>
      </w:r>
      <w:r>
        <w:lastRenderedPageBreak/>
        <w:t>att alla betalningsmetoder, inte bara kortbetalningar, omfattas av reglerna. Detta skulle säkerställa en mer rättvis konkurrens och ett bättre skydd för konsumenter i det för</w:t>
      </w:r>
      <w:r w:rsidR="006B4FAF">
        <w:softHyphen/>
      </w:r>
      <w:r>
        <w:t>änderliga betalningslandskapet för onlinespel.</w:t>
      </w:r>
    </w:p>
    <w:sdt>
      <w:sdtPr>
        <w:alias w:val="CC_Underskrifter"/>
        <w:tag w:val="CC_Underskrifter"/>
        <w:id w:val="583496634"/>
        <w:lock w:val="sdtContentLocked"/>
        <w:placeholder>
          <w:docPart w:val="56E5255C56F144C1A423711A767F1F50"/>
        </w:placeholder>
      </w:sdtPr>
      <w:sdtEndPr/>
      <w:sdtContent>
        <w:p w:rsidR="000D0E59" w:rsidP="000D0E59" w:rsidRDefault="000D0E59" w14:paraId="136F8E92" w14:textId="77777777"/>
        <w:p w:rsidRPr="008E0FE2" w:rsidR="004801AC" w:rsidP="000D0E59" w:rsidRDefault="00D85782" w14:paraId="14A7D766" w14:textId="38EBEC20"/>
      </w:sdtContent>
    </w:sdt>
    <w:tbl>
      <w:tblPr>
        <w:tblW w:w="5000" w:type="pct"/>
        <w:tblLook w:val="04A0" w:firstRow="1" w:lastRow="0" w:firstColumn="1" w:lastColumn="0" w:noHBand="0" w:noVBand="1"/>
        <w:tblCaption w:val="underskrifter"/>
      </w:tblPr>
      <w:tblGrid>
        <w:gridCol w:w="4252"/>
        <w:gridCol w:w="4252"/>
      </w:tblGrid>
      <w:tr w:rsidR="00186F41" w14:paraId="0313F166" w14:textId="77777777">
        <w:trPr>
          <w:cantSplit/>
        </w:trPr>
        <w:tc>
          <w:tcPr>
            <w:tcW w:w="50" w:type="pct"/>
            <w:vAlign w:val="bottom"/>
          </w:tcPr>
          <w:p w:rsidR="00186F41" w:rsidRDefault="00D85782" w14:paraId="1DE9D9FC" w14:textId="77777777">
            <w:pPr>
              <w:pStyle w:val="Underskrifter"/>
              <w:spacing w:after="0"/>
            </w:pPr>
            <w:r>
              <w:t>Azadeh Rojhan (S)</w:t>
            </w:r>
          </w:p>
        </w:tc>
        <w:tc>
          <w:tcPr>
            <w:tcW w:w="50" w:type="pct"/>
            <w:vAlign w:val="bottom"/>
          </w:tcPr>
          <w:p w:rsidR="00186F41" w:rsidRDefault="00186F41" w14:paraId="2F5C4D73" w14:textId="77777777">
            <w:pPr>
              <w:pStyle w:val="Underskrifter"/>
              <w:spacing w:after="0"/>
            </w:pPr>
          </w:p>
        </w:tc>
      </w:tr>
    </w:tbl>
    <w:p w:rsidR="00186F41" w:rsidRDefault="00186F41" w14:paraId="759D2665" w14:textId="77777777"/>
    <w:sectPr w:rsidR="00186F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28C73502" w:rsidR="00262EA3" w:rsidRPr="000D0E59" w:rsidRDefault="00262EA3" w:rsidP="000D0E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56CC83B2" w:rsidR="00262EA3" w:rsidRDefault="00D85782"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A71E72">
                                <w:t>760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56CC83B2" w:rsidR="00262EA3" w:rsidRDefault="00D85782"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A71E72">
                          <w:t>760</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D857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37CEE258" w:rsidR="00262EA3" w:rsidRDefault="00D85782" w:rsidP="00A314CF">
    <w:pPr>
      <w:pStyle w:val="FSHNormal"/>
      <w:spacing w:before="40"/>
    </w:pPr>
    <w:sdt>
      <w:sdtPr>
        <w:alias w:val="CC_Noformat_Motionstyp"/>
        <w:tag w:val="CC_Noformat_Motionstyp"/>
        <w:id w:val="1162973129"/>
        <w:lock w:val="sdtContentLocked"/>
        <w15:appearance w15:val="hidden"/>
        <w:text/>
      </w:sdtPr>
      <w:sdtEndPr/>
      <w:sdtContent>
        <w:r w:rsidR="000D0E59">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A71E72">
          <w:t>760</w:t>
        </w:r>
      </w:sdtContent>
    </w:sdt>
  </w:p>
  <w:p w14:paraId="37CDCB78" w14:textId="77777777" w:rsidR="00262EA3" w:rsidRPr="008227B3" w:rsidRDefault="00D857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D857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0E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0E59">
          <w:t>:370</w:t>
        </w:r>
      </w:sdtContent>
    </w:sdt>
  </w:p>
  <w:p w14:paraId="3B628F04" w14:textId="2DFD0FDF" w:rsidR="00262EA3" w:rsidRDefault="00D85782" w:rsidP="00E03A3D">
    <w:pPr>
      <w:pStyle w:val="Motionr"/>
    </w:pPr>
    <w:sdt>
      <w:sdtPr>
        <w:alias w:val="CC_Noformat_Avtext"/>
        <w:tag w:val="CC_Noformat_Avtext"/>
        <w:id w:val="-2020768203"/>
        <w:lock w:val="sdtContentLocked"/>
        <w15:appearance w15:val="hidden"/>
        <w:text/>
      </w:sdtPr>
      <w:sdtEndPr/>
      <w:sdtContent>
        <w:r w:rsidR="000D0E59">
          <w:t>av Azadeh Rojhan (S)</w:t>
        </w:r>
      </w:sdtContent>
    </w:sdt>
  </w:p>
  <w:sdt>
    <w:sdtPr>
      <w:alias w:val="CC_Noformat_Rubtext"/>
      <w:tag w:val="CC_Noformat_Rubtext"/>
      <w:id w:val="-218060500"/>
      <w:lock w:val="sdtLocked"/>
      <w:text/>
    </w:sdtPr>
    <w:sdtEndPr/>
    <w:sdtContent>
      <w:p w14:paraId="4F156A7D" w14:textId="55C4DD08" w:rsidR="00262EA3" w:rsidRDefault="00A71E72" w:rsidP="00283E0F">
        <w:pPr>
          <w:pStyle w:val="FSHRub2"/>
        </w:pPr>
        <w:r>
          <w:t>En teknikneutral reglering av betalningslösningar vid onlinespel</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484"/>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0FF"/>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59"/>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41"/>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FAF"/>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FBD"/>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782"/>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56E5255C56F144C1A423711A767F1F50"/>
        <w:category>
          <w:name w:val="Allmänt"/>
          <w:gallery w:val="placeholder"/>
        </w:category>
        <w:types>
          <w:type w:val="bbPlcHdr"/>
        </w:types>
        <w:behaviors>
          <w:behavior w:val="content"/>
        </w:behaviors>
        <w:guid w:val="{F3F1C2DC-02B9-408B-BB1D-98ACA4D88731}"/>
      </w:docPartPr>
      <w:docPartBody>
        <w:p w:rsidR="002C784A" w:rsidRDefault="002C78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2C784A"/>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60D653-1010-4DEE-8E21-B472EC8B5ED7}"/>
</file>

<file path=customXml/itemProps2.xml><?xml version="1.0" encoding="utf-8"?>
<ds:datastoreItem xmlns:ds="http://schemas.openxmlformats.org/officeDocument/2006/customXml" ds:itemID="{248C81B5-9D43-471F-B27E-E0944147E13F}"/>
</file>

<file path=customXml/itemProps3.xml><?xml version="1.0" encoding="utf-8"?>
<ds:datastoreItem xmlns:ds="http://schemas.openxmlformats.org/officeDocument/2006/customXml" ds:itemID="{9B659EF5-107B-4C38-86A2-566163CD4F79}"/>
</file>

<file path=docProps/app.xml><?xml version="1.0" encoding="utf-8"?>
<Properties xmlns="http://schemas.openxmlformats.org/officeDocument/2006/extended-properties" xmlns:vt="http://schemas.openxmlformats.org/officeDocument/2006/docPropsVTypes">
  <Template>Normal</Template>
  <TotalTime>157</TotalTime>
  <Pages>2</Pages>
  <Words>288</Words>
  <Characters>1898</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