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C91" w:rsidRPr="00142452" w:rsidRDefault="006C0C91" w:rsidP="00A5393C">
      <w:pPr>
        <w:pStyle w:val="Hemstlrubrik"/>
      </w:pPr>
      <w:bookmarkStart w:id="0" w:name="_Toc52872763"/>
      <w:bookmarkStart w:id="1" w:name="_Toc84260742"/>
      <w:bookmarkStart w:id="2" w:name="_Toc84321347"/>
      <w:bookmarkStart w:id="3" w:name="_Toc84405905"/>
      <w:bookmarkStart w:id="4" w:name="_Toc84406021"/>
      <w:bookmarkStart w:id="5" w:name="_Toc85783831"/>
      <w:r w:rsidRPr="00142452">
        <w:t>Förslag till riksdagsbeslut</w:t>
      </w:r>
      <w:bookmarkEnd w:id="0"/>
      <w:bookmarkEnd w:id="1"/>
      <w:bookmarkEnd w:id="2"/>
      <w:bookmarkEnd w:id="3"/>
      <w:bookmarkEnd w:id="4"/>
      <w:bookmarkEnd w:id="5"/>
    </w:p>
    <w:p w:rsidR="006C0C91" w:rsidRPr="00142452" w:rsidRDefault="006C0C91" w:rsidP="006C0C91">
      <w:pPr>
        <w:pStyle w:val="Hemstlatt"/>
      </w:pPr>
      <w:bookmarkStart w:id="6" w:name="_Toc52872764"/>
      <w:r w:rsidRPr="00142452">
        <w:t>Riksdagen tillkännager för regeringen som sin mening vad i motionen anförs om lika villkor för skolor oavsett huvudman.</w:t>
      </w:r>
    </w:p>
    <w:p w:rsidR="006C0C91" w:rsidRPr="00142452" w:rsidRDefault="006C0C91" w:rsidP="006C0C91">
      <w:pPr>
        <w:pStyle w:val="Hemstlatt"/>
      </w:pPr>
      <w:r w:rsidRPr="00142452">
        <w:t>Riksdagen tillkännager för regeringen som sin mening vad i motionen anförs om villk</w:t>
      </w:r>
      <w:r w:rsidRPr="00142452">
        <w:t>o</w:t>
      </w:r>
      <w:r w:rsidRPr="00142452">
        <w:t>ren för fristående skolor.</w:t>
      </w:r>
    </w:p>
    <w:p w:rsidR="006C0C91" w:rsidRPr="00142452" w:rsidRDefault="006C0C91" w:rsidP="006C0C91">
      <w:pPr>
        <w:pStyle w:val="Hemstlatt"/>
      </w:pPr>
      <w:r w:rsidRPr="00142452">
        <w:t>Riksdagen tillkännager för regeringen som sin mening vad i motionen anförs om mom</w:t>
      </w:r>
      <w:r w:rsidRPr="00142452">
        <w:t>s</w:t>
      </w:r>
      <w:r w:rsidRPr="00142452">
        <w:t>regler.</w:t>
      </w:r>
    </w:p>
    <w:p w:rsidR="006C0C91" w:rsidRPr="00142452" w:rsidRDefault="006C0C91" w:rsidP="006C0C91">
      <w:pPr>
        <w:pStyle w:val="Hemstlatt"/>
      </w:pPr>
      <w:r w:rsidRPr="00142452">
        <w:t>Riksdagen tillkännager för regeringen som sin mening vad i motionen anförs om kommunernas beräkningsu</w:t>
      </w:r>
      <w:r w:rsidRPr="00142452">
        <w:t>n</w:t>
      </w:r>
      <w:r w:rsidRPr="00142452">
        <w:t>derlag för ersättning.</w:t>
      </w:r>
    </w:p>
    <w:p w:rsidR="006C0C91" w:rsidRPr="00142452" w:rsidRDefault="006C0C91" w:rsidP="006C0C91">
      <w:pPr>
        <w:pStyle w:val="Hemstlatt"/>
      </w:pPr>
      <w:r w:rsidRPr="00142452">
        <w:t>Riksdagen tillkännager för regeringen som sin mening vad i motionen anförs om lokalkostnader vid beräkning av ersättning till fristående sk</w:t>
      </w:r>
      <w:r w:rsidRPr="00142452">
        <w:t>o</w:t>
      </w:r>
      <w:r w:rsidRPr="00142452">
        <w:t>lor.</w:t>
      </w:r>
    </w:p>
    <w:p w:rsidR="006C0C91" w:rsidRPr="00142452" w:rsidRDefault="006C0C91" w:rsidP="006C0C91">
      <w:pPr>
        <w:pStyle w:val="Hemstlatt"/>
      </w:pPr>
      <w:r w:rsidRPr="00142452">
        <w:t>Riksdagen tillkännager för regeringen som sin mening vad i motionen anförs om kommuners användning av plan-, bygg- och lokalfrågor för att hindra etablering av fristående skolor.</w:t>
      </w:r>
    </w:p>
    <w:p w:rsidR="006C0C91" w:rsidRPr="00142452" w:rsidRDefault="006C0C91" w:rsidP="006C0C91">
      <w:pPr>
        <w:pStyle w:val="Hemstlatt"/>
      </w:pPr>
      <w:r w:rsidRPr="00142452">
        <w:t>Riksdagen tillkännager för regeringen som sin mening vad i motionen anförs om skolskjuts.</w:t>
      </w:r>
    </w:p>
    <w:p w:rsidR="006C0C91" w:rsidRPr="00142452" w:rsidRDefault="006C0C91" w:rsidP="006C0C91">
      <w:pPr>
        <w:pStyle w:val="Hemstlatt"/>
      </w:pPr>
      <w:r w:rsidRPr="00142452">
        <w:t>Riksdagen tillkännager för regeringen som sin men</w:t>
      </w:r>
      <w:r w:rsidR="0039760A" w:rsidRPr="00142452">
        <w:t>ing vad i motionen anförs om ändringar i s</w:t>
      </w:r>
      <w:r w:rsidRPr="00142452">
        <w:t>kollagen för att få till stånd rättvisa bidragsregler.</w:t>
      </w:r>
    </w:p>
    <w:p w:rsidR="006C0C91" w:rsidRPr="00142452" w:rsidRDefault="006C0C91" w:rsidP="006C0C91">
      <w:pPr>
        <w:pStyle w:val="Hemstlatt"/>
      </w:pPr>
      <w:r w:rsidRPr="00142452">
        <w:t xml:space="preserve">Riksdagen </w:t>
      </w:r>
      <w:r w:rsidR="0039760A" w:rsidRPr="00142452">
        <w:t>tillkännager</w:t>
      </w:r>
      <w:r w:rsidR="00B7604C" w:rsidRPr="00142452">
        <w:t xml:space="preserve"> för regeringen</w:t>
      </w:r>
      <w:r w:rsidR="0039760A" w:rsidRPr="00142452">
        <w:t xml:space="preserve"> som sin mening vad i motionen anförs om att </w:t>
      </w:r>
      <w:r w:rsidRPr="00142452">
        <w:t>återinför</w:t>
      </w:r>
      <w:r w:rsidR="0039760A" w:rsidRPr="00142452">
        <w:t>a</w:t>
      </w:r>
      <w:r w:rsidRPr="00142452">
        <w:t xml:space="preserve"> riksprislistan för gymnasieu</w:t>
      </w:r>
      <w:r w:rsidRPr="00142452">
        <w:t>t</w:t>
      </w:r>
      <w:r w:rsidRPr="00142452">
        <w:t>bildningar.</w:t>
      </w:r>
    </w:p>
    <w:p w:rsidR="006C0C91" w:rsidRPr="00142452" w:rsidRDefault="006C0C91" w:rsidP="006C0C91">
      <w:pPr>
        <w:pStyle w:val="Hemstlatt"/>
      </w:pPr>
      <w:r w:rsidRPr="00142452">
        <w:t xml:space="preserve">Riksdagen tillkännager för regeringen som sin mening vad i motionen anförs om </w:t>
      </w:r>
      <w:r w:rsidRPr="00142452">
        <w:rPr>
          <w:highlight w:val="yellow"/>
        </w:rPr>
        <w:t>behovet av en riksnorm för ersättningsnivån till fristående grun</w:t>
      </w:r>
      <w:r w:rsidRPr="00142452">
        <w:rPr>
          <w:highlight w:val="yellow"/>
        </w:rPr>
        <w:t>d</w:t>
      </w:r>
      <w:r w:rsidRPr="00142452">
        <w:rPr>
          <w:highlight w:val="yellow"/>
        </w:rPr>
        <w:t>skolor.</w:t>
      </w:r>
    </w:p>
    <w:p w:rsidR="006C0C91" w:rsidRPr="00142452" w:rsidRDefault="006C0C91" w:rsidP="006C0C91">
      <w:pPr>
        <w:pStyle w:val="Hemstlatt"/>
      </w:pPr>
      <w:r w:rsidRPr="00142452">
        <w:t>Riksdagen tillkännager för regeringen som sin mening vad i motionen anförs om att fristående skolor skall ha rätt att få bidragen prövade i al</w:t>
      </w:r>
      <w:r w:rsidRPr="00142452">
        <w:t>l</w:t>
      </w:r>
      <w:r w:rsidRPr="00142452">
        <w:t>män förvaltningsdomstol genom förvaltningsbesvär.</w:t>
      </w:r>
    </w:p>
    <w:p w:rsidR="006C0C91" w:rsidRPr="00142452" w:rsidRDefault="006C0C91" w:rsidP="006C0C91">
      <w:pPr>
        <w:pStyle w:val="Hemstlatt"/>
      </w:pPr>
      <w:r w:rsidRPr="00142452">
        <w:t>Riksdagen tillkännager för regeringen som sin mening vad i motionen anförs om att införa rimliga villkor för fristående sk</w:t>
      </w:r>
      <w:r w:rsidRPr="00142452">
        <w:t>o</w:t>
      </w:r>
      <w:r w:rsidRPr="00142452">
        <w:t>lor.</w:t>
      </w:r>
    </w:p>
    <w:p w:rsidR="006C0C91" w:rsidRPr="00142452" w:rsidRDefault="006C0C91" w:rsidP="006C0C91">
      <w:pPr>
        <w:pStyle w:val="Hemstlatt"/>
      </w:pPr>
      <w:r w:rsidRPr="00142452">
        <w:t>Riksdagen tillkännager för regeringen som sin mening vad i motionen anförs om godkännande av fristående skolor.</w:t>
      </w:r>
    </w:p>
    <w:p w:rsidR="006C0C91" w:rsidRPr="00142452" w:rsidRDefault="006C0C91" w:rsidP="006C0C91">
      <w:pPr>
        <w:pStyle w:val="Hemstlatt"/>
      </w:pPr>
      <w:r w:rsidRPr="00142452">
        <w:lastRenderedPageBreak/>
        <w:t>Riksdagen tillkännager för regeringen som sin mening vad i motionen anförs om att kommunerna inte skall ha insyns- och granskningsrätt i de fr</w:t>
      </w:r>
      <w:r w:rsidRPr="00142452">
        <w:t>i</w:t>
      </w:r>
      <w:r w:rsidRPr="00142452">
        <w:t>stående skolorna.</w:t>
      </w:r>
    </w:p>
    <w:p w:rsidR="006C0C91" w:rsidRPr="00142452" w:rsidRDefault="006C0C91" w:rsidP="006C0C91">
      <w:pPr>
        <w:pStyle w:val="Hemstlatt"/>
      </w:pPr>
      <w:r w:rsidRPr="00142452">
        <w:t>Riksdagen tillkännager för regeringen som sin mening vad i motionen anförs om kval</w:t>
      </w:r>
      <w:r w:rsidRPr="00142452">
        <w:t>i</w:t>
      </w:r>
      <w:r w:rsidRPr="00142452">
        <w:t>tetsgranskning av skolor.</w:t>
      </w:r>
    </w:p>
    <w:p w:rsidR="006C0C91" w:rsidRPr="00142452" w:rsidRDefault="006C0C91" w:rsidP="006C0C91">
      <w:pPr>
        <w:pStyle w:val="Hemstlatt"/>
      </w:pPr>
      <w:r w:rsidRPr="00142452">
        <w:t>Riksdagen tillkännager för regeringen som sin mening vad i motionen anförs om kommunalt veto mot friskole</w:t>
      </w:r>
      <w:r w:rsidRPr="00142452">
        <w:t>e</w:t>
      </w:r>
      <w:r w:rsidRPr="00142452">
        <w:t>tableringar.</w:t>
      </w:r>
    </w:p>
    <w:p w:rsidR="006C0C91" w:rsidRPr="00142452" w:rsidRDefault="006C0C91" w:rsidP="006C0C91">
      <w:pPr>
        <w:pStyle w:val="Hemstlatt"/>
      </w:pPr>
      <w:r w:rsidRPr="00142452">
        <w:t>Riksdagen tillkännager för regeringen som sin mening vad i motionen anförs om frist</w:t>
      </w:r>
      <w:r w:rsidRPr="00142452">
        <w:t>å</w:t>
      </w:r>
      <w:r w:rsidRPr="00142452">
        <w:t>ende skolors frihet.</w:t>
      </w:r>
    </w:p>
    <w:p w:rsidR="006C0C91" w:rsidRPr="00142452" w:rsidRDefault="006C0C91" w:rsidP="006C0C91">
      <w:pPr>
        <w:pStyle w:val="Hemstlatt"/>
      </w:pPr>
      <w:r w:rsidRPr="00142452">
        <w:t>Riksdagen tillkännager för regeringen som sin mening vad i motionen anförs om b</w:t>
      </w:r>
      <w:r w:rsidRPr="00142452">
        <w:t>e</w:t>
      </w:r>
      <w:r w:rsidRPr="00142452">
        <w:t>greppet fristående skolor.</w:t>
      </w:r>
    </w:p>
    <w:p w:rsidR="006C0C91" w:rsidRPr="00142452" w:rsidRDefault="006C0C91" w:rsidP="006C0C91">
      <w:pPr>
        <w:pStyle w:val="Hemstlatt"/>
      </w:pPr>
      <w:r w:rsidRPr="00142452">
        <w:t>Riksdagen tillkännager för regeringen som sin mening vad i motionen anförs om fristående skolors rätt att tillhandahålla och få ersättning för fritidsverksamhet.</w:t>
      </w:r>
    </w:p>
    <w:p w:rsidR="006C0C91" w:rsidRPr="00142452" w:rsidRDefault="006C0C91" w:rsidP="006C0C91">
      <w:pPr>
        <w:pStyle w:val="Hemstlatt"/>
      </w:pPr>
      <w:r w:rsidRPr="00142452">
        <w:t>Riksdagen tillkännager för regeringen som sin mening vad i motionen anförs om fristående skolors rätt att bedr</w:t>
      </w:r>
      <w:r w:rsidRPr="00142452">
        <w:t>i</w:t>
      </w:r>
      <w:r w:rsidRPr="00142452">
        <w:t>va vuxenutbildning.</w:t>
      </w:r>
    </w:p>
    <w:p w:rsidR="006C0C91" w:rsidRPr="00142452" w:rsidRDefault="006C0C91" w:rsidP="00B7604C">
      <w:pPr>
        <w:pStyle w:val="Rubrik1"/>
      </w:pPr>
      <w:bookmarkStart w:id="7" w:name="_Toc84260743"/>
      <w:bookmarkStart w:id="8" w:name="_Toc84321348"/>
      <w:bookmarkStart w:id="9" w:name="_Toc84405906"/>
      <w:bookmarkStart w:id="10" w:name="_Toc84406022"/>
      <w:bookmarkStart w:id="11" w:name="_Toc85783832"/>
      <w:r w:rsidRPr="00142452">
        <w:t>Inledning</w:t>
      </w:r>
      <w:bookmarkEnd w:id="6"/>
      <w:bookmarkEnd w:id="7"/>
      <w:bookmarkEnd w:id="8"/>
      <w:bookmarkEnd w:id="9"/>
      <w:bookmarkEnd w:id="10"/>
      <w:bookmarkEnd w:id="11"/>
    </w:p>
    <w:p w:rsidR="006C0C91" w:rsidRPr="00142452" w:rsidRDefault="006C0C91" w:rsidP="00A5393C">
      <w:r w:rsidRPr="00142452">
        <w:t xml:space="preserve">Moderaternas skolpolitik syftar till att alla skolor skall vara av hög kvalitet, oavsett </w:t>
      </w:r>
      <w:r w:rsidR="00A5393C" w:rsidRPr="00142452">
        <w:t>huvudmannaskap eller driftsform</w:t>
      </w:r>
      <w:r w:rsidRPr="00142452">
        <w:t xml:space="preserve"> och oavsett i vilken kommun skolan är belägen. Det handlar om att eleverna skall få en bra kunskapsgrund och trivas i skolan. Vi vill att lärare och andra professionella på alla skolor skall ha stor frihet att utforma undervisningen. Vi vill att alla skolor utvärderas efter hur väl de lyckas att ge eleverna förutsättningar att klara målen och att ansvarsutkrävande införs för att </w:t>
      </w:r>
      <w:r w:rsidR="00C44132" w:rsidRPr="00142452">
        <w:t xml:space="preserve">se till att </w:t>
      </w:r>
      <w:r w:rsidRPr="00142452">
        <w:t xml:space="preserve">varje skola håller kvalitetskraven. </w:t>
      </w:r>
    </w:p>
    <w:p w:rsidR="006C0C91" w:rsidRPr="00142452" w:rsidRDefault="006C0C91" w:rsidP="006C0C91">
      <w:pPr>
        <w:pStyle w:val="Normaltindrag"/>
      </w:pPr>
      <w:r w:rsidRPr="00142452">
        <w:t>Det är grundläggande att alla skolor, oavsett huvudman, skall få verka u</w:t>
      </w:r>
      <w:r w:rsidRPr="00142452">
        <w:t>n</w:t>
      </w:r>
      <w:r w:rsidRPr="00142452">
        <w:t>der likvärdiga villkor. Friskolereformens införande i början av 1990-talet innebar en stor förändring, eftersom det så radikalt förändrade de finansiella villkoren för de fristående skolorna. Efterfrågan från elever och föräldrar fanns där. I och med att skolor med fristående huvudmän fick likvärdiga f</w:t>
      </w:r>
      <w:r w:rsidRPr="00142452">
        <w:t>i</w:t>
      </w:r>
      <w:r w:rsidRPr="00142452">
        <w:t>nansiella förutsättningar som de kommunala skolorna, ledde detta till en snabb framväxt av fristående grund- och gymnasieskolor.</w:t>
      </w:r>
    </w:p>
    <w:p w:rsidR="006C0C91" w:rsidRPr="00142452" w:rsidRDefault="006C0C91" w:rsidP="006C0C91">
      <w:pPr>
        <w:pStyle w:val="Normaltindrag"/>
      </w:pPr>
      <w:r w:rsidRPr="00142452">
        <w:t>Framväxten av de fristående skolorna har lett till att elever och föräldrar i allt högre utsträckning har fått reella möjligheter att välja mellan olika alte</w:t>
      </w:r>
      <w:r w:rsidRPr="00142452">
        <w:t>r</w:t>
      </w:r>
      <w:r w:rsidRPr="00142452">
        <w:t>nativ, t.ex. pedagogisk inriktning, beroende på vad som passar eleven bäst. Denna ökade mångfald av skolor behövs i ett Sverige där befolkningen – och eleverna – blir alltmer heterogen, med olika bakgrund, erfarenheter och pref</w:t>
      </w:r>
      <w:r w:rsidRPr="00142452">
        <w:t>e</w:t>
      </w:r>
      <w:r w:rsidRPr="00142452">
        <w:t>renser. Mer än 90 procent av föräldrarna uppger att de uppskattar valfriheten.</w:t>
      </w:r>
      <w:r w:rsidRPr="00142452">
        <w:rPr>
          <w:rStyle w:val="Fotnotsreferens"/>
        </w:rPr>
        <w:footnoteReference w:id="1"/>
      </w:r>
      <w:r w:rsidRPr="00142452">
        <w:t xml:space="preserve"> Många föräldrar ser valet av skola som ett sätt att skaffa sig inflytande över barnens skolgång, samtidigt som många förvaltningschefer ute i kommunerna uppfattar konkurrensen om elever som en positiv drivkraft för förändring.</w:t>
      </w:r>
      <w:r w:rsidRPr="00142452">
        <w:rPr>
          <w:rStyle w:val="Fotnotsreferens"/>
        </w:rPr>
        <w:footnoteReference w:id="2"/>
      </w:r>
      <w:r w:rsidRPr="00142452">
        <w:t xml:space="preserve">  </w:t>
      </w:r>
    </w:p>
    <w:p w:rsidR="006C0C91" w:rsidRPr="00142452" w:rsidRDefault="006C0C91" w:rsidP="006C0C91">
      <w:pPr>
        <w:pStyle w:val="Normaltindrag"/>
      </w:pPr>
      <w:r w:rsidRPr="00142452">
        <w:t>De fristående skolorna har påverkat många kommunala skolors förän</w:t>
      </w:r>
      <w:r w:rsidRPr="00142452">
        <w:t>d</w:t>
      </w:r>
      <w:r w:rsidRPr="00142452">
        <w:t>ringsarbete på ett positivt sätt. Många skolor har utvecklat sitt sätt att arbeta, skapat profilklasser etc. Engagerade föräldrar har kunnat driva skolor i gle</w:t>
      </w:r>
      <w:r w:rsidRPr="00142452">
        <w:t>s</w:t>
      </w:r>
      <w:r w:rsidRPr="00142452">
        <w:t>bygd som annars hade hotats av nedläggning. Fler arbetsgivare skapar en bättre arbetsmarknad för lärare, som får större möjligheter att påverka sin arbetsmiljö och lön. Studier tyder också på att i kommuner där skolors ko</w:t>
      </w:r>
      <w:r w:rsidRPr="00142452">
        <w:t>n</w:t>
      </w:r>
      <w:r w:rsidRPr="00142452">
        <w:t>kurrens om elever är högre, är också elevernas resultat bättre, till förmån såväl för låg- som högpresterande elever.</w:t>
      </w:r>
      <w:r w:rsidRPr="00142452">
        <w:rPr>
          <w:rStyle w:val="Fotnotsreferens"/>
        </w:rPr>
        <w:footnoteReference w:id="3"/>
      </w:r>
      <w:r w:rsidR="00A5393C" w:rsidRPr="00142452">
        <w:t xml:space="preserve"> </w:t>
      </w:r>
    </w:p>
    <w:p w:rsidR="006C0C91" w:rsidRPr="00142452" w:rsidRDefault="006C0C91" w:rsidP="006C0C91">
      <w:pPr>
        <w:pStyle w:val="Normaltindrag"/>
      </w:pPr>
      <w:r w:rsidRPr="00142452">
        <w:t>För att kunna ta till vara den positiva drivkraft som fristående skolor och elevers möjlighet att välja skola utg</w:t>
      </w:r>
      <w:r w:rsidRPr="00142452">
        <w:t>ö</w:t>
      </w:r>
      <w:r w:rsidRPr="00142452">
        <w:t>r</w:t>
      </w:r>
      <w:r w:rsidR="00C44132" w:rsidRPr="00142452">
        <w:t>,</w:t>
      </w:r>
      <w:r w:rsidRPr="00142452">
        <w:t xml:space="preserve"> är det viktigt att alla skolor – </w:t>
      </w:r>
      <w:r w:rsidR="00A5393C" w:rsidRPr="00142452">
        <w:t xml:space="preserve">såväl </w:t>
      </w:r>
      <w:r w:rsidRPr="00142452">
        <w:t>fristående som kommunala – verkar under likvärdiga vil</w:t>
      </w:r>
      <w:r w:rsidRPr="00142452">
        <w:t>l</w:t>
      </w:r>
      <w:r w:rsidRPr="00142452">
        <w:t>kor. Här finns idag stora brister. Sedan den förra borgerliga regeringen genomförde friskoler</w:t>
      </w:r>
      <w:r w:rsidRPr="00142452">
        <w:t>e</w:t>
      </w:r>
      <w:r w:rsidRPr="00142452">
        <w:t xml:space="preserve">formen har de efterföljande socialdemokratiska regeringarna ändrat </w:t>
      </w:r>
      <w:r w:rsidR="00A5393C" w:rsidRPr="00142452">
        <w:t xml:space="preserve">skollagen </w:t>
      </w:r>
      <w:r w:rsidRPr="00142452">
        <w:t xml:space="preserve">så att fristående skolors finansiella villkor successivt blivit mer beroende av kommunernas välvilja. </w:t>
      </w:r>
    </w:p>
    <w:p w:rsidR="006C0C91" w:rsidRPr="00142452" w:rsidRDefault="006C0C91" w:rsidP="006C0C91">
      <w:pPr>
        <w:pStyle w:val="Normaltindrag"/>
      </w:pPr>
      <w:r w:rsidRPr="00142452">
        <w:t>Förekomsten av fristående skolor och konkurrens mellan skolor varierar i hög grad mellan kommuner. Koncentrationen av fristående skolor är högst i storstäder och förortskommuner. I ca 40 procent av landets kommuner finns ingen frist</w:t>
      </w:r>
      <w:r w:rsidRPr="00142452">
        <w:t>å</w:t>
      </w:r>
      <w:r w:rsidRPr="00142452">
        <w:t>ende grundskola alls.</w:t>
      </w:r>
      <w:r w:rsidRPr="00142452">
        <w:rPr>
          <w:rStyle w:val="Fotnotsreferens"/>
        </w:rPr>
        <w:footnoteReference w:id="4"/>
      </w:r>
      <w:r w:rsidRPr="00142452">
        <w:t xml:space="preserve"> Den kommunala andelen elever i fristående skola varierar från 0 till 25 procent.</w:t>
      </w:r>
      <w:r w:rsidRPr="00142452">
        <w:rPr>
          <w:rStyle w:val="Fotnotsreferens"/>
        </w:rPr>
        <w:footnoteReference w:id="5"/>
      </w:r>
      <w:r w:rsidRPr="00142452">
        <w:t xml:space="preserve"> Variationen kan delvis förkl</w:t>
      </w:r>
      <w:r w:rsidRPr="00142452">
        <w:t>a</w:t>
      </w:r>
      <w:r w:rsidRPr="00142452">
        <w:t>ras av att fristående skolor i</w:t>
      </w:r>
      <w:r w:rsidR="00A5393C" w:rsidRPr="00142452">
        <w:t>nte är</w:t>
      </w:r>
      <w:r w:rsidR="00AA7843" w:rsidRPr="00142452">
        <w:t xml:space="preserve"> </w:t>
      </w:r>
      <w:r w:rsidRPr="00142452">
        <w:t>önskvärda i många socialdemokratiskt styrda ko</w:t>
      </w:r>
      <w:r w:rsidRPr="00142452">
        <w:t>m</w:t>
      </w:r>
      <w:r w:rsidRPr="00142452">
        <w:t>muner, varför etablering av alternativ hindras och eleverna ges</w:t>
      </w:r>
      <w:r w:rsidR="00B7604C" w:rsidRPr="00142452">
        <w:t xml:space="preserve"> inte</w:t>
      </w:r>
      <w:r w:rsidRPr="00142452">
        <w:t xml:space="preserve"> möjlighet att välja mellan kommunala och fristående skolalternativ. Det är allvarligt att ko</w:t>
      </w:r>
      <w:r w:rsidRPr="00142452">
        <w:t>m</w:t>
      </w:r>
      <w:r w:rsidRPr="00142452">
        <w:t>munledningar på olika håll i landet försvårar etablerandet av fristående skolor, eller missgynnar redan etablerade friskolor genom att inte ge dem finansiella villkor likvärd</w:t>
      </w:r>
      <w:r w:rsidRPr="00142452">
        <w:t>i</w:t>
      </w:r>
      <w:r w:rsidRPr="00142452">
        <w:t>ga de som gäller för de kommunala skolorna. De fristående skolor som drabbas får lägre ersättning per elev än de har rätt till, de måste arbeta under stor osäkerhet om framtiden</w:t>
      </w:r>
      <w:r w:rsidR="00B7604C" w:rsidRPr="00142452">
        <w:t>,</w:t>
      </w:r>
      <w:r w:rsidRPr="00142452">
        <w:t xml:space="preserve"> och planeringen av ver</w:t>
      </w:r>
      <w:r w:rsidRPr="00142452">
        <w:t>k</w:t>
      </w:r>
      <w:r w:rsidRPr="00142452">
        <w:t xml:space="preserve">samheten försvåras. Det får konsekvenser för eleverna i dessa skolor. Därför är det oerhört viktigt att åtgärder vidtas som tar itu med bristerna. </w:t>
      </w:r>
    </w:p>
    <w:p w:rsidR="006C0C91" w:rsidRPr="00142452" w:rsidRDefault="006C0C91" w:rsidP="006C0C91">
      <w:pPr>
        <w:pStyle w:val="Normaltindrag"/>
      </w:pPr>
      <w:r w:rsidRPr="00142452">
        <w:t xml:space="preserve">Friskolornas riksförbund har länge påtalat att brister finns </w:t>
      </w:r>
      <w:r w:rsidR="00C44132" w:rsidRPr="00142452">
        <w:t xml:space="preserve">gällande </w:t>
      </w:r>
      <w:r w:rsidRPr="00142452">
        <w:t>i hur friskolors ersättning hanteras. Medan vissa ko</w:t>
      </w:r>
      <w:r w:rsidRPr="00142452">
        <w:t>m</w:t>
      </w:r>
      <w:r w:rsidRPr="00142452">
        <w:t>muner aktivt informerar om både fristående och kommunala skolor och i allt strävar efter att villkoren skall vara likvärdiga, så blir fristående skolor och valfrihet motarbetade på andra håll. Detta styrks av bl.a. de slutsatser som dras i rapporterna från Sko</w:t>
      </w:r>
      <w:r w:rsidRPr="00142452">
        <w:t>l</w:t>
      </w:r>
      <w:r w:rsidRPr="00142452">
        <w:t xml:space="preserve">verket </w:t>
      </w:r>
      <w:r w:rsidRPr="00142452">
        <w:rPr>
          <w:rStyle w:val="Fotnotsreferens"/>
        </w:rPr>
        <w:footnoteReference w:id="6"/>
      </w:r>
      <w:r w:rsidRPr="00142452">
        <w:t xml:space="preserve"> och Konkurrensrådet</w:t>
      </w:r>
      <w:r w:rsidRPr="00142452">
        <w:rPr>
          <w:rStyle w:val="Fotnotsreferens"/>
          <w:i/>
        </w:rPr>
        <w:t xml:space="preserve"> </w:t>
      </w:r>
      <w:r w:rsidRPr="00142452">
        <w:rPr>
          <w:rStyle w:val="Fotnotsreferens"/>
          <w:i/>
        </w:rPr>
        <w:footnoteReference w:id="7"/>
      </w:r>
      <w:r w:rsidRPr="00142452">
        <w:t>. Skolverket drar slutsatsen att de fristående skolorna i mycket hög grad är beroende av kommunernas tolkning av hur ersättningssystemet skall tillämpas. Konkurrensrådet konstaterar att de frist</w:t>
      </w:r>
      <w:r w:rsidRPr="00142452">
        <w:t>å</w:t>
      </w:r>
      <w:r w:rsidRPr="00142452">
        <w:t>ende skolorna på en rad centrala punkter missgynnas när det gäller resurstil</w:t>
      </w:r>
      <w:r w:rsidRPr="00142452">
        <w:t>l</w:t>
      </w:r>
      <w:r w:rsidRPr="00142452">
        <w:t>delning. Detta är oacceptabelt. Det överordnade målet måste vara en bra skola – inte huvudmannaskap eller driftsform.</w:t>
      </w:r>
    </w:p>
    <w:p w:rsidR="006C0C91" w:rsidRPr="00142452" w:rsidRDefault="006C0C91" w:rsidP="006C0C91">
      <w:pPr>
        <w:pStyle w:val="Rubrik1"/>
      </w:pPr>
      <w:bookmarkStart w:id="12" w:name="_Toc84260744"/>
      <w:bookmarkStart w:id="13" w:name="_Toc84321349"/>
      <w:bookmarkStart w:id="14" w:name="_Toc84405907"/>
      <w:bookmarkStart w:id="15" w:name="_Toc84406023"/>
      <w:bookmarkStart w:id="16" w:name="_Toc85783833"/>
      <w:r w:rsidRPr="00142452">
        <w:t>Likvärdiga villkor</w:t>
      </w:r>
      <w:bookmarkEnd w:id="12"/>
      <w:bookmarkEnd w:id="13"/>
      <w:bookmarkEnd w:id="14"/>
      <w:bookmarkEnd w:id="15"/>
      <w:bookmarkEnd w:id="16"/>
    </w:p>
    <w:p w:rsidR="006C0C91" w:rsidRPr="00142452" w:rsidRDefault="006C0C91" w:rsidP="006C0C91">
      <w:r w:rsidRPr="00142452">
        <w:t>Ersättningssystemets utformning är av central betydelse för de fristående skolornas möjlighet att bedriva sin verksamhet. Friskolereformen innebar att de finansiella förutsättningarna för de fristående skolorna blev avsevärt mycket bättre än tidigare och därmed mer likvärdig</w:t>
      </w:r>
      <w:r w:rsidR="00C44132" w:rsidRPr="00142452">
        <w:t>.</w:t>
      </w:r>
      <w:r w:rsidRPr="00142452">
        <w:t xml:space="preserve"> Det är illustrativt att antalet fristående skolor direkt efter friskolereformens genomf</w:t>
      </w:r>
      <w:r w:rsidRPr="00142452">
        <w:t>ö</w:t>
      </w:r>
      <w:r w:rsidR="00C44132" w:rsidRPr="00142452">
        <w:t>rande snabbt började att ö</w:t>
      </w:r>
      <w:r w:rsidRPr="00142452">
        <w:t xml:space="preserve">ka. </w:t>
      </w:r>
    </w:p>
    <w:p w:rsidR="006C0C91" w:rsidRPr="00142452" w:rsidRDefault="006C0C91" w:rsidP="006C0C91">
      <w:pPr>
        <w:pStyle w:val="Normaltindrag"/>
      </w:pPr>
      <w:r w:rsidRPr="00142452">
        <w:t>Sedan dess har dock de socialdemokratiska regeringarna stegvis försämrat ersättningssystemet till de fristående skolornas nackdel. Till att börja med sänktes den procentuella schablon som fungerade som ett golv för bidragsn</w:t>
      </w:r>
      <w:r w:rsidRPr="00142452">
        <w:t>i</w:t>
      </w:r>
      <w:r w:rsidRPr="00142452">
        <w:t xml:space="preserve">vån. Därefter ersattes schablonen med en skrivning i </w:t>
      </w:r>
      <w:r w:rsidR="00A5393C" w:rsidRPr="00142452">
        <w:t xml:space="preserve">skollagen </w:t>
      </w:r>
      <w:r w:rsidRPr="00142452">
        <w:t>som enbart specificerar att kommunerna skall lämna bidrag till de fristående skolorna enligt ”skolans åtagande och elevens behov efter samma grunder som ko</w:t>
      </w:r>
      <w:r w:rsidRPr="00142452">
        <w:t>m</w:t>
      </w:r>
      <w:r w:rsidRPr="00142452">
        <w:t>munen tillämpar vid fördelning av resurser till de egna grundskolorna” (</w:t>
      </w:r>
      <w:r w:rsidR="00A5393C" w:rsidRPr="00142452">
        <w:t>sko</w:t>
      </w:r>
      <w:r w:rsidR="00A5393C" w:rsidRPr="00142452">
        <w:t>l</w:t>
      </w:r>
      <w:r w:rsidR="00A5393C" w:rsidRPr="00142452">
        <w:t>lagen</w:t>
      </w:r>
      <w:r w:rsidRPr="00142452">
        <w:t>, 9 kap. 6</w:t>
      </w:r>
      <w:r w:rsidR="00A5393C" w:rsidRPr="00142452">
        <w:t xml:space="preserve"> </w:t>
      </w:r>
      <w:r w:rsidRPr="00142452">
        <w:t>§). Detta har lämnat ett stort utrymme för godtycke till ko</w:t>
      </w:r>
      <w:r w:rsidRPr="00142452">
        <w:t>m</w:t>
      </w:r>
      <w:r w:rsidRPr="00142452">
        <w:t>munerna, trots att dessa samtidigt är konkurrenter till de fristående sk</w:t>
      </w:r>
      <w:r w:rsidRPr="00142452">
        <w:t>o</w:t>
      </w:r>
      <w:r w:rsidRPr="00142452">
        <w:t>lorna.</w:t>
      </w:r>
    </w:p>
    <w:p w:rsidR="006C0C91" w:rsidRPr="00142452" w:rsidRDefault="006C0C91" w:rsidP="006C0C91">
      <w:pPr>
        <w:pStyle w:val="Normaltindrag"/>
      </w:pPr>
      <w:r w:rsidRPr="00142452">
        <w:t>Bidraget per elev är helt avgörande för huruvida en fristående skola har f</w:t>
      </w:r>
      <w:r w:rsidRPr="00142452">
        <w:t>i</w:t>
      </w:r>
      <w:r w:rsidRPr="00142452">
        <w:t>nansiella förutsättningar att bedriva någon verksamhet över huvud taget. Dä</w:t>
      </w:r>
      <w:r w:rsidRPr="00142452">
        <w:t>r</w:t>
      </w:r>
      <w:r w:rsidRPr="00142452">
        <w:t>för kan bidragsnivån användas av kommunerna för att antingen underlätta eller helt slå undan benen för redan etablerad verksamhet. Det kan också användas som ett sätt att antingen uppmuntra friskoleetableringar eller omö</w:t>
      </w:r>
      <w:r w:rsidRPr="00142452">
        <w:t>j</w:t>
      </w:r>
      <w:r w:rsidRPr="00142452">
        <w:t>liggöra alternativ i den egna kommunen.</w:t>
      </w:r>
    </w:p>
    <w:p w:rsidR="006C0C91" w:rsidRPr="00142452" w:rsidRDefault="006C0C91" w:rsidP="006C0C91">
      <w:pPr>
        <w:pStyle w:val="Normaltindrag"/>
      </w:pPr>
      <w:r w:rsidRPr="00142452">
        <w:t xml:space="preserve">Antalet studier om hur ersättningssystemen i kommunerna ser ut är få. I betänkandet </w:t>
      </w:r>
      <w:r w:rsidRPr="00142452">
        <w:rPr>
          <w:i/>
        </w:rPr>
        <w:t xml:space="preserve">Likvärdiga villkor </w:t>
      </w:r>
      <w:r w:rsidRPr="00142452">
        <w:t>(SOU 1999:98), som gjorde en öve</w:t>
      </w:r>
      <w:r w:rsidRPr="00142452">
        <w:t>r</w:t>
      </w:r>
      <w:r w:rsidRPr="00142452">
        <w:t>syn av kommunernas ersättningssystem under 1997 och 1998, konstaterades att många kommuner har så oklara och komplicerade system som de baserar ersättningsnivån på att de fristående skolorna har svårt att förstå dem. I ett sådant läge blir det svårt för dessa skolor att planera sin verksamhet. Konku</w:t>
      </w:r>
      <w:r w:rsidRPr="00142452">
        <w:t>r</w:t>
      </w:r>
      <w:r w:rsidRPr="00142452">
        <w:t>rensrådet, som har studerat ett urval kommuner, finner också att så är fallet.</w:t>
      </w:r>
      <w:r w:rsidRPr="00142452">
        <w:rPr>
          <w:rStyle w:val="Fotnotsreferens"/>
        </w:rPr>
        <w:footnoteReference w:id="8"/>
      </w:r>
      <w:r w:rsidRPr="00142452">
        <w:t xml:space="preserve"> De</w:t>
      </w:r>
      <w:r w:rsidR="00A5393C" w:rsidRPr="00142452">
        <w:t>t</w:t>
      </w:r>
      <w:r w:rsidRPr="00142452">
        <w:t xml:space="preserve"> drar slutsatsen att kommunernas beräkningsunderlag för att fastställa bidragsbeloppet ofta är till fristående skolors nackdel och snedvrider konku</w:t>
      </w:r>
      <w:r w:rsidRPr="00142452">
        <w:t>r</w:t>
      </w:r>
      <w:r w:rsidRPr="00142452">
        <w:t>rensen. Framför allt betonas skillnader i hur momsregler och skolpliktsavdrag tillämpas samt skillnader i hur lokalkostnader och indirekta kostnader för administration och liknande ersätts. Dessutom förekommer försenade utbeta</w:t>
      </w:r>
      <w:r w:rsidRPr="00142452">
        <w:t>l</w:t>
      </w:r>
      <w:r w:rsidRPr="00142452">
        <w:t>ningar av ersättning, vilket kan få betydande konsekvenser för skolor. Ett annat problem är att bidraget ofta baseras på den genomsnittliga kostnaden för de kommunala skolorna snarare än på de faktiska kostnaderna för eleve</w:t>
      </w:r>
      <w:r w:rsidRPr="00142452">
        <w:t>r</w:t>
      </w:r>
      <w:r w:rsidRPr="00142452">
        <w:t>na. På grund av kommunernas stora utrymme att konstruera beräkningsunde</w:t>
      </w:r>
      <w:r w:rsidRPr="00142452">
        <w:t>r</w:t>
      </w:r>
      <w:r w:rsidRPr="00142452">
        <w:t>laget för bidragsnivån omöjliggörs många etablerade skolors framtida ver</w:t>
      </w:r>
      <w:r w:rsidRPr="00142452">
        <w:t>k</w:t>
      </w:r>
      <w:r w:rsidRPr="00142452">
        <w:t>samhet.</w:t>
      </w:r>
    </w:p>
    <w:p w:rsidR="006C0C91" w:rsidRPr="00142452" w:rsidRDefault="006C0C91" w:rsidP="006C0C91">
      <w:pPr>
        <w:pStyle w:val="Rubrik2"/>
      </w:pPr>
      <w:r w:rsidRPr="00142452">
        <w:t>Momsreglerna</w:t>
      </w:r>
    </w:p>
    <w:p w:rsidR="006C0C91" w:rsidRPr="00142452" w:rsidRDefault="006C0C91" w:rsidP="006C0C91">
      <w:r w:rsidRPr="00142452">
        <w:t>Tjänsteproduktionen inom skolan är momsbefriad. Det innebär att den moms som betalas vid t</w:t>
      </w:r>
      <w:r w:rsidR="00A5393C" w:rsidRPr="00142452">
        <w:t>.</w:t>
      </w:r>
      <w:r w:rsidRPr="00142452">
        <w:t>ex</w:t>
      </w:r>
      <w:r w:rsidR="00A5393C" w:rsidRPr="00142452">
        <w:t>.</w:t>
      </w:r>
      <w:r w:rsidRPr="00142452">
        <w:t xml:space="preserve"> inköp av material till verksamheten inte kan dras av mot utgående moms. Kommunerna har dock denna möjlighet, vilket gör att de fristående skolorna har rätt till motsvarande ekonomisk kompensation. Ko</w:t>
      </w:r>
      <w:r w:rsidRPr="00142452">
        <w:t>n</w:t>
      </w:r>
      <w:r w:rsidRPr="00142452">
        <w:t>kurrensrådet rekommenderar två modeller</w:t>
      </w:r>
      <w:r w:rsidR="00A5393C" w:rsidRPr="00142452">
        <w:t>:</w:t>
      </w:r>
      <w:r w:rsidRPr="00142452">
        <w:t xml:space="preserve"> antingen en ko</w:t>
      </w:r>
      <w:r w:rsidRPr="00142452">
        <w:t>m</w:t>
      </w:r>
      <w:r w:rsidRPr="00142452">
        <w:t>pensation som motsvarar den faktiska momskostnaden eller en schabloniserad sådan (den s</w:t>
      </w:r>
      <w:r w:rsidR="00A5393C" w:rsidRPr="00142452">
        <w:t>.</w:t>
      </w:r>
      <w:r w:rsidRPr="00142452">
        <w:t>k. 6-procentsregeln). I praktiken får dock de fristående skolorna ofta en lägre ersättning än enligt schablonen, eller ingen ersättning alls. Konsekve</w:t>
      </w:r>
      <w:r w:rsidRPr="00142452">
        <w:t>n</w:t>
      </w:r>
      <w:r w:rsidRPr="00142452">
        <w:t>sen är att de fristående skolorna missgynnas i förhållande till de ko</w:t>
      </w:r>
      <w:r w:rsidRPr="00142452">
        <w:t>m</w:t>
      </w:r>
      <w:r w:rsidRPr="00142452">
        <w:t>munala skolo</w:t>
      </w:r>
      <w:r w:rsidRPr="00142452">
        <w:t>r</w:t>
      </w:r>
      <w:r w:rsidRPr="00142452">
        <w:t xml:space="preserve">na.  </w:t>
      </w:r>
    </w:p>
    <w:p w:rsidR="006C0C91" w:rsidRPr="00142452" w:rsidRDefault="006C0C91" w:rsidP="006C0C91">
      <w:pPr>
        <w:pStyle w:val="Rubrik2"/>
      </w:pPr>
      <w:r w:rsidRPr="00142452">
        <w:t>Skolpliktsavdraget</w:t>
      </w:r>
    </w:p>
    <w:p w:rsidR="006C0C91" w:rsidRPr="00142452" w:rsidRDefault="006C0C91" w:rsidP="006C0C91">
      <w:r w:rsidRPr="00142452">
        <w:t>Kommunerna har skyldighet att tillhandahålla utbildning för alla skolpli</w:t>
      </w:r>
      <w:r w:rsidRPr="00142452">
        <w:t>k</w:t>
      </w:r>
      <w:r w:rsidRPr="00142452">
        <w:t>tiga barn. Det innebär att kommunerna kan ha extra kostnader för att se till att elevplatser finns om elever flyttar in till kommunen eller lämnar en fristående skola. Kommunen får en kostnad för detta om det kräver att tomma platser behöver hållas. Däremot är inte kostnader för att en kommunal skola är fe</w:t>
      </w:r>
      <w:r w:rsidRPr="00142452">
        <w:t>l</w:t>
      </w:r>
      <w:r w:rsidRPr="00142452">
        <w:t>dimensionerad, eller har förlorat elever av konkurrensskäl, skolpliktskostn</w:t>
      </w:r>
      <w:r w:rsidRPr="00142452">
        <w:t>a</w:t>
      </w:r>
      <w:r w:rsidRPr="00142452">
        <w:t>der. I det nuvarande systemet sänker kommunerna ibland fristående skolors bidrag med ett belopp som motsvarar kommunens merkostnader för sko</w:t>
      </w:r>
      <w:r w:rsidRPr="00142452">
        <w:t>l</w:t>
      </w:r>
      <w:r w:rsidRPr="00142452">
        <w:t>pliktsavdraget. Enligt Konkurrensrådet varierar dock nivån på skolpliktsa</w:t>
      </w:r>
      <w:r w:rsidRPr="00142452">
        <w:t>v</w:t>
      </w:r>
      <w:r w:rsidRPr="00142452">
        <w:t>draget stort mellan kommuner, vilket ve</w:t>
      </w:r>
      <w:r w:rsidRPr="00142452">
        <w:t>r</w:t>
      </w:r>
      <w:r w:rsidRPr="00142452">
        <w:t>kar snedvridande på konkurrensen. Även Komrev noterar i sin granskning den stora variationen och oklarheten i hur olika kommuner tolkar innebörden av skolpliktsansvaret.</w:t>
      </w:r>
      <w:r w:rsidRPr="00142452">
        <w:rPr>
          <w:rStyle w:val="Fotnotsreferens"/>
        </w:rPr>
        <w:footnoteReference w:id="9"/>
      </w:r>
      <w:r w:rsidR="00A5393C" w:rsidRPr="00142452">
        <w:t xml:space="preserve"> Man</w:t>
      </w:r>
      <w:r w:rsidRPr="00142452">
        <w:t xml:space="preserve"> påpekar också att skolpliktskostnaden inte är knuten till enskilda skolor utan till ko</w:t>
      </w:r>
      <w:r w:rsidRPr="00142452">
        <w:t>m</w:t>
      </w:r>
      <w:r w:rsidRPr="00142452">
        <w:t xml:space="preserve">munen och att skyldigheten finns oberoende av om det finns fristående skolor i kommunen eller inte.  </w:t>
      </w:r>
    </w:p>
    <w:p w:rsidR="006C0C91" w:rsidRPr="00142452" w:rsidRDefault="006C0C91" w:rsidP="006C0C91">
      <w:pPr>
        <w:pStyle w:val="Rubrik2"/>
      </w:pPr>
      <w:r w:rsidRPr="00142452">
        <w:t>Kostnader för administration m.m.</w:t>
      </w:r>
    </w:p>
    <w:p w:rsidR="006C0C91" w:rsidRPr="00142452" w:rsidRDefault="006C0C91" w:rsidP="006C0C91">
      <w:r w:rsidRPr="00142452">
        <w:t>Det förekommer även att kommuner inte ger fristående skolor ersättning för s.k. indirekta kostnader, dvs. kostnader för löne- och ekonomiadministr</w:t>
      </w:r>
      <w:r w:rsidRPr="00142452">
        <w:t>a</w:t>
      </w:r>
      <w:r w:rsidRPr="00142452">
        <w:t>tion, IT-verksamhet och liknande. Även om sådana tjänster inte ingår i den ko</w:t>
      </w:r>
      <w:r w:rsidRPr="00142452">
        <w:t>m</w:t>
      </w:r>
      <w:r w:rsidRPr="00142452">
        <w:t xml:space="preserve">munala skolbudgeten är det likväl så att fristående skolor måste betala för dessa tjänster och därmed måste få ersättning för detta. Annars blir resultatet sämre finansiella villkor för fristående än för kommunala skolor. </w:t>
      </w:r>
    </w:p>
    <w:p w:rsidR="006C0C91" w:rsidRPr="00142452" w:rsidRDefault="006C0C91" w:rsidP="006C0C91">
      <w:pPr>
        <w:pStyle w:val="Rubrik2"/>
      </w:pPr>
      <w:r w:rsidRPr="00142452">
        <w:t>Lokalkostnader</w:t>
      </w:r>
    </w:p>
    <w:p w:rsidR="006C0C91" w:rsidRPr="00142452" w:rsidRDefault="006C0C91" w:rsidP="006C0C91">
      <w:r w:rsidRPr="00142452">
        <w:t>Ett annat orosmoment för de fristående skolorna är relaterat till lokaltil</w:t>
      </w:r>
      <w:r w:rsidRPr="00142452">
        <w:t>l</w:t>
      </w:r>
      <w:r w:rsidRPr="00142452">
        <w:t>gång och stora skillnader i hur lokalkostnader ersätts. De kommunala lokalkostn</w:t>
      </w:r>
      <w:r w:rsidRPr="00142452">
        <w:t>a</w:t>
      </w:r>
      <w:r w:rsidRPr="00142452">
        <w:t>derna för skolan varierar kraftigt mellan kommuner och skolor. Hur hyrorna sätts och fördelas över skolor skiljer sig från kommun till kommun. I vissa kommuner kan de egna skolorna nyttja lokaler utan kostnad, i andra inte. Osäkerheten kring ersättningen för lokalkostnaderna bland de fristående sk</w:t>
      </w:r>
      <w:r w:rsidRPr="00142452">
        <w:t>o</w:t>
      </w:r>
      <w:r w:rsidRPr="00142452">
        <w:t xml:space="preserve">lorna är därför stor. </w:t>
      </w:r>
    </w:p>
    <w:p w:rsidR="006C0C91" w:rsidRPr="00142452" w:rsidRDefault="006C0C91" w:rsidP="006C0C91">
      <w:pPr>
        <w:pStyle w:val="Rubrik2"/>
      </w:pPr>
      <w:r w:rsidRPr="00142452">
        <w:t>Ersättningen till fristående gymnasieskolor</w:t>
      </w:r>
    </w:p>
    <w:p w:rsidR="006C0C91" w:rsidRPr="00142452" w:rsidRDefault="006C0C91" w:rsidP="006C0C91">
      <w:r w:rsidRPr="00142452">
        <w:t>Ersättningssystemet för fristående gymnasieskolor har också förändrats till de fristående skolornas nackdel genom att kommunens möjligheter att påverka ersättningen har ökat. Tidigare fick friskolorna ett bidrag fastställt genom en riksprislista. Idag gäller istället ett system som är väldigt likt det för de frist</w:t>
      </w:r>
      <w:r w:rsidRPr="00142452">
        <w:t>å</w:t>
      </w:r>
      <w:r w:rsidRPr="00142452">
        <w:t>ende grundskolorna. Om det nationella program som eleven har valt finns i hemkommunen, skall kommunen ge den fristående skolan bidrag ”efter sa</w:t>
      </w:r>
      <w:r w:rsidRPr="00142452">
        <w:t>m</w:t>
      </w:r>
      <w:r w:rsidRPr="00142452">
        <w:t>ma grunder som kommunen tillämpar vid fördelning av resurser till det pr</w:t>
      </w:r>
      <w:r w:rsidRPr="00142452">
        <w:t>o</w:t>
      </w:r>
      <w:r w:rsidRPr="00142452">
        <w:t>grammet i de egna gymnasieskolorna” (</w:t>
      </w:r>
      <w:r w:rsidR="00A5393C" w:rsidRPr="00142452">
        <w:t xml:space="preserve">skollagen </w:t>
      </w:r>
      <w:r w:rsidRPr="00142452">
        <w:t xml:space="preserve">9 kap. </w:t>
      </w:r>
      <w:smartTag w:uri="urn:schemas-microsoft-com:office:smarttags" w:element="metricconverter">
        <w:smartTagPr>
          <w:attr w:name="ProductID" w:val="8 a"/>
        </w:smartTagPr>
        <w:r w:rsidRPr="00142452">
          <w:t>8</w:t>
        </w:r>
        <w:r w:rsidR="00A5393C" w:rsidRPr="00142452">
          <w:t xml:space="preserve"> </w:t>
        </w:r>
        <w:r w:rsidRPr="00142452">
          <w:t>a</w:t>
        </w:r>
      </w:smartTag>
      <w:r w:rsidR="00A5393C" w:rsidRPr="00142452">
        <w:t xml:space="preserve"> </w:t>
      </w:r>
      <w:r w:rsidRPr="00142452">
        <w:t>§). Om he</w:t>
      </w:r>
      <w:r w:rsidRPr="00142452">
        <w:t>m</w:t>
      </w:r>
      <w:r w:rsidRPr="00142452">
        <w:t>kommunen inte erbjuder programmet skall kommunen betala en ersättning som motsvarar kostnaden för det nationella programmet i den fristående sk</w:t>
      </w:r>
      <w:r w:rsidRPr="00142452">
        <w:t>o</w:t>
      </w:r>
      <w:r w:rsidRPr="00142452">
        <w:t>lans lägeskommun. Har varken hem- eller lägeskommunen det nationella programmet skall ersättningen följa den riksprislista som fastställts av Sko</w:t>
      </w:r>
      <w:r w:rsidRPr="00142452">
        <w:t>l</w:t>
      </w:r>
      <w:r w:rsidRPr="00142452">
        <w:t>verket</w:t>
      </w:r>
      <w:r w:rsidR="00C44132" w:rsidRPr="00142452">
        <w:t>. Den</w:t>
      </w:r>
      <w:r w:rsidRPr="00142452">
        <w:t xml:space="preserve"> bygger på en genomsnittlig kostnad för de nationella progra</w:t>
      </w:r>
      <w:r w:rsidRPr="00142452">
        <w:t>m</w:t>
      </w:r>
      <w:r w:rsidRPr="00142452">
        <w:t xml:space="preserve">men i hela landet. Detta innebär alltså att ersättningssystemet inte kommer att fungera när en fristående gymnasieskola </w:t>
      </w:r>
      <w:r w:rsidR="00C44132" w:rsidRPr="00142452">
        <w:t xml:space="preserve">har </w:t>
      </w:r>
      <w:r w:rsidRPr="00142452">
        <w:t>ett program som till innehållet inte exakt motsvarar det som ges i den ko</w:t>
      </w:r>
      <w:r w:rsidRPr="00142452">
        <w:t>m</w:t>
      </w:r>
      <w:r w:rsidRPr="00142452">
        <w:t xml:space="preserve">munala skolan, men </w:t>
      </w:r>
      <w:r w:rsidR="00C44132" w:rsidRPr="00142452">
        <w:t xml:space="preserve">som </w:t>
      </w:r>
      <w:r w:rsidRPr="00142452">
        <w:t>ändå bestämmer ersättning</w:t>
      </w:r>
      <w:r w:rsidRPr="00142452">
        <w:t>s</w:t>
      </w:r>
      <w:r w:rsidRPr="00142452">
        <w:t xml:space="preserve">nivån. Det innebär också en finansiell osäkerhet för skolan i de fall man tar emot elever från en rad olika kommuner.  </w:t>
      </w:r>
    </w:p>
    <w:p w:rsidR="006C0C91" w:rsidRPr="00142452" w:rsidRDefault="006C0C91" w:rsidP="006C0C91">
      <w:pPr>
        <w:pStyle w:val="Normaltindrag"/>
      </w:pPr>
      <w:r w:rsidRPr="00142452">
        <w:t>Skolverket har följt upp hur de nya reglerna för fristående gymnasieskolor tillämpas.</w:t>
      </w:r>
      <w:r w:rsidRPr="00142452">
        <w:rPr>
          <w:rStyle w:val="Fotnotsreferens"/>
        </w:rPr>
        <w:footnoteReference w:id="10"/>
      </w:r>
      <w:r w:rsidRPr="00142452">
        <w:t xml:space="preserve"> Eftersom nuvarande ersättningssystem för gymnasieskolorna är i stort sett detsamma som för grundskolorna är </w:t>
      </w:r>
      <w:r w:rsidR="00A5393C" w:rsidRPr="00142452">
        <w:t>Skolverkets</w:t>
      </w:r>
      <w:r w:rsidRPr="00142452">
        <w:t xml:space="preserve"> slutsatser också intressanta med avseende på fristående grundskolor. Skolverket framhäver behovet av tydlig inform</w:t>
      </w:r>
      <w:r w:rsidRPr="00142452">
        <w:t>a</w:t>
      </w:r>
      <w:r w:rsidRPr="00142452">
        <w:t>tion mellan parterna i nuvarande system samt att den fristående skolans åt</w:t>
      </w:r>
      <w:r w:rsidRPr="00142452">
        <w:t>a</w:t>
      </w:r>
      <w:r w:rsidRPr="00142452">
        <w:t>gande måste kunna bedömas med samma måttstock som för de kommunala skolorna. Skolverket menar i sin rapport att de frist</w:t>
      </w:r>
      <w:r w:rsidRPr="00142452">
        <w:t>å</w:t>
      </w:r>
      <w:r w:rsidRPr="00142452">
        <w:t>ende skolorna är mycket beroende av kommunernas tolkning av ersättning</w:t>
      </w:r>
      <w:r w:rsidRPr="00142452">
        <w:t>s</w:t>
      </w:r>
      <w:r w:rsidRPr="00142452">
        <w:t xml:space="preserve">systemet. Samtidigt är det i praktiken omöjligt att överklaga ett beslut om bidrag som fattats av en annan kommun än </w:t>
      </w:r>
      <w:r w:rsidR="00C44132" w:rsidRPr="00142452">
        <w:t xml:space="preserve">den </w:t>
      </w:r>
      <w:r w:rsidRPr="00142452">
        <w:t>där skolan är belägen. Sko</w:t>
      </w:r>
      <w:r w:rsidRPr="00142452">
        <w:t>l</w:t>
      </w:r>
      <w:r w:rsidRPr="00142452">
        <w:t>verket framför också kritik över den stora variationen i bidrag mellan ko</w:t>
      </w:r>
      <w:r w:rsidRPr="00142452">
        <w:t>m</w:t>
      </w:r>
      <w:r w:rsidRPr="00142452">
        <w:t>muner och påpekar att det innebär bristande likvärdighet i tillgången till u</w:t>
      </w:r>
      <w:r w:rsidRPr="00142452">
        <w:t>t</w:t>
      </w:r>
      <w:r w:rsidRPr="00142452">
        <w:t xml:space="preserve">bildning. </w:t>
      </w:r>
    </w:p>
    <w:p w:rsidR="006C0C91" w:rsidRPr="00142452" w:rsidRDefault="006C0C91" w:rsidP="006C0C91">
      <w:pPr>
        <w:pStyle w:val="Rubrik2"/>
      </w:pPr>
      <w:r w:rsidRPr="00142452">
        <w:t>Sena besked om ersättning</w:t>
      </w:r>
    </w:p>
    <w:p w:rsidR="006C0C91" w:rsidRPr="00142452" w:rsidRDefault="006C0C91" w:rsidP="006C0C91">
      <w:r w:rsidRPr="00142452">
        <w:t>I många kommuner fastställs bidragsbeloppet på ett sent stadium, vilket fö</w:t>
      </w:r>
      <w:r w:rsidRPr="00142452">
        <w:t>r</w:t>
      </w:r>
      <w:r w:rsidRPr="00142452">
        <w:t>svårar planeringsarbetet för skolan. I andra kommuner krävs medel tillbaka från skolor på grund av att kommunen i efterhand anser att bidraget överstigit kommunens budgeterade kostnader. Detta påverkar naturligtvis förutsättnin</w:t>
      </w:r>
      <w:r w:rsidRPr="00142452">
        <w:t>g</w:t>
      </w:r>
      <w:r w:rsidRPr="00142452">
        <w:t xml:space="preserve">arna för friskolorna negativt.  </w:t>
      </w:r>
    </w:p>
    <w:p w:rsidR="006C0C91" w:rsidRPr="00142452" w:rsidRDefault="006C0C91" w:rsidP="006C0C91">
      <w:pPr>
        <w:pStyle w:val="Rubrik2"/>
      </w:pPr>
      <w:r w:rsidRPr="00142452">
        <w:t>Hinder för att motverka nyetableringar</w:t>
      </w:r>
    </w:p>
    <w:p w:rsidR="006C0C91" w:rsidRPr="00142452" w:rsidRDefault="006C0C91" w:rsidP="006C0C91">
      <w:r w:rsidRPr="00142452">
        <w:t>Ett särskilt problem utgörs av att kommuner kan använda plan-, bygg- och lokalfrågor för att hindra etablering av fristående skolor. När så sker utgår kommunen inte från sina invånares intresse av alternativ och valfrihet i sk</w:t>
      </w:r>
      <w:r w:rsidRPr="00142452">
        <w:t>o</w:t>
      </w:r>
      <w:r w:rsidRPr="00142452">
        <w:t>lan. De verkar istället från ett intresse av att skydda den egendrivna verksa</w:t>
      </w:r>
      <w:r w:rsidRPr="00142452">
        <w:t>m</w:t>
      </w:r>
      <w:r w:rsidRPr="00142452">
        <w:t>heten från konkurrens.</w:t>
      </w:r>
    </w:p>
    <w:p w:rsidR="006C0C91" w:rsidRPr="00142452" w:rsidRDefault="006C0C91" w:rsidP="006C0C91">
      <w:pPr>
        <w:pStyle w:val="Normaltindrag"/>
      </w:pPr>
      <w:r w:rsidRPr="00142452">
        <w:t>Tidigare hindrades många fristående skolor</w:t>
      </w:r>
      <w:r w:rsidR="00C44132" w:rsidRPr="00142452">
        <w:t>,</w:t>
      </w:r>
      <w:r w:rsidRPr="00142452">
        <w:t xml:space="preserve"> som blivit godkända av Sko</w:t>
      </w:r>
      <w:r w:rsidRPr="00142452">
        <w:t>l</w:t>
      </w:r>
      <w:r w:rsidRPr="00142452">
        <w:t>verket</w:t>
      </w:r>
      <w:r w:rsidR="00C44132" w:rsidRPr="00142452">
        <w:t>,</w:t>
      </w:r>
      <w:r w:rsidRPr="00142452">
        <w:t xml:space="preserve"> att starta sin verksamhet på grund av att de inte fick tag på lämpliga lokaler. Här fanns stora möjligheter för kommuner som önskade försvåra nyetableringar att inte vara friskolorna behjälpliga med, eller att aktivt försv</w:t>
      </w:r>
      <w:r w:rsidRPr="00142452">
        <w:t>å</w:t>
      </w:r>
      <w:r w:rsidRPr="00142452">
        <w:t>ra möjligheten för skolor</w:t>
      </w:r>
      <w:r w:rsidR="00AA7843" w:rsidRPr="00142452">
        <w:t>na, att hitta lokaler. När allt</w:t>
      </w:r>
      <w:r w:rsidRPr="00142452">
        <w:t>fler friskolor med til</w:t>
      </w:r>
      <w:r w:rsidRPr="00142452">
        <w:t>l</w:t>
      </w:r>
      <w:r w:rsidRPr="00142452">
        <w:t>stånd inte hade möjlighe</w:t>
      </w:r>
      <w:r w:rsidR="00AA7843" w:rsidRPr="00142452">
        <w:t>t att starta verksamheten på grund av</w:t>
      </w:r>
      <w:r w:rsidRPr="00142452">
        <w:t xml:space="preserve"> lokalbristen, ledde detta till att Skolverket skärpte kraven för att ge en fristående skola rätt att starta. </w:t>
      </w:r>
      <w:r w:rsidR="00AA7843" w:rsidRPr="00142452">
        <w:t>Verket</w:t>
      </w:r>
      <w:r w:rsidRPr="00142452">
        <w:t xml:space="preserve"> införde krav på att skolan redan </w:t>
      </w:r>
      <w:r w:rsidRPr="00142452">
        <w:rPr>
          <w:i/>
        </w:rPr>
        <w:t xml:space="preserve">vid ansökningstillfället </w:t>
      </w:r>
      <w:r w:rsidRPr="00142452">
        <w:t>sku</w:t>
      </w:r>
      <w:r w:rsidRPr="00142452">
        <w:t>l</w:t>
      </w:r>
      <w:r w:rsidRPr="00142452">
        <w:t>le ha lokalerna klara. Det är ett orimligt krav i sig. Det ger dessutom komm</w:t>
      </w:r>
      <w:r w:rsidRPr="00142452">
        <w:t>u</w:t>
      </w:r>
      <w:r w:rsidRPr="00142452">
        <w:t>nerna än större möjligheter att förhindra nya etableringar om de så önskar. Sedan Skolverket skärpte reglerna har antalet ansökningar om att starta frist</w:t>
      </w:r>
      <w:r w:rsidRPr="00142452">
        <w:t>å</w:t>
      </w:r>
      <w:r w:rsidRPr="00142452">
        <w:t xml:space="preserve">ende skolor minskat drastiskt.  </w:t>
      </w:r>
    </w:p>
    <w:p w:rsidR="006C0C91" w:rsidRPr="00142452" w:rsidRDefault="006C0C91" w:rsidP="006C0C91">
      <w:pPr>
        <w:pStyle w:val="Rubrik2"/>
      </w:pPr>
      <w:r w:rsidRPr="00142452">
        <w:t>Skolskjuts</w:t>
      </w:r>
    </w:p>
    <w:p w:rsidR="006C0C91" w:rsidRPr="00142452" w:rsidRDefault="006C0C91" w:rsidP="006C0C91">
      <w:r w:rsidRPr="00142452">
        <w:t xml:space="preserve">Skollagen ger kommunerna möjlighet att neka en elev skolskjuts om eleven valt en annan skola än den som kommunen anvisat. I kommuner som gör så kan elevers möjlighet att aktivt välja skola därmed kraftigt begränsas.  </w:t>
      </w:r>
    </w:p>
    <w:p w:rsidR="006C0C91" w:rsidRPr="00142452" w:rsidRDefault="006C0C91" w:rsidP="006C0C91">
      <w:pPr>
        <w:pStyle w:val="Rubrik2"/>
      </w:pPr>
      <w:r w:rsidRPr="00142452">
        <w:t>Inför rättvisa bidragsregler</w:t>
      </w:r>
    </w:p>
    <w:p w:rsidR="006C0C91" w:rsidRPr="00142452" w:rsidRDefault="006C0C91" w:rsidP="006C0C91">
      <w:r w:rsidRPr="00142452">
        <w:t>Kommunernas beräkningsunderlag för ersät</w:t>
      </w:r>
      <w:r w:rsidRPr="00142452">
        <w:t>t</w:t>
      </w:r>
      <w:r w:rsidRPr="00142452">
        <w:t>ningen till de fristående skolorna behöver bli betydligt mer enhetligt och transparent. Med dagens ersättning</w:t>
      </w:r>
      <w:r w:rsidRPr="00142452">
        <w:t>s</w:t>
      </w:r>
      <w:r w:rsidRPr="00142452">
        <w:t>system är de fristående skolorna beroende av kommunledningens välvilja i</w:t>
      </w:r>
      <w:r w:rsidR="00AA7843" w:rsidRPr="00142452">
        <w:t xml:space="preserve"> </w:t>
      </w:r>
      <w:r w:rsidRPr="00142452">
        <w:t>fråga om hur stor ersättningen per elev ska</w:t>
      </w:r>
      <w:r w:rsidR="00C44132" w:rsidRPr="00142452">
        <w:t>ll</w:t>
      </w:r>
      <w:r w:rsidRPr="00142452">
        <w:t xml:space="preserve"> bli. Så skall det inte vara. </w:t>
      </w:r>
    </w:p>
    <w:p w:rsidR="006C0C91" w:rsidRPr="00142452" w:rsidRDefault="006C0C91" w:rsidP="006C0C91">
      <w:pPr>
        <w:pStyle w:val="Normaltindrag"/>
      </w:pPr>
      <w:r w:rsidRPr="00142452">
        <w:t xml:space="preserve">Vi föreslår att </w:t>
      </w:r>
      <w:r w:rsidR="00AA7843" w:rsidRPr="00142452">
        <w:t xml:space="preserve">skollagen </w:t>
      </w:r>
      <w:r w:rsidRPr="00142452">
        <w:t>förtydligas så att det framgår att skolpliktskostn</w:t>
      </w:r>
      <w:r w:rsidRPr="00142452">
        <w:t>a</w:t>
      </w:r>
      <w:r w:rsidRPr="00142452">
        <w:t xml:space="preserve">der </w:t>
      </w:r>
      <w:r w:rsidRPr="00142452">
        <w:rPr>
          <w:i/>
        </w:rPr>
        <w:t>inte</w:t>
      </w:r>
      <w:r w:rsidRPr="00142452">
        <w:t xml:space="preserve"> får utgöra underlag för att fastställa en fristående skolas bidrag. Kommunernas skyldigheter att tillhandahålla utbildning till alla skolpliktiga elever ersätts genom det allmänna statbidraget och är inte en kostnad s</w:t>
      </w:r>
      <w:r w:rsidR="00AA7843" w:rsidRPr="00142452">
        <w:t>om uppstår på grund av</w:t>
      </w:r>
      <w:r w:rsidRPr="00142452">
        <w:t xml:space="preserve"> </w:t>
      </w:r>
      <w:r w:rsidR="00C44132" w:rsidRPr="00142452">
        <w:t xml:space="preserve">att </w:t>
      </w:r>
      <w:r w:rsidRPr="00142452">
        <w:t xml:space="preserve">fristående skolor etableras. Det skall i </w:t>
      </w:r>
      <w:r w:rsidR="00AA7843" w:rsidRPr="00142452">
        <w:t xml:space="preserve">skollagen </w:t>
      </w:r>
      <w:r w:rsidRPr="00142452">
        <w:t>vid</w:t>
      </w:r>
      <w:r w:rsidRPr="00142452">
        <w:t>a</w:t>
      </w:r>
      <w:r w:rsidRPr="00142452">
        <w:t xml:space="preserve">re framgå att en fristående skola skall ersättas för moms, antingen genom att ersättning ges motsvarande skolans faktiska kostnad eller i enlighet med </w:t>
      </w:r>
      <w:r w:rsidR="00AA7843" w:rsidRPr="00142452">
        <w:t>6-procents</w:t>
      </w:r>
      <w:r w:rsidRPr="00142452">
        <w:t xml:space="preserve">schablonen. Därutöver föreslår vi att det i </w:t>
      </w:r>
      <w:r w:rsidR="00AA7843" w:rsidRPr="00142452">
        <w:t xml:space="preserve">skollagen </w:t>
      </w:r>
      <w:r w:rsidRPr="00142452">
        <w:t xml:space="preserve">införs krav på att kommunen till den fristående skolan skall specificera de beräkningsgrunder som använts för att fastställa bidragsnivån. Ersättning för lokalkostnader respektive administrativa kostnader skall tydligt framgå. I redovisningen skall eventuella avvikelser från de kommunala skolornas ersättning framgå och motiveras. Skollagen skall även ange att kommunen är skyldig att meddela bidragsbeloppets storlek i god tid före terminsstart.   </w:t>
      </w:r>
    </w:p>
    <w:p w:rsidR="006C0C91" w:rsidRPr="00142452" w:rsidRDefault="006C0C91" w:rsidP="006C0C91">
      <w:pPr>
        <w:pStyle w:val="Normaltindrag"/>
      </w:pPr>
      <w:r w:rsidRPr="00142452">
        <w:rPr>
          <w:highlight w:val="yellow"/>
        </w:rPr>
        <w:t xml:space="preserve">Vi anser också att regeringen bör ge Skolverket i uppdrag att utforma en normalprislista för ersättningsnivån </w:t>
      </w:r>
      <w:r w:rsidR="00AA7843" w:rsidRPr="00142452">
        <w:rPr>
          <w:highlight w:val="yellow"/>
        </w:rPr>
        <w:t>till fristående grundskolor. En</w:t>
      </w:r>
      <w:r w:rsidRPr="00142452">
        <w:rPr>
          <w:highlight w:val="yellow"/>
        </w:rPr>
        <w:t xml:space="preserve"> sådan riksnorm skall kunna ligga till grund för överenskommelser mellan kommun och skola och användas vid eventuella tvister. På detta sätt får fristående utövare</w:t>
      </w:r>
      <w:r w:rsidRPr="00142452">
        <w:t xml:space="preserve"> större framförhållning i planeringen. Det möjliggör en långsiktig planering.   </w:t>
      </w:r>
    </w:p>
    <w:p w:rsidR="006C0C91" w:rsidRPr="00142452" w:rsidRDefault="006C0C91" w:rsidP="006C0C91">
      <w:pPr>
        <w:pStyle w:val="Rubrik2"/>
      </w:pPr>
      <w:bookmarkStart w:id="17" w:name="_Toc84406025"/>
      <w:bookmarkStart w:id="18" w:name="_Toc85783835"/>
      <w:r w:rsidRPr="00142452">
        <w:t>Återinför riksprislistan</w:t>
      </w:r>
      <w:bookmarkEnd w:id="17"/>
      <w:bookmarkEnd w:id="18"/>
      <w:r w:rsidRPr="00142452">
        <w:t xml:space="preserve"> för gymnasieskolorna</w:t>
      </w:r>
    </w:p>
    <w:p w:rsidR="006C0C91" w:rsidRPr="00142452" w:rsidRDefault="006C0C91" w:rsidP="006C0C91">
      <w:r w:rsidRPr="00142452">
        <w:t>Vi vill att den s</w:t>
      </w:r>
      <w:r w:rsidR="00AA7843" w:rsidRPr="00142452">
        <w:t>.</w:t>
      </w:r>
      <w:r w:rsidRPr="00142452">
        <w:t>k</w:t>
      </w:r>
      <w:r w:rsidR="00AA7843" w:rsidRPr="00142452">
        <w:t>.</w:t>
      </w:r>
      <w:r w:rsidRPr="00142452">
        <w:t xml:space="preserve"> riksprislistan för fristående gymnasieskolor återinförs. Genom riksprislistan garanteras eleverna att skolorna långsiktigt kan planera verksamheten. Rättssäkerheten för de fristående skolorna stärks också efte</w:t>
      </w:r>
      <w:r w:rsidRPr="00142452">
        <w:t>r</w:t>
      </w:r>
      <w:r w:rsidRPr="00142452">
        <w:t>som det vid tvister om beräkningsgrunder finns en av staten fastställd norm att utgå från. Vi föreslår därför att riksprislistan införs som grund för en fr</w:t>
      </w:r>
      <w:r w:rsidRPr="00142452">
        <w:t>i</w:t>
      </w:r>
      <w:r w:rsidRPr="00142452">
        <w:t xml:space="preserve">stående gymnasieskolas bidragsbelopp. </w:t>
      </w:r>
    </w:p>
    <w:p w:rsidR="006C0C91" w:rsidRPr="00142452" w:rsidRDefault="006C0C91" w:rsidP="006C0C91">
      <w:pPr>
        <w:pStyle w:val="Rubrik2"/>
      </w:pPr>
      <w:r w:rsidRPr="00142452">
        <w:t>Inför rätt att överklaga beslut i förvaltningsdomstol</w:t>
      </w:r>
    </w:p>
    <w:p w:rsidR="006C0C91" w:rsidRPr="00142452" w:rsidRDefault="006C0C91" w:rsidP="006C0C91">
      <w:pPr>
        <w:rPr>
          <w:highlight w:val="yellow"/>
        </w:rPr>
      </w:pPr>
      <w:r w:rsidRPr="00142452">
        <w:rPr>
          <w:highlight w:val="yellow"/>
        </w:rPr>
        <w:t>I dagsläget kan en kommuns bidragsbeslut till en fristående skola genom laglighetsprövning undanröjas om det anses oskäligt. Däremot kan en sådan prövning inte leda till att ett nytt bidragsbelopp fastställs av domstolen. Det innebär att kommuner som vill motverka en fristående skola helt enkelt kan fatta ett nytt, olagligt</w:t>
      </w:r>
      <w:r w:rsidR="00AA7843" w:rsidRPr="00142452">
        <w:rPr>
          <w:highlight w:val="yellow"/>
        </w:rPr>
        <w:t>,</w:t>
      </w:r>
      <w:r w:rsidRPr="00142452">
        <w:rPr>
          <w:highlight w:val="yellow"/>
        </w:rPr>
        <w:t xml:space="preserve"> beslut om en för låg bidragsnivå. Det kommer att inn</w:t>
      </w:r>
      <w:r w:rsidRPr="00142452">
        <w:rPr>
          <w:highlight w:val="yellow"/>
        </w:rPr>
        <w:t>e</w:t>
      </w:r>
      <w:r w:rsidRPr="00142452">
        <w:rPr>
          <w:highlight w:val="yellow"/>
        </w:rPr>
        <w:t>bära en ny domstolsprocess som drar ut på tiden. Under tiden måste den fr</w:t>
      </w:r>
      <w:r w:rsidRPr="00142452">
        <w:rPr>
          <w:highlight w:val="yellow"/>
        </w:rPr>
        <w:t>i</w:t>
      </w:r>
      <w:r w:rsidRPr="00142452">
        <w:rPr>
          <w:highlight w:val="yellow"/>
        </w:rPr>
        <w:t xml:space="preserve">stående skolan verka under stor osäkerhet och med sämre finansiella villkor än de kommunala skolorna. Eleverna på skolan blir lidande för att de valt en skola med fristående huvudman. Detta är en helt orimlig ordning. </w:t>
      </w:r>
    </w:p>
    <w:p w:rsidR="006C0C91" w:rsidRPr="00142452" w:rsidRDefault="006C0C91" w:rsidP="006C0C91">
      <w:pPr>
        <w:pStyle w:val="Normaltindrag"/>
        <w:rPr>
          <w:highlight w:val="yellow"/>
        </w:rPr>
      </w:pPr>
      <w:r w:rsidRPr="00142452">
        <w:rPr>
          <w:highlight w:val="yellow"/>
        </w:rPr>
        <w:t>Ett annat problem är att endast invånare i den kommun där beslutet är fa</w:t>
      </w:r>
      <w:r w:rsidRPr="00142452">
        <w:rPr>
          <w:highlight w:val="yellow"/>
        </w:rPr>
        <w:t>t</w:t>
      </w:r>
      <w:r w:rsidRPr="00142452">
        <w:rPr>
          <w:highlight w:val="yellow"/>
        </w:rPr>
        <w:t xml:space="preserve">tat har rätt att överklaga. Den fristående skolan kan således inte överklaga en kommuns beslut om bidrag.   </w:t>
      </w:r>
    </w:p>
    <w:p w:rsidR="006C0C91" w:rsidRPr="00142452" w:rsidRDefault="006C0C91" w:rsidP="006C0C91">
      <w:pPr>
        <w:pStyle w:val="Normaltindrag"/>
        <w:rPr>
          <w:highlight w:val="yellow"/>
        </w:rPr>
      </w:pPr>
      <w:r w:rsidRPr="00142452">
        <w:rPr>
          <w:highlight w:val="yellow"/>
        </w:rPr>
        <w:t>Som redan har nämnts ovan, har Skolverket kritiserat kommunernas ti</w:t>
      </w:r>
      <w:r w:rsidRPr="00142452">
        <w:rPr>
          <w:highlight w:val="yellow"/>
        </w:rPr>
        <w:t>l</w:t>
      </w:r>
      <w:r w:rsidRPr="00142452">
        <w:rPr>
          <w:highlight w:val="yellow"/>
        </w:rPr>
        <w:t>lämpning av ersättningssystemet på gymnasienivå – ett system som liknar det som finns för grundskolan – och anser att kommunerna skapat sig genvägar i systemet. Skolverket anser bl.a. att det borde vara möjligt för fristående sk</w:t>
      </w:r>
      <w:r w:rsidRPr="00142452">
        <w:rPr>
          <w:highlight w:val="yellow"/>
        </w:rPr>
        <w:t>o</w:t>
      </w:r>
      <w:r w:rsidRPr="00142452">
        <w:rPr>
          <w:highlight w:val="yellow"/>
        </w:rPr>
        <w:t xml:space="preserve">lor att överklaga kommunala beslut om bidragets storlek genom att möjlighet till förvaltningsbesvär skrivs in i </w:t>
      </w:r>
      <w:r w:rsidR="00AA7843" w:rsidRPr="00142452">
        <w:rPr>
          <w:highlight w:val="yellow"/>
        </w:rPr>
        <w:t>skollagen</w:t>
      </w:r>
      <w:r w:rsidRPr="00142452">
        <w:rPr>
          <w:highlight w:val="yellow"/>
        </w:rPr>
        <w:t>. Vi håller med om detta. Vi för</w:t>
      </w:r>
      <w:r w:rsidRPr="00142452">
        <w:rPr>
          <w:highlight w:val="yellow"/>
        </w:rPr>
        <w:t>e</w:t>
      </w:r>
      <w:r w:rsidRPr="00142452">
        <w:rPr>
          <w:highlight w:val="yellow"/>
        </w:rPr>
        <w:t>slår att fristående skolor ges rätt att få bidragen prövade av allmän förval</w:t>
      </w:r>
      <w:r w:rsidRPr="00142452">
        <w:rPr>
          <w:highlight w:val="yellow"/>
        </w:rPr>
        <w:t>t</w:t>
      </w:r>
      <w:r w:rsidRPr="00142452">
        <w:rPr>
          <w:highlight w:val="yellow"/>
        </w:rPr>
        <w:t xml:space="preserve">ningsdomstol genom förvaltningsbesvär.  </w:t>
      </w:r>
    </w:p>
    <w:p w:rsidR="006C0C91" w:rsidRPr="00142452" w:rsidRDefault="006C0C91" w:rsidP="006C0C91">
      <w:pPr>
        <w:pStyle w:val="Rubrik2"/>
      </w:pPr>
      <w:r w:rsidRPr="00142452">
        <w:t xml:space="preserve">Inför rimliga villkor   </w:t>
      </w:r>
    </w:p>
    <w:p w:rsidR="006C0C91" w:rsidRPr="00142452" w:rsidRDefault="006C0C91" w:rsidP="00AA7843">
      <w:r w:rsidRPr="00142452">
        <w:t>Villkoren för de fristående skolorna kan förbättras avsevärt genom att Sko</w:t>
      </w:r>
      <w:r w:rsidRPr="00142452">
        <w:t>l</w:t>
      </w:r>
      <w:r w:rsidRPr="00142452">
        <w:t>verkets handläggningar av ansökningar påskyndas och genom att orimliga krav, som att lokalfrågan skall va</w:t>
      </w:r>
      <w:r w:rsidR="00AA7843" w:rsidRPr="00142452">
        <w:t>ra löst vid ansökningstillfället</w:t>
      </w:r>
      <w:r w:rsidRPr="00142452">
        <w:t>, tas bort. Vi föreslår därför att Skolverket ges resurser att påskynda handläggningen och ta</w:t>
      </w:r>
      <w:r w:rsidR="00AA7843" w:rsidRPr="00142452">
        <w:t>r</w:t>
      </w:r>
      <w:r w:rsidRPr="00142452">
        <w:t xml:space="preserve"> bort kravet på att lokaler skall vara klara vid ansökningstillfället.  </w:t>
      </w:r>
    </w:p>
    <w:p w:rsidR="006C0C91" w:rsidRPr="00142452" w:rsidRDefault="006C0C91" w:rsidP="006C0C91">
      <w:pPr>
        <w:pStyle w:val="Normaltindrag"/>
      </w:pPr>
      <w:r w:rsidRPr="00142452">
        <w:t>I 9 kap. 2</w:t>
      </w:r>
      <w:r w:rsidR="00AA7843" w:rsidRPr="00142452">
        <w:t xml:space="preserve"> </w:t>
      </w:r>
      <w:r w:rsidRPr="00142452">
        <w:t>§</w:t>
      </w:r>
      <w:r w:rsidR="00AA7843" w:rsidRPr="00142452">
        <w:t xml:space="preserve"> skollagen</w:t>
      </w:r>
      <w:r w:rsidRPr="00142452">
        <w:t xml:space="preserve"> anges som en grund för godkännande att en friståe</w:t>
      </w:r>
      <w:r w:rsidRPr="00142452">
        <w:t>n</w:t>
      </w:r>
      <w:r w:rsidRPr="00142452">
        <w:t xml:space="preserve">de skola måste ha minst 20 elever, om det inte finns särskilda skäl för ett lägre elevantal. Eftersom detta i onödan gör det svårt för glesbygdsskolor att starta, föreslår vi att detta krav för godkännande tas bort ur </w:t>
      </w:r>
      <w:r w:rsidR="00AA7843" w:rsidRPr="00142452">
        <w:t>skollagen</w:t>
      </w:r>
      <w:r w:rsidRPr="00142452">
        <w:t xml:space="preserve">. </w:t>
      </w:r>
    </w:p>
    <w:p w:rsidR="006C0C91" w:rsidRPr="00142452" w:rsidRDefault="006C0C91" w:rsidP="006C0C91">
      <w:pPr>
        <w:pStyle w:val="Normaltindrag"/>
      </w:pPr>
      <w:r w:rsidRPr="00142452">
        <w:t>I sammanhanget vill vi också lyfta fram möjligheten att skolskjuts inte skall styras av skolans huvudmannaskap. Begränsad tillgång till skolskjuts kan i praktiken innebära kraftigt begränsade valmöjligheter för eleverna. Det är rimligt att kommuner bekostar skolskjuts även till fristående skolor så länge det inte innebär en merkostnad för kommunen. I 4 kap. 7</w:t>
      </w:r>
      <w:r w:rsidR="00AA7843" w:rsidRPr="00142452">
        <w:t xml:space="preserve"> </w:t>
      </w:r>
      <w:r w:rsidRPr="00142452">
        <w:t>§</w:t>
      </w:r>
      <w:r w:rsidR="00AA7843" w:rsidRPr="00142452">
        <w:t xml:space="preserve"> skollagen</w:t>
      </w:r>
      <w:r w:rsidRPr="00142452">
        <w:t xml:space="preserve"> anges idag att hemkommunens skyldighet att tillhandahålla skolskjuts inte skall gälla elever som valt att gå i ”en annan grundskola än den som komm</w:t>
      </w:r>
      <w:r w:rsidRPr="00142452">
        <w:t>u</w:t>
      </w:r>
      <w:r w:rsidRPr="00142452">
        <w:t xml:space="preserve">nen annars skulle ha placerat dem i om något önskemål om en viss skola inte framställts”. Vi föreslår således att denna skrivning i </w:t>
      </w:r>
      <w:r w:rsidR="00AA7843" w:rsidRPr="00142452">
        <w:t xml:space="preserve">skollagen </w:t>
      </w:r>
      <w:r w:rsidRPr="00142452">
        <w:t xml:space="preserve">tas bort.  </w:t>
      </w:r>
    </w:p>
    <w:p w:rsidR="006C0C91" w:rsidRPr="00142452" w:rsidRDefault="006C0C91" w:rsidP="006C0C91">
      <w:pPr>
        <w:pStyle w:val="Rubrik2"/>
      </w:pPr>
      <w:bookmarkStart w:id="19" w:name="_Toc84260747"/>
      <w:bookmarkStart w:id="20" w:name="_Toc84321352"/>
      <w:bookmarkStart w:id="21" w:name="_Toc84405911"/>
      <w:bookmarkStart w:id="22" w:name="_Toc84406026"/>
      <w:bookmarkStart w:id="23" w:name="_Toc85783836"/>
      <w:r w:rsidRPr="00142452">
        <w:t>Relevanta och likvärdiga kvalitetsgranskningar</w:t>
      </w:r>
      <w:bookmarkEnd w:id="19"/>
      <w:bookmarkEnd w:id="20"/>
      <w:bookmarkEnd w:id="21"/>
      <w:bookmarkEnd w:id="22"/>
      <w:bookmarkEnd w:id="23"/>
      <w:r w:rsidRPr="00142452">
        <w:t xml:space="preserve"> </w:t>
      </w:r>
    </w:p>
    <w:p w:rsidR="006C0C91" w:rsidRPr="00142452" w:rsidRDefault="006C0C91" w:rsidP="00AA7843">
      <w:r w:rsidRPr="00142452">
        <w:t>Skolverket gavs förra året i uppdrag av regeringen att utföra särskilda grans</w:t>
      </w:r>
      <w:r w:rsidRPr="00142452">
        <w:t>k</w:t>
      </w:r>
      <w:r w:rsidRPr="00142452">
        <w:t>nin</w:t>
      </w:r>
      <w:r w:rsidRPr="00142452">
        <w:t>g</w:t>
      </w:r>
      <w:r w:rsidRPr="00142452">
        <w:t>ar av de konfessionella friskolorna. Detta är en särbehandling som vi ifråg</w:t>
      </w:r>
      <w:r w:rsidRPr="00142452">
        <w:t>a</w:t>
      </w:r>
      <w:r w:rsidRPr="00142452">
        <w:t xml:space="preserve">sätter. </w:t>
      </w:r>
    </w:p>
    <w:p w:rsidR="006C0C91" w:rsidRPr="00142452" w:rsidRDefault="006C0C91" w:rsidP="006C0C91">
      <w:pPr>
        <w:pStyle w:val="Normaltindrag"/>
      </w:pPr>
      <w:r w:rsidRPr="00142452">
        <w:t>Undervisning i svenska skolor skall vara icke-konfessionell. Däremot kan en skola ha en konfessionell inriktning. Undervisningen skall vara allsidig och saklig. Värdegrunden skall respekteras. Dessa skolor skall kvalitetsgran</w:t>
      </w:r>
      <w:r w:rsidRPr="00142452">
        <w:t>s</w:t>
      </w:r>
      <w:r w:rsidRPr="00142452">
        <w:t>kas på sa</w:t>
      </w:r>
      <w:r w:rsidRPr="00142452">
        <w:t>m</w:t>
      </w:r>
      <w:r w:rsidRPr="00142452">
        <w:t>ma sätt som alla andra skolor. Rektorer och skolledare som inte följer skoll</w:t>
      </w:r>
      <w:r w:rsidRPr="00142452">
        <w:t>a</w:t>
      </w:r>
      <w:r w:rsidRPr="00142452">
        <w:t xml:space="preserve">gen skall inte få driva skolor. Det gäller vare sig de verkar </w:t>
      </w:r>
      <w:r w:rsidR="00C44132" w:rsidRPr="00142452">
        <w:t xml:space="preserve">i </w:t>
      </w:r>
      <w:r w:rsidRPr="00142452">
        <w:t xml:space="preserve">en fristående eller kommunal skola. </w:t>
      </w:r>
    </w:p>
    <w:p w:rsidR="006C0C91" w:rsidRPr="00142452" w:rsidRDefault="006C0C91" w:rsidP="006C0C91">
      <w:pPr>
        <w:pStyle w:val="Normaltindrag"/>
      </w:pPr>
      <w:r w:rsidRPr="00142452">
        <w:t>Trots att Skolverkets granskning av de konfessionella skolorna kom fram till att ”skolornas verksamhet inte strider mot de allmänna mål och den värd</w:t>
      </w:r>
      <w:r w:rsidRPr="00142452">
        <w:t>e</w:t>
      </w:r>
      <w:r w:rsidRPr="00142452">
        <w:t>grund som gäller för all utbildning inom det offentliga skolväsendet”</w:t>
      </w:r>
      <w:r w:rsidR="00AA7843" w:rsidRPr="00142452">
        <w:t>,</w:t>
      </w:r>
      <w:r w:rsidRPr="00142452">
        <w:t xml:space="preserve"> menade den dåvarande socialdemokratiska skolministern att han ”höjer ett varnande finger till religiösa friskolor”. Det är allvarligt att granskningen av skolan har blivit alltmer politiserad. Skolverkets beslut överprövas i praktiken av rege</w:t>
      </w:r>
      <w:r w:rsidRPr="00142452">
        <w:t>r</w:t>
      </w:r>
      <w:r w:rsidRPr="00142452">
        <w:t xml:space="preserve">ingen, som i svepande generaliseringar dömer ut en hel kategori </w:t>
      </w:r>
      <w:r w:rsidR="00C44132" w:rsidRPr="00142452">
        <w:t xml:space="preserve">av </w:t>
      </w:r>
      <w:r w:rsidRPr="00142452">
        <w:t xml:space="preserve">skolor.  </w:t>
      </w:r>
    </w:p>
    <w:p w:rsidR="006C0C91" w:rsidRPr="00142452" w:rsidRDefault="006C0C91" w:rsidP="006C0C91">
      <w:pPr>
        <w:pStyle w:val="Normaltindrag"/>
        <w:rPr>
          <w:snapToGrid w:val="0"/>
        </w:rPr>
      </w:pPr>
      <w:r w:rsidRPr="00142452">
        <w:rPr>
          <w:snapToGrid w:val="0"/>
        </w:rPr>
        <w:t xml:space="preserve">Alla skolor skall behandlas lika. Av detta följer att staten skall godkänna alla skolor och också kunna dra in tillståndet – och rätten till bidrag – för skolor som inte uppfyller de grundläggande kvalitetskraven. </w:t>
      </w:r>
    </w:p>
    <w:p w:rsidR="006C0C91" w:rsidRPr="00142452" w:rsidRDefault="006C0C91" w:rsidP="006C0C91">
      <w:pPr>
        <w:pStyle w:val="Normaltindrag"/>
      </w:pPr>
      <w:r w:rsidRPr="00142452">
        <w:t>Regeringen anser också att fristående skolor skall vara skyldiga att delta i den uppföljning och utvärdering som en kommun gör av det kommunala skolväsendet. Vi delar inte den uppfattningen. Det är inte acceptabelt att kommunerna som själva driver egna skolor samtidigt har insyns- och grans</w:t>
      </w:r>
      <w:r w:rsidRPr="00142452">
        <w:t>k</w:t>
      </w:r>
      <w:r w:rsidRPr="00142452">
        <w:t xml:space="preserve">ningsrätt i de fristående skolorna. I synnerhet gäller detta när kommunerna dessutom, enligt </w:t>
      </w:r>
      <w:r w:rsidR="00AA7843" w:rsidRPr="00142452">
        <w:t>Socialdemokraterna</w:t>
      </w:r>
      <w:r w:rsidRPr="00142452">
        <w:t>, skall ges ökat inflytande över om fr</w:t>
      </w:r>
      <w:r w:rsidRPr="00142452">
        <w:t>i</w:t>
      </w:r>
      <w:r w:rsidRPr="00142452">
        <w:t>stående skolor över huvud taget skall godkännas eller få fortsätta sin ver</w:t>
      </w:r>
      <w:r w:rsidRPr="00142452">
        <w:t>k</w:t>
      </w:r>
      <w:r w:rsidRPr="00142452">
        <w:t>samhet.</w:t>
      </w:r>
    </w:p>
    <w:p w:rsidR="006C0C91" w:rsidRPr="00142452" w:rsidRDefault="006C0C91" w:rsidP="006C0C91">
      <w:pPr>
        <w:pStyle w:val="Normaltindrag"/>
      </w:pPr>
      <w:r w:rsidRPr="00142452">
        <w:t xml:space="preserve">Alla tillsyns- och utbildningsinspektioner skall skötas av Skolverket. Våra förslag gällande utbildningsinspektionerna behandlas i en separat motion. </w:t>
      </w:r>
    </w:p>
    <w:p w:rsidR="006C0C91" w:rsidRPr="00142452" w:rsidRDefault="006C0C91" w:rsidP="006C0C91">
      <w:pPr>
        <w:pStyle w:val="Rubrik1"/>
      </w:pPr>
      <w:bookmarkStart w:id="24" w:name="_Toc52872771"/>
      <w:bookmarkStart w:id="25" w:name="_Toc84260749"/>
      <w:bookmarkStart w:id="26" w:name="_Toc84321354"/>
      <w:bookmarkStart w:id="27" w:name="_Toc84405913"/>
      <w:bookmarkStart w:id="28" w:name="_Toc84406028"/>
      <w:bookmarkStart w:id="29" w:name="_Toc85783838"/>
      <w:r w:rsidRPr="00142452">
        <w:t>Etableringsfrihet</w:t>
      </w:r>
      <w:bookmarkEnd w:id="24"/>
      <w:bookmarkEnd w:id="25"/>
      <w:bookmarkEnd w:id="26"/>
      <w:bookmarkEnd w:id="27"/>
      <w:bookmarkEnd w:id="28"/>
      <w:bookmarkEnd w:id="29"/>
    </w:p>
    <w:p w:rsidR="006C0C91" w:rsidRPr="00142452" w:rsidRDefault="006C0C91" w:rsidP="00AA7843">
      <w:r w:rsidRPr="00142452">
        <w:t>Förutom problem med rimliga ersättningsnivåer och avsaknad av en rikspri</w:t>
      </w:r>
      <w:r w:rsidRPr="00142452">
        <w:t>s</w:t>
      </w:r>
      <w:r w:rsidRPr="00142452">
        <w:t xml:space="preserve">lista hotas också etableringsfriheten. Socialdemokraterna och </w:t>
      </w:r>
      <w:r w:rsidR="00AA7843" w:rsidRPr="00142452">
        <w:t xml:space="preserve">Vänsterpartiet </w:t>
      </w:r>
      <w:r w:rsidRPr="00142452">
        <w:t>vill att kommunerna i princip skall ges vetorätt till nyetableringar och konku</w:t>
      </w:r>
      <w:r w:rsidRPr="00142452">
        <w:t>r</w:t>
      </w:r>
      <w:r w:rsidRPr="00142452">
        <w:t>rens från fristående alternativ. Riksdagen har vid ett flertal tidigare tillfällen uttalat sig mot kommunal vetorätt för friskoleetableringar. Det finns all a</w:t>
      </w:r>
      <w:r w:rsidRPr="00142452">
        <w:t>n</w:t>
      </w:r>
      <w:r w:rsidRPr="00142452">
        <w:t xml:space="preserve">ledning att upprepa det kravet. </w:t>
      </w:r>
    </w:p>
    <w:p w:rsidR="006C0C91" w:rsidRPr="00142452" w:rsidRDefault="006C0C91" w:rsidP="006C0C91">
      <w:pPr>
        <w:pStyle w:val="Normaltindrag"/>
      </w:pPr>
      <w:r w:rsidRPr="00142452">
        <w:t>Vi anser att vuxenutbildningen liksom andra utbildningsformer gynnas av etableringsfrihet. Möjlighet måste därför finnas för fristående skolor att b</w:t>
      </w:r>
      <w:r w:rsidRPr="00142452">
        <w:t>e</w:t>
      </w:r>
      <w:r w:rsidRPr="00142452">
        <w:t>driva vuxenutbil</w:t>
      </w:r>
      <w:r w:rsidRPr="00142452">
        <w:t>d</w:t>
      </w:r>
      <w:r w:rsidRPr="00142452">
        <w:t>ning.</w:t>
      </w:r>
    </w:p>
    <w:p w:rsidR="006C0C91" w:rsidRPr="00142452" w:rsidRDefault="006C0C91" w:rsidP="006C0C91">
      <w:pPr>
        <w:pStyle w:val="Normaltindrag"/>
      </w:pPr>
      <w:r w:rsidRPr="00142452">
        <w:t>Riksdagen fattade under våren 2004 beslut om att utbildning på entrepr</w:t>
      </w:r>
      <w:r w:rsidRPr="00142452">
        <w:t>e</w:t>
      </w:r>
      <w:r w:rsidRPr="00142452">
        <w:t>nad bör tillåtas generellt, både i grund- och gymnasieskolan. Det är bra. T</w:t>
      </w:r>
      <w:r w:rsidRPr="00142452">
        <w:t>y</w:t>
      </w:r>
      <w:r w:rsidRPr="00142452">
        <w:t>värr är regeringen långsam med att hörsamma det beslutet. Det är viktigt att regeringen inte begränsar det till att gälla enbart vissa delar av gymnasieu</w:t>
      </w:r>
      <w:r w:rsidRPr="00142452">
        <w:t>t</w:t>
      </w:r>
      <w:r w:rsidRPr="00142452">
        <w:t>bildningen. Såväl fristående som kommunala skolor måste ges ökade möjli</w:t>
      </w:r>
      <w:r w:rsidRPr="00142452">
        <w:t>g</w:t>
      </w:r>
      <w:r w:rsidRPr="00142452">
        <w:t>heter att lägga ut viss undervisning på entrepr</w:t>
      </w:r>
      <w:r w:rsidRPr="00142452">
        <w:t>e</w:t>
      </w:r>
      <w:r w:rsidRPr="00142452">
        <w:t xml:space="preserve">nad.  </w:t>
      </w:r>
    </w:p>
    <w:p w:rsidR="006C0C91" w:rsidRPr="00142452" w:rsidRDefault="006C0C91" w:rsidP="006C0C91">
      <w:pPr>
        <w:pStyle w:val="Rubrik1"/>
      </w:pPr>
      <w:bookmarkStart w:id="30" w:name="_Toc52872772"/>
      <w:bookmarkStart w:id="31" w:name="_Toc84260750"/>
      <w:bookmarkStart w:id="32" w:name="_Toc84321355"/>
      <w:bookmarkStart w:id="33" w:name="_Toc84405914"/>
      <w:bookmarkStart w:id="34" w:name="_Toc84406029"/>
      <w:bookmarkStart w:id="35" w:name="_Toc85783839"/>
      <w:r w:rsidRPr="00142452">
        <w:t>Fristående skolors frihet</w:t>
      </w:r>
      <w:bookmarkEnd w:id="30"/>
      <w:bookmarkEnd w:id="31"/>
      <w:bookmarkEnd w:id="32"/>
      <w:bookmarkEnd w:id="33"/>
      <w:bookmarkEnd w:id="34"/>
      <w:bookmarkEnd w:id="35"/>
    </w:p>
    <w:p w:rsidR="006C0C91" w:rsidRPr="00142452" w:rsidRDefault="006C0C91" w:rsidP="00AA7843">
      <w:r w:rsidRPr="00142452">
        <w:t>Skolverket har nyligen föreslagit ett antal häpnadsväckande förslag riktade mot fristående skolors frihet. Till att börja med vill Skolverket göra det mö</w:t>
      </w:r>
      <w:r w:rsidRPr="00142452">
        <w:t>j</w:t>
      </w:r>
      <w:r w:rsidRPr="00142452">
        <w:t>ligt att stänga skolor utan fastslagen anledning och lagakraftvunnet beslut ”när man finner lämpligt”. Den som driver skolor i koncernform skall särb</w:t>
      </w:r>
      <w:r w:rsidRPr="00142452">
        <w:t>e</w:t>
      </w:r>
      <w:r w:rsidRPr="00142452">
        <w:t>handlas och tvingas betala avgift vid ansökningar om godkännande. De jur</w:t>
      </w:r>
      <w:r w:rsidRPr="00142452">
        <w:t>i</w:t>
      </w:r>
      <w:r w:rsidRPr="00142452">
        <w:t>diska formerna för vem som får bedriva skola föreslås vidare begränsas. Det skall ställas högre krav på rektorer för fristående än för kommunala skolor. Vi anser detta vara förkastliga förslag i syfte att begränsa de fristående skolornas frihet. Det kan inte accepteras. Återigen vill vi betona att fokus skall läggas på skolors kvalitet och kunskapsförmedling, inte på huvudmannaskap eller driftsform.</w:t>
      </w:r>
      <w:r w:rsidR="00C44132" w:rsidRPr="00142452">
        <w:t xml:space="preserve"> Alla skolor är lika viktiga.</w:t>
      </w:r>
    </w:p>
    <w:p w:rsidR="006C0C91" w:rsidRPr="00142452" w:rsidRDefault="006C0C91" w:rsidP="006C0C91">
      <w:pPr>
        <w:pStyle w:val="Normaltindrag"/>
      </w:pPr>
      <w:r w:rsidRPr="00142452">
        <w:t xml:space="preserve">Även i det nya förslaget till </w:t>
      </w:r>
      <w:r w:rsidR="00AA7843" w:rsidRPr="00142452">
        <w:t xml:space="preserve">skollag </w:t>
      </w:r>
      <w:r w:rsidRPr="00142452">
        <w:t>görs stora ingrepp i de fristående sk</w:t>
      </w:r>
      <w:r w:rsidRPr="00142452">
        <w:t>o</w:t>
      </w:r>
      <w:r w:rsidRPr="00142452">
        <w:t>lornas n</w:t>
      </w:r>
      <w:r w:rsidRPr="00142452">
        <w:t>u</w:t>
      </w:r>
      <w:r w:rsidRPr="00142452">
        <w:t>varande frihet. När avsikten var att minska detaljregleringen inom skolans område, visar det sig istället att förslaget landat i att öka regleringen för de fristående skolorna. Det är riskabelt att på så sätt tvinga in fristående skolor att följa exakt samma regelverk som det offentliga skolväsendet. Själva idén med fristående skolor är att erbjuda alternativ och bidra till mångfalden i skols</w:t>
      </w:r>
      <w:r w:rsidRPr="00142452">
        <w:t>y</w:t>
      </w:r>
      <w:r w:rsidRPr="00142452">
        <w:t>stemet.</w:t>
      </w:r>
    </w:p>
    <w:p w:rsidR="006C0C91" w:rsidRPr="00142452" w:rsidRDefault="006C0C91" w:rsidP="006C0C91">
      <w:pPr>
        <w:pStyle w:val="Normaltindrag"/>
      </w:pPr>
      <w:r w:rsidRPr="00142452">
        <w:t>Dessutom föreslås att begreppet fristående skolor skall ersättas med ”e</w:t>
      </w:r>
      <w:r w:rsidRPr="00142452">
        <w:t>n</w:t>
      </w:r>
      <w:r w:rsidRPr="00142452">
        <w:t>skilda skolor”. Vi anser att det vore olyckligt att nu ändra benämningen, efte</w:t>
      </w:r>
      <w:r w:rsidRPr="00142452">
        <w:t>r</w:t>
      </w:r>
      <w:r w:rsidRPr="00142452">
        <w:t>som det föreslagna uttrycket lätt kan förväxlas med privata skolor. Detta vore missvisande, eftersom de fristående liksom de kommunala skolorna är offen</w:t>
      </w:r>
      <w:r w:rsidRPr="00142452">
        <w:t>t</w:t>
      </w:r>
      <w:r w:rsidRPr="00142452">
        <w:t xml:space="preserve">ligt finansierade och öppna för alla. </w:t>
      </w:r>
    </w:p>
    <w:p w:rsidR="006C0C91" w:rsidRPr="00142452" w:rsidRDefault="006C0C91" w:rsidP="006C0C91">
      <w:pPr>
        <w:pStyle w:val="Rubrik1"/>
      </w:pPr>
      <w:bookmarkStart w:id="36" w:name="_Toc52872773"/>
      <w:bookmarkStart w:id="37" w:name="_Toc84260751"/>
      <w:bookmarkStart w:id="38" w:name="_Toc84321356"/>
      <w:bookmarkStart w:id="39" w:name="_Toc84405915"/>
      <w:bookmarkStart w:id="40" w:name="_Toc84406030"/>
      <w:bookmarkStart w:id="41" w:name="_Toc85783840"/>
      <w:r w:rsidRPr="00142452">
        <w:t>Lika villkor för att bedriva fritidsverksamhet</w:t>
      </w:r>
      <w:bookmarkEnd w:id="36"/>
      <w:bookmarkEnd w:id="37"/>
      <w:bookmarkEnd w:id="38"/>
      <w:bookmarkEnd w:id="39"/>
      <w:bookmarkEnd w:id="40"/>
      <w:bookmarkEnd w:id="41"/>
    </w:p>
    <w:p w:rsidR="006C0C91" w:rsidRPr="00142452" w:rsidRDefault="006C0C91" w:rsidP="00AA7843">
      <w:r w:rsidRPr="00142452">
        <w:t>I dag nyttjar i stort sett alla den kommunala skolbarn</w:t>
      </w:r>
      <w:r w:rsidR="00AA7843" w:rsidRPr="00142452">
        <w:t>s</w:t>
      </w:r>
      <w:r w:rsidRPr="00142452">
        <w:t>omsorgen. För de allra flesta är det både praktiskt och tryggt att fritidsverksamheten samverkar med och finns i anslutning till skolan. Vi vill värna om att fristående skolor på lika villkor som kommunala skolor skall ha rätt att erbjuda och få ersättning för fritidsverksamhet. Fristående skolor skall dock inte vara skyldiga att erbjuda fritidsverksamhet.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7843" w:rsidRPr="00142452">
        <w:tblPrEx>
          <w:tblCellMar>
            <w:top w:w="0" w:type="dxa"/>
            <w:bottom w:w="0" w:type="dxa"/>
          </w:tblCellMar>
        </w:tblPrEx>
        <w:trPr>
          <w:cantSplit/>
        </w:trPr>
        <w:tc>
          <w:tcPr>
            <w:tcW w:w="3046" w:type="dxa"/>
          </w:tcPr>
          <w:p w:rsidR="00AA7843" w:rsidRPr="00142452" w:rsidRDefault="00AA7843" w:rsidP="00AA7843">
            <w:pPr>
              <w:pStyle w:val="UnderskriftDatum"/>
              <w:spacing w:before="240"/>
            </w:pPr>
            <w:r w:rsidRPr="00142452">
              <w:t>Stockholm den 3 oktober 2005</w:t>
            </w:r>
          </w:p>
        </w:tc>
        <w:tc>
          <w:tcPr>
            <w:tcW w:w="3047" w:type="dxa"/>
          </w:tcPr>
          <w:p w:rsidR="00AA7843" w:rsidRPr="00142452" w:rsidRDefault="00AA7843" w:rsidP="00AA7843">
            <w:pPr>
              <w:pStyle w:val="Underskrifter"/>
              <w:spacing w:before="240"/>
            </w:pPr>
          </w:p>
        </w:tc>
      </w:tr>
      <w:tr w:rsidR="00AA7843" w:rsidRPr="00142452">
        <w:tblPrEx>
          <w:tblCellMar>
            <w:top w:w="0" w:type="dxa"/>
            <w:bottom w:w="0" w:type="dxa"/>
          </w:tblCellMar>
        </w:tblPrEx>
        <w:trPr>
          <w:cantSplit/>
        </w:trPr>
        <w:tc>
          <w:tcPr>
            <w:tcW w:w="3046" w:type="dxa"/>
          </w:tcPr>
          <w:p w:rsidR="00AA7843" w:rsidRPr="00142452" w:rsidRDefault="00AA7843" w:rsidP="00AA7843">
            <w:pPr>
              <w:pStyle w:val="Underskrifter"/>
            </w:pPr>
            <w:r w:rsidRPr="00142452">
              <w:t>Sten Tolgfors (m)</w:t>
            </w:r>
          </w:p>
        </w:tc>
        <w:tc>
          <w:tcPr>
            <w:tcW w:w="3047" w:type="dxa"/>
          </w:tcPr>
          <w:p w:rsidR="00AA7843" w:rsidRPr="00142452" w:rsidRDefault="00AA7843" w:rsidP="00AA7843">
            <w:pPr>
              <w:pStyle w:val="Underskrifter"/>
            </w:pPr>
          </w:p>
        </w:tc>
      </w:tr>
      <w:tr w:rsidR="00AA7843" w:rsidRPr="00142452">
        <w:tblPrEx>
          <w:tblCellMar>
            <w:top w:w="0" w:type="dxa"/>
            <w:bottom w:w="0" w:type="dxa"/>
          </w:tblCellMar>
        </w:tblPrEx>
        <w:trPr>
          <w:cantSplit/>
        </w:trPr>
        <w:tc>
          <w:tcPr>
            <w:tcW w:w="3046" w:type="dxa"/>
          </w:tcPr>
          <w:p w:rsidR="00AA7843" w:rsidRPr="00142452" w:rsidRDefault="00AA7843" w:rsidP="00AA7843">
            <w:pPr>
              <w:pStyle w:val="Underskrifter"/>
            </w:pPr>
            <w:r w:rsidRPr="00142452">
              <w:t>Margareta Pålsson (m)</w:t>
            </w:r>
          </w:p>
        </w:tc>
        <w:tc>
          <w:tcPr>
            <w:tcW w:w="3047" w:type="dxa"/>
          </w:tcPr>
          <w:p w:rsidR="00AA7843" w:rsidRPr="00142452" w:rsidRDefault="00AA7843" w:rsidP="00AA7843">
            <w:pPr>
              <w:pStyle w:val="Underskrifter"/>
            </w:pPr>
            <w:r w:rsidRPr="00142452">
              <w:t>Peter Danielsson (m)</w:t>
            </w:r>
          </w:p>
        </w:tc>
      </w:tr>
      <w:tr w:rsidR="00AA7843" w:rsidRPr="00142452">
        <w:tblPrEx>
          <w:tblCellMar>
            <w:top w:w="0" w:type="dxa"/>
            <w:bottom w:w="0" w:type="dxa"/>
          </w:tblCellMar>
        </w:tblPrEx>
        <w:trPr>
          <w:cantSplit/>
        </w:trPr>
        <w:tc>
          <w:tcPr>
            <w:tcW w:w="3046" w:type="dxa"/>
          </w:tcPr>
          <w:p w:rsidR="00AA7843" w:rsidRPr="00142452" w:rsidRDefault="00AA7843" w:rsidP="00AA7843">
            <w:pPr>
              <w:pStyle w:val="Underskrifter"/>
            </w:pPr>
            <w:r w:rsidRPr="00142452">
              <w:t>Ewa Björling (m)</w:t>
            </w:r>
          </w:p>
        </w:tc>
        <w:tc>
          <w:tcPr>
            <w:tcW w:w="3047" w:type="dxa"/>
          </w:tcPr>
          <w:p w:rsidR="00AA7843" w:rsidRPr="00142452" w:rsidRDefault="00AA7843" w:rsidP="00AA7843">
            <w:pPr>
              <w:pStyle w:val="Underskrifter"/>
            </w:pPr>
            <w:r w:rsidRPr="00142452">
              <w:t>Tomas Högström (m)</w:t>
            </w:r>
          </w:p>
        </w:tc>
      </w:tr>
      <w:tr w:rsidR="00AA7843" w:rsidRPr="00142452">
        <w:tblPrEx>
          <w:tblCellMar>
            <w:top w:w="0" w:type="dxa"/>
            <w:bottom w:w="0" w:type="dxa"/>
          </w:tblCellMar>
        </w:tblPrEx>
        <w:trPr>
          <w:cantSplit/>
        </w:trPr>
        <w:tc>
          <w:tcPr>
            <w:tcW w:w="3046" w:type="dxa"/>
          </w:tcPr>
          <w:p w:rsidR="00AA7843" w:rsidRPr="00142452" w:rsidRDefault="00AA7843" w:rsidP="00AA7843">
            <w:pPr>
              <w:pStyle w:val="Underskrifter"/>
            </w:pPr>
            <w:r w:rsidRPr="00142452">
              <w:t>Per Bill (m)</w:t>
            </w:r>
          </w:p>
        </w:tc>
        <w:tc>
          <w:tcPr>
            <w:tcW w:w="3047" w:type="dxa"/>
          </w:tcPr>
          <w:p w:rsidR="00AA7843" w:rsidRPr="00142452" w:rsidRDefault="00AA7843" w:rsidP="00AA7843">
            <w:pPr>
              <w:pStyle w:val="Underskrifter"/>
            </w:pPr>
          </w:p>
        </w:tc>
      </w:tr>
    </w:tbl>
    <w:p w:rsidR="006C0C91" w:rsidRPr="00142452" w:rsidRDefault="006C0C91" w:rsidP="00AA7843">
      <w:pPr>
        <w:pStyle w:val="Normaltindrag"/>
      </w:pPr>
    </w:p>
    <w:sectPr w:rsidR="006C0C91" w:rsidRPr="00142452" w:rsidSect="00AA78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221" w:rsidRPr="00142452" w:rsidRDefault="00B47221">
      <w:r w:rsidRPr="00142452">
        <w:separator/>
      </w:r>
    </w:p>
  </w:endnote>
  <w:endnote w:type="continuationSeparator" w:id="0">
    <w:p w:rsidR="00B47221" w:rsidRPr="00142452" w:rsidRDefault="00B47221">
      <w:r w:rsidRPr="00142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43" w:rsidRPr="00142452" w:rsidRDefault="00142452" w:rsidP="00AA7843">
    <w:pPr>
      <w:pStyle w:val="Sidfot"/>
    </w:pPr>
    <w:r w:rsidRPr="001424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2470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43" w:rsidRDefault="00AA7843">
                          <w:pPr>
                            <w:pStyle w:val="NormalS5sidnrV"/>
                          </w:pPr>
                          <w:r>
                            <w:fldChar w:fldCharType="begin"/>
                          </w:r>
                          <w:r>
                            <w:instrText xml:space="preserve"> PAGE *\charformat</w:instrText>
                          </w:r>
                          <w:r>
                            <w:fldChar w:fldCharType="separate"/>
                          </w:r>
                          <w:r w:rsidR="00B7604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843" w:rsidRDefault="00AA7843">
                    <w:pPr>
                      <w:pStyle w:val="NormalS5sidnrV"/>
                    </w:pPr>
                    <w:r>
                      <w:fldChar w:fldCharType="begin"/>
                    </w:r>
                    <w:r>
                      <w:instrText xml:space="preserve"> PAGE *\charformat</w:instrText>
                    </w:r>
                    <w:r>
                      <w:fldChar w:fldCharType="separate"/>
                    </w:r>
                    <w:r w:rsidR="00B7604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3C" w:rsidRPr="00142452" w:rsidRDefault="00142452" w:rsidP="00AA7843">
    <w:pPr>
      <w:pStyle w:val="Sidfot"/>
    </w:pPr>
    <w:r w:rsidRPr="001424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870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43" w:rsidRDefault="00AA7843">
                          <w:pPr>
                            <w:pStyle w:val="NormalS5sidnrH"/>
                            <w:ind w:right="0"/>
                          </w:pPr>
                          <w:r>
                            <w:fldChar w:fldCharType="begin"/>
                          </w:r>
                          <w:r>
                            <w:instrText xml:space="preserve"> PAGE *\charformat</w:instrText>
                          </w:r>
                          <w:r>
                            <w:fldChar w:fldCharType="separate"/>
                          </w:r>
                          <w:r w:rsidR="00B7604C">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843" w:rsidRDefault="00AA7843">
                    <w:pPr>
                      <w:pStyle w:val="NormalS5sidnrH"/>
                      <w:ind w:right="0"/>
                    </w:pPr>
                    <w:r>
                      <w:fldChar w:fldCharType="begin"/>
                    </w:r>
                    <w:r>
                      <w:instrText xml:space="preserve"> PAGE *\charformat</w:instrText>
                    </w:r>
                    <w:r>
                      <w:fldChar w:fldCharType="separate"/>
                    </w:r>
                    <w:r w:rsidR="00B7604C">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3C" w:rsidRPr="00142452" w:rsidRDefault="00142452" w:rsidP="00AA7843">
    <w:pPr>
      <w:pStyle w:val="Sidfot"/>
    </w:pPr>
    <w:r w:rsidRPr="001424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669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43" w:rsidRDefault="00AA7843">
                          <w:pPr>
                            <w:pStyle w:val="NormalS5sidnrH"/>
                            <w:ind w:right="0"/>
                          </w:pPr>
                          <w:r>
                            <w:fldChar w:fldCharType="begin"/>
                          </w:r>
                          <w:r>
                            <w:instrText xml:space="preserve"> PAGE *\charformat</w:instrText>
                          </w:r>
                          <w:r>
                            <w:fldChar w:fldCharType="separate"/>
                          </w:r>
                          <w:r w:rsidR="00B760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843" w:rsidRDefault="00AA7843">
                    <w:pPr>
                      <w:pStyle w:val="NormalS5sidnrH"/>
                      <w:ind w:right="0"/>
                    </w:pPr>
                    <w:r>
                      <w:fldChar w:fldCharType="begin"/>
                    </w:r>
                    <w:r>
                      <w:instrText xml:space="preserve"> PAGE *\charformat</w:instrText>
                    </w:r>
                    <w:r>
                      <w:fldChar w:fldCharType="separate"/>
                    </w:r>
                    <w:r w:rsidR="00B7604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221" w:rsidRPr="00142452" w:rsidRDefault="00B47221" w:rsidP="00A5393C">
      <w:pPr>
        <w:pStyle w:val="Sidfot"/>
      </w:pPr>
    </w:p>
  </w:footnote>
  <w:footnote w:type="continuationSeparator" w:id="0">
    <w:p w:rsidR="00B47221" w:rsidRPr="00142452" w:rsidRDefault="00B47221">
      <w:r w:rsidRPr="00142452">
        <w:continuationSeparator/>
      </w:r>
    </w:p>
  </w:footnote>
  <w:footnote w:id="1">
    <w:p w:rsidR="00A5393C" w:rsidRPr="00142452" w:rsidRDefault="00A5393C" w:rsidP="006C0C91">
      <w:pPr>
        <w:pStyle w:val="Fotnotstext"/>
        <w:spacing w:before="0"/>
        <w:rPr>
          <w:sz w:val="14"/>
          <w:szCs w:val="14"/>
        </w:rPr>
      </w:pPr>
      <w:r w:rsidRPr="00142452">
        <w:rPr>
          <w:rStyle w:val="Fotnotsreferens"/>
          <w:sz w:val="16"/>
        </w:rPr>
        <w:footnoteRef/>
      </w:r>
      <w:r w:rsidRPr="00142452">
        <w:rPr>
          <w:sz w:val="16"/>
        </w:rPr>
        <w:t xml:space="preserve"> </w:t>
      </w:r>
      <w:r w:rsidRPr="00142452">
        <w:rPr>
          <w:sz w:val="14"/>
          <w:szCs w:val="14"/>
        </w:rPr>
        <w:t xml:space="preserve">Skolverket (2004), </w:t>
      </w:r>
      <w:r w:rsidRPr="00142452">
        <w:rPr>
          <w:i/>
          <w:sz w:val="14"/>
          <w:szCs w:val="14"/>
        </w:rPr>
        <w:t>Attityder till skolan 2003</w:t>
      </w:r>
      <w:r w:rsidRPr="00142452">
        <w:rPr>
          <w:sz w:val="14"/>
          <w:szCs w:val="14"/>
        </w:rPr>
        <w:t>. Rapport 243.</w:t>
      </w:r>
    </w:p>
  </w:footnote>
  <w:footnote w:id="2">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w:t>
      </w:r>
      <w:r w:rsidRPr="00142452">
        <w:rPr>
          <w:i/>
          <w:sz w:val="14"/>
          <w:szCs w:val="14"/>
        </w:rPr>
        <w:t xml:space="preserve"> </w:t>
      </w:r>
      <w:r w:rsidRPr="00142452">
        <w:rPr>
          <w:sz w:val="14"/>
          <w:szCs w:val="14"/>
        </w:rPr>
        <w:t xml:space="preserve">Skolverket (2003), </w:t>
      </w:r>
      <w:r w:rsidRPr="00142452">
        <w:rPr>
          <w:i/>
          <w:sz w:val="14"/>
          <w:szCs w:val="14"/>
        </w:rPr>
        <w:t>Skolverkets lägesbedömning 2003</w:t>
      </w:r>
      <w:r w:rsidRPr="00142452">
        <w:rPr>
          <w:sz w:val="14"/>
          <w:szCs w:val="14"/>
        </w:rPr>
        <w:t>, Rapport 238.</w:t>
      </w:r>
    </w:p>
  </w:footnote>
  <w:footnote w:id="3">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Se t.ex. sammanställning av svensk forskning på området i Björklund, Edin, Fredriksson och Krueger (2003), </w:t>
      </w:r>
      <w:r w:rsidRPr="00142452">
        <w:rPr>
          <w:i/>
          <w:sz w:val="14"/>
          <w:szCs w:val="14"/>
        </w:rPr>
        <w:t>Education, equality and effic</w:t>
      </w:r>
      <w:r w:rsidRPr="00142452">
        <w:rPr>
          <w:i/>
          <w:sz w:val="14"/>
          <w:szCs w:val="14"/>
        </w:rPr>
        <w:t>i</w:t>
      </w:r>
      <w:r w:rsidRPr="00142452">
        <w:rPr>
          <w:i/>
          <w:sz w:val="14"/>
          <w:szCs w:val="14"/>
        </w:rPr>
        <w:t xml:space="preserve">ency – An analysis of Swedish school reforms during the 1990s, </w:t>
      </w:r>
      <w:r w:rsidRPr="00142452">
        <w:rPr>
          <w:sz w:val="14"/>
          <w:szCs w:val="14"/>
        </w:rPr>
        <w:t xml:space="preserve">Report 2004:1, IFAU, Uppsala, kap. 6. </w:t>
      </w:r>
    </w:p>
  </w:footnote>
  <w:footnote w:id="4">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SCB:s statistikdatabas.</w:t>
      </w:r>
    </w:p>
  </w:footnote>
  <w:footnote w:id="5">
    <w:p w:rsidR="00A5393C" w:rsidRPr="00142452" w:rsidRDefault="00A5393C" w:rsidP="006C0C91">
      <w:pPr>
        <w:pStyle w:val="Fotnotstext"/>
        <w:spacing w:before="0"/>
        <w:jc w:val="left"/>
        <w:rPr>
          <w:sz w:val="14"/>
          <w:szCs w:val="14"/>
        </w:rPr>
      </w:pPr>
      <w:r w:rsidRPr="00142452">
        <w:rPr>
          <w:rStyle w:val="Fotnotsreferens"/>
          <w:sz w:val="14"/>
          <w:szCs w:val="14"/>
        </w:rPr>
        <w:footnoteRef/>
      </w:r>
      <w:r w:rsidRPr="00142452">
        <w:rPr>
          <w:sz w:val="14"/>
          <w:szCs w:val="14"/>
        </w:rPr>
        <w:t xml:space="preserve"> Skolverkets kommundatabas. </w:t>
      </w:r>
    </w:p>
  </w:footnote>
  <w:footnote w:id="6">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Skolverket (2004), </w:t>
      </w:r>
      <w:r w:rsidRPr="00142452">
        <w:rPr>
          <w:i/>
          <w:sz w:val="14"/>
          <w:szCs w:val="14"/>
        </w:rPr>
        <w:t>Kommunernas bidrag för elever i fristående gymnasieskolor,</w:t>
      </w:r>
      <w:r w:rsidRPr="00142452">
        <w:rPr>
          <w:sz w:val="14"/>
          <w:szCs w:val="14"/>
        </w:rPr>
        <w:t xml:space="preserve"> dnr 2004:248.</w:t>
      </w:r>
    </w:p>
  </w:footnote>
  <w:footnote w:id="7">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Konkurrensrådet (2003), </w:t>
      </w:r>
      <w:r w:rsidRPr="00142452">
        <w:rPr>
          <w:i/>
          <w:sz w:val="14"/>
          <w:szCs w:val="14"/>
        </w:rPr>
        <w:t>Lika villkor mellan kommunala grundskolor och fristående sk</w:t>
      </w:r>
      <w:r w:rsidRPr="00142452">
        <w:rPr>
          <w:i/>
          <w:sz w:val="14"/>
          <w:szCs w:val="14"/>
        </w:rPr>
        <w:t>o</w:t>
      </w:r>
      <w:r w:rsidRPr="00142452">
        <w:rPr>
          <w:i/>
          <w:sz w:val="14"/>
          <w:szCs w:val="14"/>
        </w:rPr>
        <w:t>lor?</w:t>
      </w:r>
      <w:r w:rsidRPr="00142452">
        <w:rPr>
          <w:sz w:val="14"/>
          <w:szCs w:val="14"/>
        </w:rPr>
        <w:t xml:space="preserve">, Rapport till Näringsdepartementet, dnr 26/03. </w:t>
      </w:r>
    </w:p>
  </w:footnote>
  <w:footnote w:id="8">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Konkurrensrådet (2003), </w:t>
      </w:r>
      <w:r w:rsidRPr="00142452">
        <w:rPr>
          <w:i/>
          <w:sz w:val="14"/>
          <w:szCs w:val="14"/>
        </w:rPr>
        <w:t>Lika villkor mellan kommunala grundskolor och fristående sk</w:t>
      </w:r>
      <w:r w:rsidRPr="00142452">
        <w:rPr>
          <w:i/>
          <w:sz w:val="14"/>
          <w:szCs w:val="14"/>
        </w:rPr>
        <w:t>o</w:t>
      </w:r>
      <w:r w:rsidRPr="00142452">
        <w:rPr>
          <w:i/>
          <w:sz w:val="14"/>
          <w:szCs w:val="14"/>
        </w:rPr>
        <w:t>lor?</w:t>
      </w:r>
      <w:r w:rsidRPr="00142452">
        <w:rPr>
          <w:sz w:val="14"/>
          <w:szCs w:val="14"/>
        </w:rPr>
        <w:t xml:space="preserve">, Rapport till Näringsdepartementet, dnr 26/03. </w:t>
      </w:r>
    </w:p>
  </w:footnote>
  <w:footnote w:id="9">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Komrev (2004), </w:t>
      </w:r>
      <w:r w:rsidRPr="00142452">
        <w:rPr>
          <w:i/>
          <w:sz w:val="14"/>
          <w:szCs w:val="14"/>
        </w:rPr>
        <w:t>Effektiv skolstyrning – där omvärldsförändringar och friskolor präglar planeringsfö</w:t>
      </w:r>
      <w:r w:rsidRPr="00142452">
        <w:rPr>
          <w:i/>
          <w:sz w:val="14"/>
          <w:szCs w:val="14"/>
        </w:rPr>
        <w:t>r</w:t>
      </w:r>
      <w:r w:rsidRPr="00142452">
        <w:rPr>
          <w:i/>
          <w:sz w:val="14"/>
          <w:szCs w:val="14"/>
        </w:rPr>
        <w:t>utsättningarna</w:t>
      </w:r>
      <w:r w:rsidRPr="00142452">
        <w:rPr>
          <w:sz w:val="14"/>
          <w:szCs w:val="14"/>
        </w:rPr>
        <w:t xml:space="preserve">, Rapport, juni. </w:t>
      </w:r>
    </w:p>
  </w:footnote>
  <w:footnote w:id="10">
    <w:p w:rsidR="00A5393C" w:rsidRPr="00142452" w:rsidRDefault="00A5393C" w:rsidP="006C0C91">
      <w:pPr>
        <w:pStyle w:val="Fotnotstext"/>
        <w:spacing w:before="0"/>
        <w:rPr>
          <w:sz w:val="14"/>
          <w:szCs w:val="14"/>
        </w:rPr>
      </w:pPr>
      <w:r w:rsidRPr="00142452">
        <w:rPr>
          <w:rStyle w:val="Fotnotsreferens"/>
          <w:sz w:val="14"/>
          <w:szCs w:val="14"/>
        </w:rPr>
        <w:footnoteRef/>
      </w:r>
      <w:r w:rsidRPr="00142452">
        <w:rPr>
          <w:sz w:val="14"/>
          <w:szCs w:val="14"/>
        </w:rPr>
        <w:t xml:space="preserve"> Skolverket (2004), </w:t>
      </w:r>
      <w:r w:rsidRPr="00142452">
        <w:rPr>
          <w:i/>
          <w:sz w:val="14"/>
          <w:szCs w:val="14"/>
        </w:rPr>
        <w:t xml:space="preserve">Kommunernas bidrag för elever i fristående gymnasieskolor, </w:t>
      </w:r>
      <w:r w:rsidRPr="00142452">
        <w:rPr>
          <w:sz w:val="14"/>
          <w:szCs w:val="14"/>
        </w:rPr>
        <w:t>dnr 2004:248.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43" w:rsidRPr="00142452" w:rsidRDefault="00142452" w:rsidP="00AA7843">
    <w:pPr>
      <w:pStyle w:val="Sidhuvud"/>
    </w:pPr>
    <w:r w:rsidRPr="001424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51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43" w:rsidRDefault="00AA7843">
                          <w:pPr>
                            <w:pStyle w:val="KantRubrikS5V"/>
                          </w:pPr>
                          <w:r>
                            <w:fldChar w:fldCharType="begin"/>
                          </w:r>
                          <w:r>
                            <w:instrText xml:space="preserve"> DOCPROPERTY "YearUser" *\charformat </w:instrText>
                          </w:r>
                          <w:r>
                            <w:fldChar w:fldCharType="separate"/>
                          </w:r>
                          <w:r w:rsidR="00B7604C">
                            <w:t>2005/06</w:t>
                          </w:r>
                          <w:r>
                            <w:fldChar w:fldCharType="end"/>
                          </w:r>
                          <w:r>
                            <w:t>:</w:t>
                          </w:r>
                          <w:r>
                            <w:fldChar w:fldCharType="begin"/>
                          </w:r>
                          <w:r>
                            <w:instrText xml:space="preserve"> DOCPROPERTY "Motionsnummer" *\charformat </w:instrText>
                          </w:r>
                          <w:r>
                            <w:fldChar w:fldCharType="separate"/>
                          </w:r>
                          <w:r w:rsidR="00B7604C">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843" w:rsidRDefault="00AA7843">
                    <w:pPr>
                      <w:pStyle w:val="KantRubrikS5V"/>
                    </w:pPr>
                    <w:r>
                      <w:fldChar w:fldCharType="begin"/>
                    </w:r>
                    <w:r>
                      <w:instrText xml:space="preserve"> DOCPROPERTY "YearUser" *\charformat </w:instrText>
                    </w:r>
                    <w:r>
                      <w:fldChar w:fldCharType="separate"/>
                    </w:r>
                    <w:r w:rsidR="00B7604C">
                      <w:t>2005/06</w:t>
                    </w:r>
                    <w:r>
                      <w:fldChar w:fldCharType="end"/>
                    </w:r>
                    <w:r>
                      <w:t>:</w:t>
                    </w:r>
                    <w:r>
                      <w:fldChar w:fldCharType="begin"/>
                    </w:r>
                    <w:r>
                      <w:instrText xml:space="preserve"> DOCPROPERTY "Motionsnummer" *\charformat </w:instrText>
                    </w:r>
                    <w:r>
                      <w:fldChar w:fldCharType="separate"/>
                    </w:r>
                    <w:r w:rsidR="00B7604C">
                      <w:t>Ub342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93C" w:rsidRPr="00142452" w:rsidRDefault="00142452" w:rsidP="00AA7843">
    <w:pPr>
      <w:pStyle w:val="Sidhuvud"/>
    </w:pPr>
    <w:r w:rsidRPr="001424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9416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843" w:rsidRDefault="00AA7843">
                          <w:pPr>
                            <w:pStyle w:val="KantRubrikS5H"/>
                            <w:ind w:right="0"/>
                          </w:pPr>
                          <w:r>
                            <w:fldChar w:fldCharType="begin"/>
                          </w:r>
                          <w:r>
                            <w:instrText xml:space="preserve"> DOCPROPERTY "YearUser" *\charformat </w:instrText>
                          </w:r>
                          <w:r>
                            <w:fldChar w:fldCharType="separate"/>
                          </w:r>
                          <w:r w:rsidR="00B7604C">
                            <w:t>2005/06</w:t>
                          </w:r>
                          <w:r>
                            <w:fldChar w:fldCharType="end"/>
                          </w:r>
                          <w:r>
                            <w:t>:</w:t>
                          </w:r>
                          <w:r>
                            <w:fldChar w:fldCharType="begin"/>
                          </w:r>
                          <w:r>
                            <w:instrText xml:space="preserve"> DOCPROPERTY "Motionsnummer" *\charformat </w:instrText>
                          </w:r>
                          <w:r>
                            <w:fldChar w:fldCharType="separate"/>
                          </w:r>
                          <w:r w:rsidR="00B7604C">
                            <w:t>Ub342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843" w:rsidRDefault="00AA7843">
                    <w:pPr>
                      <w:pStyle w:val="KantRubrikS5H"/>
                      <w:ind w:right="0"/>
                    </w:pPr>
                    <w:r>
                      <w:fldChar w:fldCharType="begin"/>
                    </w:r>
                    <w:r>
                      <w:instrText xml:space="preserve"> DOCPROPERTY "YearUser" *\charformat </w:instrText>
                    </w:r>
                    <w:r>
                      <w:fldChar w:fldCharType="separate"/>
                    </w:r>
                    <w:r w:rsidR="00B7604C">
                      <w:t>2005/06</w:t>
                    </w:r>
                    <w:r>
                      <w:fldChar w:fldCharType="end"/>
                    </w:r>
                    <w:r>
                      <w:t>:</w:t>
                    </w:r>
                    <w:r>
                      <w:fldChar w:fldCharType="begin"/>
                    </w:r>
                    <w:r>
                      <w:instrText xml:space="preserve"> DOCPROPERTY "Motionsnummer" *\charformat </w:instrText>
                    </w:r>
                    <w:r>
                      <w:fldChar w:fldCharType="separate"/>
                    </w:r>
                    <w:r w:rsidR="00B7604C">
                      <w:t>Ub342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843" w:rsidRPr="00142452" w:rsidRDefault="00AA7843">
    <w:pPr>
      <w:pStyle w:val="FSHNormal"/>
      <w:tabs>
        <w:tab w:val="right" w:pos="5840"/>
      </w:tabs>
    </w:pPr>
    <w:r w:rsidRPr="00142452">
      <w:br/>
    </w:r>
    <w:r w:rsidRPr="00142452">
      <w:fldChar w:fldCharType="begin" w:fldLock="1"/>
    </w:r>
    <w:r w:rsidRPr="00142452">
      <w:instrText xml:space="preserve"> DOCPROPERTY</w:instrText>
    </w:r>
    <w:r w:rsidRPr="00142452">
      <w:rPr>
        <w:sz w:val="18"/>
      </w:rPr>
      <w:instrText xml:space="preserve"> "YearUser" *\charformat </w:instrText>
    </w:r>
    <w:r w:rsidRPr="00142452">
      <w:fldChar w:fldCharType="separate"/>
    </w:r>
    <w:r w:rsidR="00B7604C" w:rsidRPr="00142452">
      <w:t>2005/06</w:t>
    </w:r>
    <w:r w:rsidRPr="00142452">
      <w:fldChar w:fldCharType="end"/>
    </w:r>
    <w:r w:rsidRPr="00142452">
      <w:t xml:space="preserve"> </w:t>
    </w:r>
    <w:r w:rsidRPr="00142452">
      <w:tab/>
      <w:t xml:space="preserve">mnr: </w:t>
    </w:r>
    <w:r w:rsidRPr="00142452">
      <w:fldChar w:fldCharType="begin" w:fldLock="1"/>
    </w:r>
    <w:r w:rsidRPr="00142452">
      <w:instrText xml:space="preserve"> DOCPROPERTY</w:instrText>
    </w:r>
    <w:r w:rsidRPr="00142452">
      <w:rPr>
        <w:sz w:val="18"/>
      </w:rPr>
      <w:instrText xml:space="preserve"> "Motionsnummer" *\charformat </w:instrText>
    </w:r>
    <w:r w:rsidRPr="00142452">
      <w:fldChar w:fldCharType="separate"/>
    </w:r>
    <w:r w:rsidR="00B7604C" w:rsidRPr="00142452">
      <w:t>Ub342</w:t>
    </w:r>
    <w:r w:rsidRPr="00142452">
      <w:fldChar w:fldCharType="end"/>
    </w:r>
    <w:r w:rsidRPr="00142452">
      <w:br/>
    </w:r>
    <w:r w:rsidRPr="00142452">
      <w:fldChar w:fldCharType="begin" w:fldLock="1"/>
    </w:r>
    <w:r w:rsidRPr="00142452">
      <w:instrText xml:space="preserve"> DOCPROPERTY</w:instrText>
    </w:r>
    <w:r w:rsidRPr="00142452">
      <w:rPr>
        <w:sz w:val="18"/>
      </w:rPr>
      <w:instrText xml:space="preserve"> "Samling" *\charformat </w:instrText>
    </w:r>
    <w:r w:rsidRPr="00142452">
      <w:fldChar w:fldCharType="end"/>
    </w:r>
    <w:r w:rsidRPr="00142452">
      <w:tab/>
      <w:t xml:space="preserve">pnr: </w:t>
    </w:r>
    <w:r w:rsidRPr="00142452">
      <w:fldChar w:fldCharType="begin" w:fldLock="1"/>
    </w:r>
    <w:r w:rsidRPr="00142452">
      <w:instrText xml:space="preserve"> DOCPROPERTY</w:instrText>
    </w:r>
    <w:r w:rsidRPr="00142452">
      <w:rPr>
        <w:sz w:val="18"/>
      </w:rPr>
      <w:instrText xml:space="preserve"> "Partinummer" *\charformat </w:instrText>
    </w:r>
    <w:r w:rsidRPr="00142452">
      <w:fldChar w:fldCharType="separate"/>
    </w:r>
    <w:r w:rsidR="00B7604C" w:rsidRPr="00142452">
      <w:t>m156</w:t>
    </w:r>
    <w:r w:rsidRPr="00142452">
      <w:fldChar w:fldCharType="end"/>
    </w:r>
  </w:p>
  <w:p w:rsidR="00AA7843" w:rsidRPr="00142452" w:rsidRDefault="00AA7843">
    <w:pPr>
      <w:pStyle w:val="FSHRub1"/>
    </w:pPr>
    <w:r w:rsidRPr="00142452">
      <w:t>Motion till riksdagen</w:t>
    </w:r>
    <w:r w:rsidRPr="00142452">
      <w:br/>
    </w:r>
    <w:r w:rsidRPr="00142452">
      <w:fldChar w:fldCharType="begin" w:fldLock="1"/>
    </w:r>
    <w:r w:rsidRPr="00142452">
      <w:instrText xml:space="preserve"> DOCPROPERTY "YearUser" *\charformat </w:instrText>
    </w:r>
    <w:r w:rsidRPr="00142452">
      <w:fldChar w:fldCharType="separate"/>
    </w:r>
    <w:r w:rsidR="00B7604C" w:rsidRPr="00142452">
      <w:t>2005/06</w:t>
    </w:r>
    <w:r w:rsidRPr="00142452">
      <w:fldChar w:fldCharType="end"/>
    </w:r>
    <w:r w:rsidRPr="00142452">
      <w:t>:</w:t>
    </w:r>
    <w:r w:rsidRPr="00142452">
      <w:fldChar w:fldCharType="begin" w:fldLock="1"/>
    </w:r>
    <w:r w:rsidRPr="00142452">
      <w:instrText xml:space="preserve"> DOCPROPERTY "Motionsnummer" *\charformat </w:instrText>
    </w:r>
    <w:r w:rsidRPr="00142452">
      <w:fldChar w:fldCharType="separate"/>
    </w:r>
    <w:r w:rsidR="00B7604C" w:rsidRPr="00142452">
      <w:t>Ub342</w:t>
    </w:r>
    <w:r w:rsidRPr="00142452">
      <w:fldChar w:fldCharType="end"/>
    </w:r>
  </w:p>
  <w:p w:rsidR="00AA7843" w:rsidRPr="00142452" w:rsidRDefault="00AA7843">
    <w:pPr>
      <w:pStyle w:val="FSHNormalS5"/>
    </w:pPr>
    <w:r w:rsidRPr="00142452">
      <w:fldChar w:fldCharType="begin" w:fldLock="1"/>
    </w:r>
    <w:r w:rsidRPr="00142452">
      <w:instrText xml:space="preserve"> DOCPROPERTY "MotionarText" *\charformat </w:instrText>
    </w:r>
    <w:r w:rsidRPr="00142452">
      <w:fldChar w:fldCharType="separate"/>
    </w:r>
    <w:r w:rsidR="00B7604C" w:rsidRPr="00142452">
      <w:t>av Sten Tolgfors m.fl. (m)</w:t>
    </w:r>
    <w:r w:rsidRPr="00142452">
      <w:fldChar w:fldCharType="end"/>
    </w:r>
    <w:r w:rsidRPr="00142452">
      <w:br/>
    </w:r>
    <w:r w:rsidRPr="00142452">
      <w:fldChar w:fldCharType="begin" w:fldLock="1"/>
    </w:r>
    <w:r w:rsidRPr="00142452">
      <w:instrText xml:space="preserve"> DOCPROPERTY "SvarFrasKort" *\charformat </w:instrText>
    </w:r>
    <w:r w:rsidRPr="00142452">
      <w:fldChar w:fldCharType="end"/>
    </w:r>
  </w:p>
  <w:p w:rsidR="00AA7843" w:rsidRPr="00142452" w:rsidRDefault="00AA7843">
    <w:pPr>
      <w:pStyle w:val="FSHTitel"/>
    </w:pPr>
    <w:r w:rsidRPr="00142452">
      <w:fldChar w:fldCharType="begin" w:fldLock="1"/>
    </w:r>
    <w:r w:rsidRPr="00142452">
      <w:instrText xml:space="preserve"> DOCPROPERTY</w:instrText>
    </w:r>
    <w:r w:rsidRPr="00142452">
      <w:rPr>
        <w:sz w:val="18"/>
      </w:rPr>
      <w:instrText xml:space="preserve"> "RubrikSvar" *\charformat </w:instrText>
    </w:r>
    <w:r w:rsidRPr="00142452">
      <w:fldChar w:fldCharType="separate"/>
    </w:r>
    <w:r w:rsidR="00B7604C" w:rsidRPr="00142452">
      <w:t>Fristående skolor</w:t>
    </w:r>
    <w:r w:rsidRPr="00142452">
      <w:fldChar w:fldCharType="end"/>
    </w:r>
  </w:p>
  <w:p w:rsidR="00AA7843" w:rsidRPr="00142452" w:rsidRDefault="00AA7843" w:rsidP="00AA78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31034"/>
    <w:multiLevelType w:val="multilevel"/>
    <w:tmpl w:val="B9DE0BE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B86CF6"/>
    <w:multiLevelType w:val="multilevel"/>
    <w:tmpl w:val="F0245D6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90C63A9"/>
    <w:multiLevelType w:val="hybridMultilevel"/>
    <w:tmpl w:val="18A85A76"/>
    <w:lvl w:ilvl="0" w:tplc="5CDCB6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8433585">
    <w:abstractNumId w:val="15"/>
  </w:num>
  <w:num w:numId="2" w16cid:durableId="1016426105">
    <w:abstractNumId w:val="11"/>
  </w:num>
  <w:num w:numId="3" w16cid:durableId="1598947641">
    <w:abstractNumId w:val="12"/>
  </w:num>
  <w:num w:numId="4" w16cid:durableId="634331610">
    <w:abstractNumId w:val="13"/>
  </w:num>
  <w:num w:numId="5" w16cid:durableId="1536772794">
    <w:abstractNumId w:val="8"/>
  </w:num>
  <w:num w:numId="6" w16cid:durableId="1970089151">
    <w:abstractNumId w:val="3"/>
  </w:num>
  <w:num w:numId="7" w16cid:durableId="1401555924">
    <w:abstractNumId w:val="2"/>
  </w:num>
  <w:num w:numId="8" w16cid:durableId="1726179252">
    <w:abstractNumId w:val="1"/>
  </w:num>
  <w:num w:numId="9" w16cid:durableId="1150440597">
    <w:abstractNumId w:val="0"/>
  </w:num>
  <w:num w:numId="10" w16cid:durableId="448941541">
    <w:abstractNumId w:val="9"/>
  </w:num>
  <w:num w:numId="11" w16cid:durableId="511338985">
    <w:abstractNumId w:val="7"/>
  </w:num>
  <w:num w:numId="12" w16cid:durableId="1595044051">
    <w:abstractNumId w:val="6"/>
  </w:num>
  <w:num w:numId="13" w16cid:durableId="441532245">
    <w:abstractNumId w:val="5"/>
  </w:num>
  <w:num w:numId="14" w16cid:durableId="1589078195">
    <w:abstractNumId w:val="4"/>
  </w:num>
  <w:num w:numId="15" w16cid:durableId="1700544274">
    <w:abstractNumId w:val="16"/>
  </w:num>
  <w:num w:numId="16" w16cid:durableId="1567453718">
    <w:abstractNumId w:val="10"/>
  </w:num>
  <w:num w:numId="17" w16cid:durableId="321928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6C0C91"/>
    <w:rsid w:val="000425BE"/>
    <w:rsid w:val="0004381F"/>
    <w:rsid w:val="00064BC3"/>
    <w:rsid w:val="00066775"/>
    <w:rsid w:val="00072FB9"/>
    <w:rsid w:val="00076583"/>
    <w:rsid w:val="00100531"/>
    <w:rsid w:val="00142452"/>
    <w:rsid w:val="00201DFB"/>
    <w:rsid w:val="00204A63"/>
    <w:rsid w:val="00212FF1"/>
    <w:rsid w:val="00230193"/>
    <w:rsid w:val="0025068A"/>
    <w:rsid w:val="002818D3"/>
    <w:rsid w:val="002D11A8"/>
    <w:rsid w:val="0039760A"/>
    <w:rsid w:val="00445271"/>
    <w:rsid w:val="004A0504"/>
    <w:rsid w:val="004E38D9"/>
    <w:rsid w:val="005B145B"/>
    <w:rsid w:val="00684B69"/>
    <w:rsid w:val="006C0C91"/>
    <w:rsid w:val="00740D6D"/>
    <w:rsid w:val="00794149"/>
    <w:rsid w:val="007B67A7"/>
    <w:rsid w:val="007C6092"/>
    <w:rsid w:val="00A053C6"/>
    <w:rsid w:val="00A5393C"/>
    <w:rsid w:val="00AA7843"/>
    <w:rsid w:val="00B13BF0"/>
    <w:rsid w:val="00B47221"/>
    <w:rsid w:val="00B7604C"/>
    <w:rsid w:val="00C1285C"/>
    <w:rsid w:val="00C27B7D"/>
    <w:rsid w:val="00C44132"/>
    <w:rsid w:val="00CF7A43"/>
    <w:rsid w:val="00D1174F"/>
    <w:rsid w:val="00DC6C70"/>
    <w:rsid w:val="00E22893"/>
    <w:rsid w:val="00E360DE"/>
    <w:rsid w:val="00E75D28"/>
    <w:rsid w:val="00E822AF"/>
    <w:rsid w:val="00E83345"/>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3B0C153-5658-4926-942A-98D8DDEE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A7843"/>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A7843"/>
    <w:pPr>
      <w:numPr>
        <w:ilvl w:val="1"/>
      </w:numPr>
      <w:spacing w:before="500" w:line="250" w:lineRule="exact"/>
      <w:outlineLvl w:val="1"/>
    </w:pPr>
    <w:rPr>
      <w:sz w:val="27"/>
    </w:rPr>
  </w:style>
  <w:style w:type="paragraph" w:styleId="Rubrik3">
    <w:name w:val="heading 3"/>
    <w:aliases w:val="Mellanrubrik"/>
    <w:basedOn w:val="Rubrik2"/>
    <w:next w:val="Normal"/>
    <w:qFormat/>
    <w:rsid w:val="00AA7843"/>
    <w:pPr>
      <w:numPr>
        <w:ilvl w:val="2"/>
      </w:numPr>
      <w:spacing w:before="250" w:after="0"/>
      <w:outlineLvl w:val="2"/>
    </w:pPr>
    <w:rPr>
      <w:b/>
      <w:sz w:val="21"/>
    </w:rPr>
  </w:style>
  <w:style w:type="paragraph" w:styleId="Rubrik4">
    <w:name w:val="heading 4"/>
    <w:aliases w:val="KursivRubrik"/>
    <w:basedOn w:val="Rubrik3"/>
    <w:next w:val="Normal"/>
    <w:qFormat/>
    <w:rsid w:val="00AA7843"/>
    <w:pPr>
      <w:numPr>
        <w:ilvl w:val="3"/>
      </w:numPr>
      <w:outlineLvl w:val="3"/>
    </w:pPr>
    <w:rPr>
      <w:b w:val="0"/>
      <w:i/>
    </w:rPr>
  </w:style>
  <w:style w:type="paragraph" w:styleId="Rubrik5">
    <w:name w:val="heading 5"/>
    <w:aliases w:val="PackadFetRubrik,PackadKursivRubrik"/>
    <w:basedOn w:val="Rubrik4"/>
    <w:next w:val="Normal"/>
    <w:qFormat/>
    <w:rsid w:val="00AA7843"/>
    <w:pPr>
      <w:numPr>
        <w:ilvl w:val="4"/>
      </w:numPr>
      <w:tabs>
        <w:tab w:val="clear" w:pos="1021"/>
      </w:tabs>
      <w:spacing w:before="125"/>
      <w:outlineLvl w:val="4"/>
    </w:pPr>
    <w:rPr>
      <w:i w:val="0"/>
      <w:sz w:val="19"/>
    </w:rPr>
  </w:style>
  <w:style w:type="paragraph" w:styleId="Rubrik6">
    <w:name w:val="heading 6"/>
    <w:basedOn w:val="Rubrik5"/>
    <w:next w:val="Normal"/>
    <w:qFormat/>
    <w:rsid w:val="00AA7843"/>
    <w:pPr>
      <w:numPr>
        <w:ilvl w:val="5"/>
      </w:numPr>
      <w:spacing w:before="50" w:line="200" w:lineRule="exact"/>
      <w:outlineLvl w:val="5"/>
    </w:pPr>
    <w:rPr>
      <w:caps/>
      <w:sz w:val="14"/>
    </w:rPr>
  </w:style>
  <w:style w:type="paragraph" w:styleId="Rubrik7">
    <w:name w:val="heading 7"/>
    <w:basedOn w:val="Rubrik6"/>
    <w:next w:val="Normal"/>
    <w:qFormat/>
    <w:rsid w:val="00AA7843"/>
    <w:pPr>
      <w:numPr>
        <w:ilvl w:val="6"/>
      </w:numPr>
      <w:spacing w:before="0"/>
      <w:outlineLvl w:val="6"/>
    </w:pPr>
  </w:style>
  <w:style w:type="paragraph" w:styleId="Rubrik8">
    <w:name w:val="heading 8"/>
    <w:basedOn w:val="Rubrik7"/>
    <w:next w:val="Normal"/>
    <w:qFormat/>
    <w:rsid w:val="00AA7843"/>
    <w:pPr>
      <w:numPr>
        <w:ilvl w:val="7"/>
      </w:numPr>
      <w:outlineLvl w:val="7"/>
    </w:pPr>
  </w:style>
  <w:style w:type="paragraph" w:styleId="Rubrik9">
    <w:name w:val="heading 9"/>
    <w:basedOn w:val="Rubrik8"/>
    <w:next w:val="Normal"/>
    <w:qFormat/>
    <w:rsid w:val="00AA784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6C0C91"/>
    <w:pPr>
      <w:spacing w:after="120"/>
    </w:pPr>
  </w:style>
  <w:style w:type="paragraph" w:styleId="Fotnotstext">
    <w:name w:val="footnote text"/>
    <w:basedOn w:val="Normal"/>
    <w:semiHidden/>
    <w:rsid w:val="006C0C91"/>
    <w:pPr>
      <w:spacing w:before="240" w:line="240" w:lineRule="auto"/>
    </w:pPr>
    <w:rPr>
      <w:sz w:val="20"/>
    </w:rPr>
  </w:style>
  <w:style w:type="paragraph" w:customStyle="1" w:styleId="Hemstlrubrik">
    <w:name w:val="Hemstl_rubrik"/>
    <w:basedOn w:val="Rubrik1"/>
    <w:next w:val="Normal"/>
    <w:rsid w:val="00A5393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A784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6C0C91"/>
    <w:rPr>
      <w:vertAlign w:val="superscript"/>
    </w:rPr>
  </w:style>
  <w:style w:type="paragraph" w:styleId="Ballongtext">
    <w:name w:val="Balloon Text"/>
    <w:basedOn w:val="Normal"/>
    <w:semiHidden/>
    <w:rsid w:val="00684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3932</Words>
  <Characters>23597</Characters>
  <Application>Microsoft Office Word</Application>
  <DocSecurity>4</DocSecurity>
  <Lines>421</Lines>
  <Paragraphs>104</Paragraphs>
  <ScaleCrop>false</ScaleCrop>
  <HeadingPairs>
    <vt:vector size="2" baseType="variant">
      <vt:variant>
        <vt:lpstr>Rubrik</vt:lpstr>
      </vt:variant>
      <vt:variant>
        <vt:i4>1</vt:i4>
      </vt:variant>
    </vt:vector>
  </HeadingPairs>
  <TitlesOfParts>
    <vt:vector size="1" baseType="lpstr">
      <vt:lpstr>Ub342</vt:lpstr>
    </vt:vector>
  </TitlesOfParts>
  <Company>Riksdagen</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Ub342</dc:title>
  <dc:subject>Ub342</dc:subject>
  <dc:creator>Riksdagen</dc:creator>
  <cp:keywords>Riksdagen</cp:keywords>
  <dc:description/>
  <cp:lastModifiedBy>Lars Brink</cp:lastModifiedBy>
  <cp:revision>2</cp:revision>
  <cp:lastPrinted>2005-11-02T06:38:00Z</cp:lastPrinted>
  <dcterms:created xsi:type="dcterms:W3CDTF">2025-12-16T21:59:00Z</dcterms:created>
  <dcterms:modified xsi:type="dcterms:W3CDTF">2025-12-16T21:59:00Z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skolor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Tolgfors m.fl. (m)</vt:lpwstr>
  </property>
  <property fmtid="{D5CDD505-2E9C-101B-9397-08002B2CF9AE}" pid="26" name="MotionarLista">
    <vt:lpwstr>Tolgfors, Sten (m)\Pålsson, Margareta (m)\Danielsson, Peter (m)\Björling, Ewa (m)\Högström, Tomas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 Margareta Pålsson (m), Peter Danielsson (m), Ewa Björling (m), Tomas Högström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20052006000000000109000001560075</vt:lpwstr>
  </property>
  <property fmtid="{D5CDD505-2E9C-101B-9397-08002B2CF9AE}" pid="47" name="datum">
    <vt:lpwstr>051003</vt:lpwstr>
  </property>
  <property fmtid="{D5CDD505-2E9C-101B-9397-08002B2CF9AE}" pid="48" name="avsändar-e-post">
    <vt:lpwstr>annika.michelsen@riksdagen.se</vt:lpwstr>
  </property>
  <property fmtid="{D5CDD505-2E9C-101B-9397-08002B2CF9AE}" pid="49" name="id">
    <vt:lpwstr>20052006000000000109000001560075</vt:lpwstr>
  </property>
  <property fmtid="{D5CDD505-2E9C-101B-9397-08002B2CF9AE}" pid="50" name="nummer">
    <vt:lpwstr>342</vt:lpwstr>
  </property>
  <property fmtid="{D5CDD505-2E9C-101B-9397-08002B2CF9AE}" pid="51" name="utskottsbeteckning">
    <vt:lpwstr>Ub</vt:lpwstr>
  </property>
</Properties>
</file>