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54AE" w:rsidRDefault="009A54AE">
      <w:pPr>
        <w:pStyle w:val="Rubrik1"/>
        <w:spacing w:before="0"/>
      </w:pPr>
      <w:bookmarkStart w:id="0" w:name="_Toc414760679"/>
      <w:r>
        <w:t>Till utrikesutskottet</w:t>
      </w:r>
      <w:bookmarkEnd w:id="0"/>
    </w:p>
    <w:p w:rsidR="009A54AE" w:rsidRDefault="009A54AE">
      <w:r>
        <w:t xml:space="preserve">Utrikesutskottet har den 12 mars 1998 berett utbildningsutskottet tillfälle att yttra sig över regeringens proposition 1997/98:58 </w:t>
      </w:r>
      <w:r>
        <w:rPr>
          <w:i/>
        </w:rPr>
        <w:t>Amsterdamfördraget</w:t>
      </w:r>
      <w:r>
        <w:t xml:space="preserve"> jämte motioner väckta med anledning av propositionen samt vissa motionsyrka</w:t>
      </w:r>
      <w:r>
        <w:t>n</w:t>
      </w:r>
      <w:r>
        <w:t>den från allmänna motionstiden.</w:t>
      </w:r>
    </w:p>
    <w:p w:rsidR="009A54AE" w:rsidRDefault="009A54AE">
      <w:pPr>
        <w:pStyle w:val="Normaltindrag"/>
      </w:pPr>
      <w:r>
        <w:t>När utrikesutskottet våren 1996 behandlade regeringens skrivelse 1995/96: 30 med redogörelse för förberedelsearbetet inför EU:s regeringskonferens fann man att utbildningsutskottets beredningsområde inte berördes, varför utbildningsutskottet inte då bereddes tillfälle att avge yttrande. Inte heller den nu aktuella propositionen behandlar frågor som i sak faller inom utbildning</w:t>
      </w:r>
      <w:r>
        <w:t>s</w:t>
      </w:r>
      <w:r>
        <w:t>utskottets beredningsområde utbildning och forskning. Av betydelse ur u</w:t>
      </w:r>
      <w:r>
        <w:t>t</w:t>
      </w:r>
      <w:r>
        <w:t>bildningsutskottets synvinkel är dock de förändringar i beslutsformerna inom EU som ingår i Amsterdamfördraget och som bl.a. berör formerna för beslut om ramprogram för forskning och Europaparlamentets del i beslutsfattandet dels om sådana ramprogram, dels om vissa yrkesutbildningsfrågor. Utbil</w:t>
      </w:r>
      <w:r>
        <w:t>d</w:t>
      </w:r>
      <w:r>
        <w:t>ningsutskottet går i det följande endast in på dessa förändringar och de m</w:t>
      </w:r>
      <w:r>
        <w:t>o</w:t>
      </w:r>
      <w:r>
        <w:t>tioner som till någon del berör dem, nämligen 1997/98:U14 (s), 1997/</w:t>
      </w:r>
      <w:r>
        <w:t>98:U15 (m), 1997/98:U16 (mp) och 1997/98:U17 (v).</w:t>
      </w:r>
    </w:p>
    <w:p w:rsidR="009A54AE" w:rsidRDefault="009A54AE">
      <w:pPr>
        <w:pStyle w:val="Rubrik2"/>
      </w:pPr>
      <w:r>
        <w:t>Majoritetsbeslut i stället för enhällighet i rådet</w:t>
      </w:r>
    </w:p>
    <w:p w:rsidR="009A54AE" w:rsidRDefault="009A54AE">
      <w:r>
        <w:t>Enligt Amsterdamfördraget utökas möjligheten att fatta beslut med kvalific</w:t>
      </w:r>
      <w:r>
        <w:t>e</w:t>
      </w:r>
      <w:r>
        <w:t>rad majoritet i rådet något. Enligt vad regeringen skriver (prop. s. 143 f.) har vissa medlemsstater under regeringskonferensen förordat en mycket långtg</w:t>
      </w:r>
      <w:r>
        <w:t>å</w:t>
      </w:r>
      <w:r>
        <w:t>ende övergång till majoritetsbeslut, medan Sverige har ingått i en mittgrupp som visat relativt stor öppenhet för att diskutera en övergång till beslut med kvalificerad majoritet, i syfte att förbättra effektiviteten i rådets beslutsfa</w:t>
      </w:r>
      <w:r>
        <w:t>t</w:t>
      </w:r>
      <w:r>
        <w:t>tande. Till de ärenden som enligt Amsterdamfördraget övergår från beslut med enhällighet till majoritetsbeslut hör rampro</w:t>
      </w:r>
      <w:r>
        <w:t>gram för fors</w:t>
      </w:r>
      <w:r>
        <w:t>k</w:t>
      </w:r>
      <w:r>
        <w:t>ning.</w:t>
      </w:r>
    </w:p>
    <w:p w:rsidR="009A54AE" w:rsidRDefault="009A54AE">
      <w:pPr>
        <w:pStyle w:val="Rubrik2"/>
      </w:pPr>
      <w:r>
        <w:t>Samarbetsproceduren med Europaparlamentet ersätts med medbeslutandeproceduren</w:t>
      </w:r>
    </w:p>
    <w:p w:rsidR="009A54AE" w:rsidRDefault="009A54AE">
      <w:r>
        <w:t>I Amsterdamfördraget förenklas rådets beslutsprocedurer med Europaparl</w:t>
      </w:r>
      <w:r>
        <w:t>a</w:t>
      </w:r>
      <w:r>
        <w:t xml:space="preserve">mentet. Den s.k. samarbetsproceduren avskaffas utom för de EMU-relaterade frågor där den i dag är tillämplig. De frågor som hittills har beslutats enligt </w:t>
      </w:r>
      <w:r>
        <w:lastRenderedPageBreak/>
        <w:t>samarbetsproceduren – bl.a. vissa bestämmelser och åtgärder för genomf</w:t>
      </w:r>
      <w:r>
        <w:t>ö</w:t>
      </w:r>
      <w:r>
        <w:t>randet av ramprogram för forskning och vissa åtgärder på yrkesutbildning</w:t>
      </w:r>
      <w:r>
        <w:t>s</w:t>
      </w:r>
      <w:r>
        <w:t>området – skall i fortsättningen beslutas enligt medbesluta</w:t>
      </w:r>
      <w:r>
        <w:t>n</w:t>
      </w:r>
      <w:r>
        <w:t>deproceduren.</w:t>
      </w:r>
    </w:p>
    <w:p w:rsidR="009A54AE" w:rsidRDefault="009A54AE">
      <w:pPr>
        <w:pStyle w:val="Normaltindrag"/>
      </w:pPr>
      <w:r>
        <w:t>Detta innebär att Europaparlamentets ställning förstärks något i förhålla</w:t>
      </w:r>
      <w:r>
        <w:t>n</w:t>
      </w:r>
      <w:r>
        <w:t>de till rådet. Möjligheten som rådet haft enligt samarbetsproceduren att, under vissa förutsättningar, genom ett enhälligt beslut slutgiltigt anta ett förslag som parlamentet motsätter sig, försvinner.</w:t>
      </w:r>
    </w:p>
    <w:p w:rsidR="009A54AE" w:rsidRDefault="009A54AE">
      <w:pPr>
        <w:pStyle w:val="Rubrik2"/>
      </w:pPr>
      <w:r>
        <w:t>Motionerna</w:t>
      </w:r>
    </w:p>
    <w:p w:rsidR="009A54AE" w:rsidRDefault="009A54AE">
      <w:r>
        <w:t>Vänsterpartiet föreslår i motion 1997/98:U17 att riksdagen skall avslå reg</w:t>
      </w:r>
      <w:r>
        <w:t>e</w:t>
      </w:r>
      <w:r>
        <w:t>ringens förslag om godkännande av Amsterdamfördraget och att frågan skall underställas en folkomröstning. Motionärerna anser att fördraget innebär att viktiga delar av Sveriges självbestämmande överlåts till EU. De vill att mer reell beslutsmakt skall överföras till de nationella parlamenten och att sama</w:t>
      </w:r>
      <w:r>
        <w:t>r</w:t>
      </w:r>
      <w:r>
        <w:t>betets mellanstatliga karaktär skall förstärkas. Därför bör Amsterdamfördr</w:t>
      </w:r>
      <w:r>
        <w:t>a</w:t>
      </w:r>
      <w:r>
        <w:t>get enligt deras mening omförhan</w:t>
      </w:r>
      <w:r>
        <w:t>d</w:t>
      </w:r>
      <w:r>
        <w:t xml:space="preserve">las. </w:t>
      </w:r>
    </w:p>
    <w:p w:rsidR="009A54AE" w:rsidRDefault="009A54AE">
      <w:pPr>
        <w:pStyle w:val="Normaltindrag"/>
      </w:pPr>
      <w:r>
        <w:t>Miljöpartiet yrkar i motion 1997/98:U16 i första hand att Amsterdamfö</w:t>
      </w:r>
      <w:r>
        <w:t>r</w:t>
      </w:r>
      <w:r>
        <w:t>draget underställs en folkomröstning i anslutning till riksdagsvalet 1998. Motionärerna anser att fördraget innebär ytterligare steg i riktning mot mer överstatlighet och minskad demokrati. Som exempel nämns bl.a. förändrin</w:t>
      </w:r>
      <w:r>
        <w:t>g</w:t>
      </w:r>
      <w:r>
        <w:t>en av beslutsformerna när det gäller ramprogram för forskning.</w:t>
      </w:r>
    </w:p>
    <w:p w:rsidR="009A54AE" w:rsidRDefault="009A54AE">
      <w:pPr>
        <w:pStyle w:val="Normaltindrag"/>
      </w:pPr>
      <w:r>
        <w:t xml:space="preserve">I motion 1997/98:U14 (s) yrkas att riksdagen skall avslå propositionen. Motionärerna vill att EU skall vara ett mellanstatligt samarbete. De motsätter sig en förstärkning av Europaparlamentets ställning, eftersom det skulle </w:t>
      </w:r>
      <w:r>
        <w:t>innebära mera federalism.</w:t>
      </w:r>
    </w:p>
    <w:p w:rsidR="009A54AE" w:rsidRDefault="009A54AE">
      <w:pPr>
        <w:pStyle w:val="Normaltindrag"/>
      </w:pPr>
      <w:r>
        <w:t>Enligt motion 1997/98:U15 (m) bör åtgärder vidtas för att förhindra EU:s fortgående federalistiska utveckling. Sverige bör enligt motionären inte acceptera övergång till majoritetsbeslut på ytterligare områden, förrän bet</w:t>
      </w:r>
      <w:r>
        <w:t>y</w:t>
      </w:r>
      <w:r>
        <w:t>dande instit</w:t>
      </w:r>
      <w:r>
        <w:t>u</w:t>
      </w:r>
      <w:r>
        <w:t xml:space="preserve">tionella förändringar har genomförts.  </w:t>
      </w:r>
    </w:p>
    <w:p w:rsidR="009A54AE" w:rsidRDefault="009A54AE">
      <w:pPr>
        <w:pStyle w:val="Normaltindrag"/>
      </w:pPr>
      <w:r>
        <w:t>De övriga motioner som utrikesutskottet avser att behandla tillsammans med propositionen berör inte utbildningsutskottets beredningsområde.</w:t>
      </w:r>
    </w:p>
    <w:p w:rsidR="009A54AE" w:rsidRDefault="009A54AE">
      <w:pPr>
        <w:pStyle w:val="Rubrik2"/>
      </w:pPr>
      <w:r>
        <w:t>Utbildningsutskottets bedömning</w:t>
      </w:r>
    </w:p>
    <w:p w:rsidR="009A54AE" w:rsidRDefault="009A54AE">
      <w:r>
        <w:t>Innehållet i EU:s ramprogram för forskning är ett viktigt svenskt intresse. Användningen av inhemska forskningsresurser påverkas av vilken forskning svenska forskare får EU-medel för att bedriva, eftersom EU:s bidrag i al</w:t>
      </w:r>
      <w:r>
        <w:t>l</w:t>
      </w:r>
      <w:r>
        <w:t>mänhet förutsätter att halva kostnaden för ett projekt finansieras från he</w:t>
      </w:r>
      <w:r>
        <w:t>m</w:t>
      </w:r>
      <w:r>
        <w:t>landet. Kravet på enhällighet i rådet, som hittills rått vid beslut om rampr</w:t>
      </w:r>
      <w:r>
        <w:t>o</w:t>
      </w:r>
      <w:r>
        <w:t>gram för forskning, har givit medlemsstaterna möjligheter att förhindra att beslutet får ett innehåll som strider mot respektive lands intresse. Den hi</w:t>
      </w:r>
      <w:r>
        <w:t>t</w:t>
      </w:r>
      <w:r>
        <w:t>tillsvarande ordningen gör det möjligt för ett land att blockera beslut intill dess det fått igenom sitt önskemål. Självfallet har man sökt kompromisser för att beslut över huvud taget skulle kunna fattas. E</w:t>
      </w:r>
      <w:r>
        <w:t xml:space="preserve">nhällighetskravet har inte medfört att t.ex. Sverige har kunnat få igenom allt som vårt land önskat eller kunnat förhindra alla inslag som Sverige ansett vara dåliga. </w:t>
      </w:r>
    </w:p>
    <w:p w:rsidR="009A54AE" w:rsidRDefault="009A54AE">
      <w:pPr>
        <w:pStyle w:val="Normaltindrag"/>
      </w:pPr>
      <w:r>
        <w:t>Utskottet utgår från att det kommer att behövas omfattande förberedelser och mycket kompromissande även när beslut i rådet skall fattas med kvalif</w:t>
      </w:r>
      <w:r>
        <w:t>i</w:t>
      </w:r>
      <w:r>
        <w:t>cerad majoritet. Utskottet anser inte att den förändring som Amsterdamfö</w:t>
      </w:r>
      <w:r>
        <w:t>r</w:t>
      </w:r>
      <w:r>
        <w:t>draget innebär är negativ för Sveriges möjligheter att hävda sina intressen på forskningsomr</w:t>
      </w:r>
      <w:r>
        <w:t>å</w:t>
      </w:r>
      <w:r>
        <w:t>det.</w:t>
      </w:r>
    </w:p>
    <w:p w:rsidR="009A54AE" w:rsidRDefault="009A54AE">
      <w:pPr>
        <w:pStyle w:val="Normaltindrag"/>
      </w:pPr>
      <w:r>
        <w:t>Den förstärkning av Europaparlamentets ställning som det innebär att sa</w:t>
      </w:r>
      <w:r>
        <w:t>m</w:t>
      </w:r>
      <w:r>
        <w:t>arbetsproceduren ersätts med medbeslutandeproceduren kan utbildningsu</w:t>
      </w:r>
      <w:r>
        <w:t>t</w:t>
      </w:r>
      <w:r>
        <w:t xml:space="preserve">skottet ställa sig bakom. </w:t>
      </w:r>
    </w:p>
    <w:p w:rsidR="009A54AE" w:rsidRDefault="009A54AE">
      <w:pPr>
        <w:pStyle w:val="Normaltindrag"/>
      </w:pPr>
      <w:r>
        <w:t>Såvitt avser utbildningsutskottets beredningsområde anser utskottet således att utrikesutskottet bör förorda att riksdagen bifaller regeringens förslag och därmed avslår motionerna 1997/98:U14, 1997/98:U15, 1997/98:U16 och 1997/98:U17.</w:t>
      </w:r>
    </w:p>
    <w:p w:rsidR="009A54AE" w:rsidRDefault="009A54AE">
      <w:pPr>
        <w:pStyle w:val="Normaltindrag"/>
      </w:pPr>
      <w:r>
        <w:t>Utbildningsutskottet avser att även i fortsättningen hålla sig väl underrättat om förberedelsearbetet för ett femte ramprogram för forskning.</w:t>
      </w:r>
    </w:p>
    <w:p w:rsidR="009A54AE" w:rsidRDefault="009A54AE">
      <w:r>
        <w:t>Stockholm den 1 april 1998</w:t>
      </w:r>
    </w:p>
    <w:p w:rsidR="009A54AE" w:rsidRDefault="009A54AE">
      <w:pPr>
        <w:pStyle w:val="Vgnar"/>
      </w:pPr>
      <w:r>
        <w:t>På utbildningsutskottets vägnar</w:t>
      </w:r>
    </w:p>
    <w:p w:rsidR="009A54AE" w:rsidRDefault="009A54AE">
      <w:pPr>
        <w:pStyle w:val="Ordfnamn"/>
      </w:pPr>
      <w:bookmarkStart w:id="1" w:name="Ordförande"/>
      <w:bookmarkEnd w:id="1"/>
      <w:r>
        <w:t xml:space="preserve">Jan Björkman </w:t>
      </w:r>
    </w:p>
    <w:p w:rsidR="009A54AE" w:rsidRDefault="009A54AE">
      <w:pPr>
        <w:pStyle w:val="Deltagare"/>
      </w:pPr>
      <w:bookmarkStart w:id="2" w:name="Deltagare"/>
      <w:bookmarkEnd w:id="2"/>
      <w:r>
        <w:t>I beslutet har deltagit: Jan Björkman (s), Beatrice Ask (m), Bengt Silfve</w:t>
      </w:r>
      <w:r>
        <w:t>r</w:t>
      </w:r>
      <w:r>
        <w:t>strand (s), Ingegerd Wärnersson (s), Rune Rydén (m), Agneta Lundberg (s), Torgny Danielsson (s), Majléne Westerlund Panke (s), Hans Hjortzberg-Nordlund (m), Gunnar Goude (mp), Nalin Baksi (s), Catharina Elmsäter-Svärd (m), Marie Wilén (c), Margareta Sandgren (s), Charlotta L Bjälkebring (v) och Siri Dannaeus (fp).</w:t>
      </w:r>
    </w:p>
    <w:p w:rsidR="009A54AE" w:rsidRDefault="009A54AE">
      <w:pPr>
        <w:pStyle w:val="Normaltindrag"/>
      </w:pPr>
    </w:p>
    <w:p w:rsidR="009A54AE" w:rsidRDefault="009A54AE">
      <w:pPr>
        <w:pStyle w:val="Rubrik2"/>
      </w:pPr>
      <w:bookmarkStart w:id="3" w:name="_Toc414760680"/>
      <w:r>
        <w:t>Avvikande mening</w:t>
      </w:r>
      <w:bookmarkEnd w:id="3"/>
    </w:p>
    <w:p w:rsidR="009A54AE" w:rsidRDefault="009A54AE">
      <w:r>
        <w:t>Gunnar Goude (mp) och Charlotta L Bjälkebring (v) anför:</w:t>
      </w:r>
    </w:p>
    <w:p w:rsidR="009A54AE" w:rsidRDefault="009A54AE">
      <w:r>
        <w:t>Vi instämmer i utskottsmajoritetens uppfattning att EU:s ramprogram för forskning är en för Sverige viktig fråga. Grundforskningens villkor i Sverige påverkas av ramprogrammet, enligt vår erfarenhet i huvudsak på ett negativt sätt.</w:t>
      </w:r>
    </w:p>
    <w:p w:rsidR="009A54AE" w:rsidRDefault="009A54AE">
      <w:pPr>
        <w:pStyle w:val="Normaltindrag"/>
      </w:pPr>
      <w:r>
        <w:t>Vi delar den uppfattning som kommer till uttryck i motionerna 1997/98: U14, 1997/98:U15, 1997/98:U16 och 1997/98:U17 att Amsterdamfördraget innebär en utveckling av EU i federalistisk riktning. Denna utveckling anser vi olycklig. Sverige är inne på en farlig väg om vi nu går med på att ta bort kravet på enhällighet i rådet vid beslut om t.ex. ramprogram för forskning. Frågan om röstviktning i rådet kommer att tas upp på nytt i en framtida reg</w:t>
      </w:r>
      <w:r>
        <w:t>e</w:t>
      </w:r>
      <w:r>
        <w:t xml:space="preserve">ringskonferens, och vi vet att de stora länderna trycker på för att förstärka sin egen makt i rådet. Förstärkning av Europaparlamentets ställning </w:t>
      </w:r>
      <w:r>
        <w:rPr>
          <w:snapToGrid w:val="0"/>
          <w:color w:val="000000"/>
          <w:lang w:eastAsia="sv-SE"/>
        </w:rPr>
        <w:t>och fö</w:t>
      </w:r>
      <w:r>
        <w:rPr>
          <w:snapToGrid w:val="0"/>
          <w:color w:val="000000"/>
          <w:lang w:eastAsia="sv-SE"/>
        </w:rPr>
        <w:t>r</w:t>
      </w:r>
      <w:r>
        <w:rPr>
          <w:snapToGrid w:val="0"/>
          <w:color w:val="000000"/>
          <w:lang w:eastAsia="sv-SE"/>
        </w:rPr>
        <w:t>svagningen av nationernas röst i ministerrådet innebär ytterligare inskrän</w:t>
      </w:r>
      <w:r>
        <w:rPr>
          <w:snapToGrid w:val="0"/>
          <w:color w:val="000000"/>
          <w:lang w:eastAsia="sv-SE"/>
        </w:rPr>
        <w:t>k</w:t>
      </w:r>
      <w:r>
        <w:rPr>
          <w:snapToGrid w:val="0"/>
          <w:color w:val="000000"/>
          <w:lang w:eastAsia="sv-SE"/>
        </w:rPr>
        <w:t>ningar i svensk demokrati, folkets möjlighet att genom valda ombud i Sver</w:t>
      </w:r>
      <w:r>
        <w:rPr>
          <w:snapToGrid w:val="0"/>
          <w:color w:val="000000"/>
          <w:lang w:eastAsia="sv-SE"/>
        </w:rPr>
        <w:t>i</w:t>
      </w:r>
      <w:r>
        <w:rPr>
          <w:snapToGrid w:val="0"/>
          <w:color w:val="000000"/>
          <w:lang w:eastAsia="sv-SE"/>
        </w:rPr>
        <w:t>ges riksdag själv bestämma, t.ex. över  svensk forskningspolitik.</w:t>
      </w:r>
      <w:r>
        <w:t xml:space="preserve"> </w:t>
      </w:r>
    </w:p>
    <w:p w:rsidR="009A54AE" w:rsidRDefault="009A54AE">
      <w:pPr>
        <w:pStyle w:val="Normaltindrag"/>
      </w:pPr>
      <w:r>
        <w:t>Vi anser således att utrikesutskottet bör föreslå riksdagen att bifalla de nämnda moti</w:t>
      </w:r>
      <w:r>
        <w:t>o</w:t>
      </w:r>
      <w:r>
        <w:t>nerna.</w:t>
      </w:r>
    </w:p>
    <w:p w:rsidR="009A54AE" w:rsidRDefault="009A54AE">
      <w:pPr>
        <w:pStyle w:val="Normaltindrag"/>
      </w:pPr>
      <w:bookmarkStart w:id="4" w:name="Nästa_Reservation"/>
      <w:bookmarkEnd w:id="4"/>
    </w:p>
    <w:p w:rsidR="009A54AE" w:rsidRDefault="009A54AE">
      <w:pPr>
        <w:pStyle w:val="Innehll"/>
      </w:pPr>
      <w:r>
        <w:t xml:space="preserve"> </w:t>
      </w: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p>
    <w:p w:rsidR="009A54AE" w:rsidRDefault="009A54AE">
      <w:pPr>
        <w:pStyle w:val="Tryckort"/>
      </w:pPr>
      <w:r>
        <w:t>Elanders Gotab, Stockholm  1998</w:t>
      </w:r>
    </w:p>
    <w:sectPr w:rsidR="009A54A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4AE" w:rsidRDefault="009A54AE">
      <w:pPr>
        <w:spacing w:before="0" w:line="240" w:lineRule="auto"/>
      </w:pPr>
      <w:r>
        <w:separator/>
      </w:r>
    </w:p>
  </w:endnote>
  <w:endnote w:type="continuationSeparator" w:id="0">
    <w:p w:rsidR="009A54AE" w:rsidRDefault="009A54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4AE" w:rsidRDefault="009A54AE">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4AE" w:rsidRDefault="009A54AE">
    <w:pPr>
      <w:pStyle w:val="SidfotH"/>
      <w:framePr w:w="567"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4AE" w:rsidRDefault="009A54AE">
    <w:pPr>
      <w:pStyle w:val="SidfotH"/>
      <w:framePr w:w="567"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4AE" w:rsidRDefault="009A54AE">
      <w:pPr>
        <w:spacing w:before="0" w:line="240" w:lineRule="auto"/>
      </w:pPr>
      <w:r>
        <w:separator/>
      </w:r>
    </w:p>
  </w:footnote>
  <w:footnote w:type="continuationSeparator" w:id="0">
    <w:p w:rsidR="009A54AE" w:rsidRDefault="009A54A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4AE" w:rsidRDefault="009A54AE">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1997/98:ubu5y</w:t>
    </w:r>
    <w:r>
      <w:fldChar w:fldCharType="end"/>
    </w:r>
  </w:p>
  <w:p w:rsidR="009A54AE" w:rsidRDefault="009A54AE">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9A54AE" w:rsidRDefault="009A54AE">
    <w:pPr>
      <w:pStyle w:val="SidhuvudV"/>
      <w:framePr w:w="2302" w:h="1928" w:hRule="exact" w:wrap="notBeside"/>
    </w:pPr>
    <w:r>
      <w:fldChar w:fldCharType="end"/>
    </w:r>
  </w:p>
  <w:p w:rsidR="009A54AE" w:rsidRDefault="009A54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4AE" w:rsidRDefault="009A54AE">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1997/98:UbU5y</w:t>
    </w:r>
    <w:r>
      <w:rPr>
        <w:sz w:val="21"/>
      </w:rPr>
      <w:fldChar w:fldCharType="end"/>
    </w:r>
  </w:p>
  <w:p w:rsidR="009A54AE" w:rsidRDefault="009A54AE">
    <w:pPr>
      <w:pStyle w:val="SidhuvudKant"/>
      <w:framePr w:hSpace="284" w:wrap="around"/>
      <w:rPr>
        <w:vanish/>
      </w:rPr>
    </w:pPr>
    <w:r>
      <w:rPr>
        <w:vanish/>
      </w:rPr>
      <w:t>&gt;B</w:t>
    </w:r>
  </w:p>
  <w:p w:rsidR="009A54AE" w:rsidRDefault="009A54A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MON_929452563"/>
  <w:bookmarkStart w:id="6" w:name="_MON_929529912"/>
  <w:bookmarkStart w:id="7" w:name="_MON_932818888"/>
  <w:bookmarkStart w:id="8" w:name="_MON_947076358"/>
  <w:bookmarkStart w:id="9" w:name="_MON_947165881"/>
  <w:bookmarkStart w:id="10" w:name="_MON_951631600"/>
  <w:bookmarkStart w:id="11" w:name="_MON_951810407"/>
  <w:bookmarkStart w:id="12" w:name="_MON_952247208"/>
  <w:bookmarkStart w:id="13" w:name="_MON_954067230"/>
  <w:bookmarkEnd w:id="5"/>
  <w:bookmarkEnd w:id="6"/>
  <w:bookmarkEnd w:id="7"/>
  <w:bookmarkEnd w:id="8"/>
  <w:bookmarkEnd w:id="9"/>
  <w:bookmarkEnd w:id="10"/>
  <w:bookmarkEnd w:id="11"/>
  <w:bookmarkEnd w:id="12"/>
  <w:bookmarkEnd w:id="13"/>
  <w:p w:rsidR="009A54AE" w:rsidRDefault="009A54AE">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536" r:id="rId2"/>
      </w:object>
    </w:r>
  </w:p>
  <w:p w:rsidR="009A54AE" w:rsidRDefault="009A54AE">
    <w:pPr>
      <w:pStyle w:val="SidhuvudFVapen"/>
      <w:framePr w:wrap="notBeside" w:x="7253" w:y="188"/>
      <w:spacing w:line="230" w:lineRule="auto"/>
      <w:rPr>
        <w:sz w:val="24"/>
      </w:rPr>
    </w:pPr>
    <w:bookmarkStart w:id="14" w:name="BnrVapen"/>
    <w:r>
      <w:rPr>
        <w:sz w:val="24"/>
      </w:rPr>
      <w:t>1997/98</w:t>
    </w:r>
  </w:p>
  <w:p w:rsidR="009A54AE" w:rsidRDefault="009A54AE">
    <w:pPr>
      <w:pStyle w:val="SidhuvudFVapen"/>
      <w:framePr w:wrap="notBeside" w:x="7253" w:y="188"/>
      <w:spacing w:line="230" w:lineRule="auto"/>
      <w:rPr>
        <w:sz w:val="24"/>
      </w:rPr>
    </w:pPr>
    <w:r>
      <w:rPr>
        <w:sz w:val="24"/>
      </w:rPr>
      <w:t xml:space="preserve">UbU5y </w:t>
    </w:r>
    <w:bookmarkEnd w:id="14"/>
    <w:r w:rsidR="00A6614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329997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0FEE2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9A54AE" w:rsidRDefault="009A54AE">
    <w:pPr>
      <w:pStyle w:val="SidhuvudFText"/>
      <w:framePr w:w="5727" w:h="2722" w:hRule="exact" w:hSpace="0" w:wrap="notBeside" w:hAnchor="page" w:x="1135" w:y="568"/>
      <w:spacing w:line="400" w:lineRule="exact"/>
      <w:ind w:right="629"/>
      <w:rPr>
        <w:sz w:val="36"/>
      </w:rPr>
    </w:pPr>
    <w:bookmarkStart w:id="15" w:name="DokumentTyp"/>
    <w:r>
      <w:rPr>
        <w:sz w:val="36"/>
      </w:rPr>
      <w:t xml:space="preserve">Utbildningsutskottets yttrande </w:t>
    </w:r>
    <w:bookmarkEnd w:id="15"/>
  </w:p>
  <w:p w:rsidR="009A54AE" w:rsidRDefault="009A54AE">
    <w:pPr>
      <w:pStyle w:val="SidhuvudFText"/>
      <w:framePr w:w="5727" w:h="2722" w:hRule="exact" w:hSpace="0" w:wrap="notBeside" w:hAnchor="page" w:x="1135" w:y="568"/>
      <w:spacing w:line="400" w:lineRule="exact"/>
      <w:ind w:right="629"/>
      <w:rPr>
        <w:sz w:val="36"/>
      </w:rPr>
    </w:pPr>
    <w:bookmarkStart w:id="16" w:name="Betänkandenummer"/>
    <w:r>
      <w:rPr>
        <w:sz w:val="36"/>
      </w:rPr>
      <w:t xml:space="preserve">1997/98:UbU5y </w:t>
    </w:r>
    <w:bookmarkEnd w:id="16"/>
    <w:r>
      <w:rPr>
        <w:sz w:val="36"/>
      </w:rPr>
      <w:t xml:space="preserve">       </w:t>
    </w:r>
    <w:bookmarkStart w:id="17" w:name="Utkast"/>
    <w:r>
      <w:rPr>
        <w:sz w:val="36"/>
      </w:rPr>
      <w:t xml:space="preserve"> </w:t>
    </w:r>
  </w:p>
  <w:p w:rsidR="009A54AE" w:rsidRDefault="009A54AE">
    <w:pPr>
      <w:pStyle w:val="SidhuvudFText"/>
      <w:framePr w:w="5727" w:h="2722" w:hRule="exact" w:hSpace="0" w:wrap="notBeside" w:hAnchor="page" w:x="1135" w:y="568"/>
      <w:spacing w:before="40" w:after="900" w:line="280" w:lineRule="exact"/>
      <w:ind w:right="629"/>
      <w:rPr>
        <w:sz w:val="26"/>
      </w:rPr>
    </w:pPr>
    <w:bookmarkStart w:id="18" w:name="Rubrik"/>
    <w:bookmarkEnd w:id="17"/>
    <w:r>
      <w:rPr>
        <w:sz w:val="28"/>
      </w:rPr>
      <w:t>Amsterdamfördraget</w:t>
    </w:r>
    <w:r>
      <w:rPr>
        <w:sz w:val="26"/>
      </w:rPr>
      <w:t xml:space="preserve"> </w:t>
    </w:r>
    <w:bookmarkEnd w:id="18"/>
    <w:r>
      <w:rPr>
        <w:sz w:val="26"/>
      </w:rPr>
      <w:t xml:space="preserve"> </w:t>
    </w:r>
  </w:p>
  <w:p w:rsidR="009A54AE" w:rsidRDefault="009A54AE">
    <w:pPr>
      <w:pStyle w:val="SidhuvudFText"/>
      <w:framePr w:w="5727" w:h="2722" w:hRule="exact" w:hSpace="0" w:wrap="notBeside" w:hAnchor="page" w:x="1135" w:y="568"/>
      <w:spacing w:line="460" w:lineRule="exact"/>
      <w:ind w:right="629"/>
      <w:rPr>
        <w:sz w:val="36"/>
      </w:rPr>
    </w:pPr>
  </w:p>
  <w:p w:rsidR="009A54AE" w:rsidRDefault="009A54AE">
    <w:pPr>
      <w:pStyle w:val="SidhuvudFText"/>
      <w:framePr w:w="5727" w:h="2722" w:hRule="exact" w:hSpace="0" w:wrap="notBeside" w:hAnchor="page" w:x="1135" w:y="568"/>
      <w:spacing w:before="40" w:after="900" w:line="300" w:lineRule="exact"/>
      <w:ind w:right="629"/>
      <w:rPr>
        <w:sz w:val="26"/>
      </w:rPr>
    </w:pPr>
    <w:r>
      <w:rPr>
        <w:sz w:val="26"/>
      </w:rPr>
      <w:t xml:space="preserve"> </w:t>
    </w:r>
  </w:p>
  <w:p w:rsidR="009A54AE" w:rsidRDefault="009A54A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proofState w:grammar="clean"/>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5y"/>
    <w:docVar w:name="Flyttförsök" w:val="JA"/>
    <w:docVar w:name="HelaNamnet" w:val="1997/98:UbU5y"/>
    <w:docVar w:name="NR" w:val="5y"/>
    <w:docVar w:name="RUBRIK" w:val="Amsterdamfördraget"/>
    <w:docVar w:name="SkapVERSION" w:val="V7.63 (97) 980301"/>
    <w:docVar w:name="SkapÅr" w:val="9798"/>
    <w:docVar w:name="Typer" w:val="S"/>
    <w:docVar w:name="USK" w:val="UbU"/>
    <w:docVar w:name="USKKORT" w:val="UbU"/>
    <w:docVar w:name="USKNAMN" w:val="Utbildningsutskottets"/>
    <w:docVar w:name="USKNAMNG" w:val="utbildningsutskottets"/>
    <w:docVar w:name="ÅR" w:val="1997/98"/>
  </w:docVars>
  <w:rsids>
    <w:rsidRoot w:val="001E5E6C"/>
    <w:rsid w:val="001E5E6C"/>
    <w:rsid w:val="009A54AE"/>
    <w:rsid w:val="00A661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4D1047-A10E-4635-943A-9DA56A9B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1015</Words>
  <Characters>6761</Characters>
  <Application>Microsoft Office Word</Application>
  <DocSecurity>4</DocSecurity>
  <Lines>187</Lines>
  <Paragraphs>34</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Utbildningsutskottets betänkande nr 5y</vt:lpstr>
      <vt:lpstr>Till utrikesutskottet</vt:lpstr>
      <vt:lpstr>    Majoritetsbeslut i stället för enhällighet i rådet</vt:lpstr>
      <vt:lpstr>    Samarbetsproceduren med Europaparlamentet ersätts med medbeslutandeproceduren</vt:lpstr>
      <vt:lpstr>    Motionerna</vt:lpstr>
      <vt:lpstr>    Utbildningsutskottets bedömning</vt:lpstr>
      <vt:lpstr>    Avvikande mening</vt:lpstr>
    </vt:vector>
  </TitlesOfParts>
  <Company>Sveriges Riksdag</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5y</dc:title>
  <dc:subject>Utbildningsutskottets betänkande nr 5y</dc:subject>
  <dc:creator>Riksdagen</dc:creator>
  <cp:keywords>Riksdagen</cp:keywords>
  <dc:description/>
  <cp:lastModifiedBy>Lars Brink</cp:lastModifiedBy>
  <cp:revision>2</cp:revision>
  <cp:lastPrinted>1998-04-14T12:17:00Z</cp:lastPrinted>
  <dcterms:created xsi:type="dcterms:W3CDTF">2025-12-15T18:57:00Z</dcterms:created>
  <dcterms:modified xsi:type="dcterms:W3CDTF">2025-12-15T18:57:00Z</dcterms:modified>
</cp:coreProperties>
</file>