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55F" w:rsidRPr="0065655F" w:rsidRDefault="0065655F">
      <w:pPr>
        <w:pStyle w:val="Frslagsrubrik"/>
      </w:pPr>
      <w:r w:rsidRPr="0065655F">
        <w:t>Förslag till riksdagsbeslut</w:t>
      </w:r>
    </w:p>
    <w:p w:rsidR="0065655F" w:rsidRPr="0065655F" w:rsidRDefault="0065655F">
      <w:pPr>
        <w:pStyle w:val="Hemstlatt"/>
      </w:pPr>
      <w:r w:rsidRPr="0065655F">
        <w:t>Riksdagen tillkännager för regeringen som sin mening vad som anförs i motionen om att följa upp tidigare utredningar för att utarb</w:t>
      </w:r>
      <w:r w:rsidRPr="0065655F">
        <w:t>e</w:t>
      </w:r>
      <w:r w:rsidRPr="0065655F">
        <w:t>ta en ny modell för speciallivsmedel.</w:t>
      </w:r>
    </w:p>
    <w:p w:rsidR="0065655F" w:rsidRPr="0065655F" w:rsidRDefault="0065655F">
      <w:pPr>
        <w:pStyle w:val="Rubrik1"/>
      </w:pPr>
      <w:r w:rsidRPr="0065655F">
        <w:t>Motivering</w:t>
      </w:r>
    </w:p>
    <w:p w:rsidR="0065655F" w:rsidRPr="0065655F" w:rsidRDefault="0065655F">
      <w:r w:rsidRPr="0065655F">
        <w:t>Diagnosen celiaki (glutenintolerans) innebär att man inte tål proteinet gluten som finns i de fyra sädesslagen vete, råg, korn och havre. Behandlingen är att äta glutenfria ersättningsprodukter och övrig mat som är fritt från detta prot</w:t>
      </w:r>
      <w:r w:rsidRPr="0065655F">
        <w:t>e</w:t>
      </w:r>
      <w:r w:rsidRPr="0065655F">
        <w:t>in. Sjukdomen är livslång och kan inte botas. Glutenfria ersättningsprodukter finns, men är dyra i inköp och ibland även svåra att få tag på. Utbudet varierar beroende på butikskedja och ort. Apoteket har ett begränsat sortiment av glutenfria ersättningsprodukter. Dessa beställer man med en leveranstid på cirka en vecka. Sjukdomen innebär att det är av stor vikt att kosten blir så näringsriktig som möjligt för att kompensera det näringsbortfall som inträder vid glutenfri kost. Glutenfria ersättningsprodukt</w:t>
      </w:r>
      <w:r w:rsidRPr="0065655F">
        <w:t>er är dyrare än vanliga spannmålsbaserade livsmedel.</w:t>
      </w:r>
    </w:p>
    <w:p w:rsidR="0065655F" w:rsidRPr="0065655F" w:rsidRDefault="0065655F">
      <w:pPr>
        <w:pStyle w:val="Normaltindrag"/>
      </w:pPr>
      <w:r w:rsidRPr="0065655F">
        <w:t>Barn upp till 16 år kan få ett begränsat bassortiment av glutenfria specia</w:t>
      </w:r>
      <w:r w:rsidRPr="0065655F">
        <w:t>l</w:t>
      </w:r>
      <w:r w:rsidRPr="0065655F">
        <w:t>produkter på apotek. Livsmedelsanvisningen fungerar och kostar ungefär som när man får ett recept för vanlig medicin. Förskrivningen av specialprodukter ska göras av läkare med speciell behörighet.</w:t>
      </w:r>
    </w:p>
    <w:p w:rsidR="0065655F" w:rsidRPr="0065655F" w:rsidRDefault="0065655F">
      <w:pPr>
        <w:pStyle w:val="Normaltindrag"/>
      </w:pPr>
      <w:r w:rsidRPr="0065655F">
        <w:t>Vid 16 års ålder upphör livsmedelsanvisningen, högkostnadsskyddet fö</w:t>
      </w:r>
      <w:r w:rsidRPr="0065655F">
        <w:t>r</w:t>
      </w:r>
      <w:r w:rsidRPr="0065655F">
        <w:t>svinner och bostadsorten blir avgörande för om ekonomiskt stöd utgår. I vissa landsting utgår ett kontantbidrag till glutenfria ersättningsprodukter som dock inte täcker hela merkostnaden.</w:t>
      </w:r>
    </w:p>
    <w:p w:rsidR="0065655F" w:rsidRPr="0065655F" w:rsidRDefault="0065655F">
      <w:pPr>
        <w:pStyle w:val="Normaltindrag"/>
      </w:pPr>
      <w:r w:rsidRPr="0065655F">
        <w:t>I andra landsting kan vuxna glutenintoleranta erhålla glutenfria ersät</w:t>
      </w:r>
      <w:r w:rsidRPr="0065655F">
        <w:t>t</w:t>
      </w:r>
      <w:r w:rsidRPr="0065655F">
        <w:t xml:space="preserve">ningsprodukter till ett visst belopp eller till ett rabatterat pris. Reglerna skiftar och ibland är stödet i praktiken ingen förmån. Och i en del landsting utgår </w:t>
      </w:r>
      <w:r w:rsidRPr="0065655F">
        <w:lastRenderedPageBreak/>
        <w:t>inget ekonomiskt stöd alls. Systemet med livsmedelsanvisning och möjligh</w:t>
      </w:r>
      <w:r w:rsidRPr="0065655F">
        <w:t>e</w:t>
      </w:r>
      <w:r w:rsidRPr="0065655F">
        <w:t>ten att handla glutenfria ersättningsprodukter ur Apotekets sortiment är dyrt och tidsödande. Läkare och dietister lägger ner stort administrativt arbete på att förskriva glutenfria ersättningsprodukter, tid som istället kan läggas på mer patientkontakt. Vidare måste sedan Ap</w:t>
      </w:r>
      <w:r w:rsidRPr="0065655F">
        <w:t>oteket lagerhålla, eller beställa hem dessa produkter, packa dem och registrera uttaget på patienten. Denna hantering är fysiskt tung för Apotekets personal, kräver mycket transport av varor till apotek från olika lager och är skrymmande. För personer med gl</w:t>
      </w:r>
      <w:r w:rsidRPr="0065655F">
        <w:t>u</w:t>
      </w:r>
      <w:r w:rsidRPr="0065655F">
        <w:t>tenintolerans som bor på landsbygden resulterar dagens system i dels resor till sjukhus, dels resor till apotek. Kostnaderna för hanteringen skulle bli 0 kronor för staten om Apotekets hantering av glutenfria livsmedel flyttades till liv</w:t>
      </w:r>
      <w:r w:rsidRPr="0065655F">
        <w:t>s</w:t>
      </w:r>
      <w:r w:rsidRPr="0065655F">
        <w:t>medelshandeln.</w:t>
      </w:r>
    </w:p>
    <w:p w:rsidR="0065655F" w:rsidRPr="0065655F" w:rsidRDefault="0065655F">
      <w:pPr>
        <w:pStyle w:val="Normaltindrag"/>
      </w:pPr>
      <w:r w:rsidRPr="0065655F">
        <w:t>Idag kommer inga nya produkter in på Apoteken i väntan på beslut om det framtida stödsystemet. Nya varor som t.ex. fiberrik pasta, som är en utmärkt produkt för dem med glutenintolerans, finns inte att tillgå för dem som får liv</w:t>
      </w:r>
      <w:r w:rsidRPr="0065655F">
        <w:t>s</w:t>
      </w:r>
      <w:r w:rsidRPr="0065655F">
        <w:t>medelsanvisning. Det nuvarande systemet är otidsenligt. Det är också djupt orättvist eftersom stödet varierar mellan åldersgrupper och mellan b</w:t>
      </w:r>
      <w:r w:rsidRPr="0065655F">
        <w:t>o</w:t>
      </w:r>
      <w:r w:rsidRPr="0065655F">
        <w:t>stadsorter. Dessutom hämmar det individens valmöjligheter, effektiv prisko</w:t>
      </w:r>
      <w:r w:rsidRPr="0065655F">
        <w:t>n</w:t>
      </w:r>
      <w:r w:rsidRPr="0065655F">
        <w:t>kurrens och produktutveckling. De produkter som finns på livsmedelanvi</w:t>
      </w:r>
      <w:r w:rsidRPr="0065655F">
        <w:t>s</w:t>
      </w:r>
      <w:r w:rsidRPr="0065655F">
        <w:t>ning ko</w:t>
      </w:r>
      <w:r w:rsidRPr="0065655F">
        <w:t>n</w:t>
      </w:r>
      <w:r w:rsidRPr="0065655F">
        <w:t>kurrerar ut andra produkter som säljs i dagligvaruhandeln trots att dessa kan vara både billigare och bättre.</w:t>
      </w:r>
    </w:p>
    <w:p w:rsidR="0065655F" w:rsidRPr="0065655F" w:rsidRDefault="0065655F">
      <w:pPr>
        <w:pStyle w:val="Normaltindrag"/>
      </w:pPr>
      <w:r w:rsidRPr="0065655F">
        <w:t xml:space="preserve">Flera utredningar och kommittéer har behandlat frågan under årens lopp, men inget har hänt. Redan 2005 </w:t>
      </w:r>
      <w:r w:rsidRPr="0065655F">
        <w:t>riktade riksdagen ett tillkännagivande till den tidigare regeringen om att återkomma till riksdagen med förslag till ett nytt förmånssystem som skulle åtgärda de brister som nuvarande system har. Det är därför hög tid att följa upp tidigare utredningar för att utarbeta en ny m</w:t>
      </w:r>
      <w:r w:rsidRPr="0065655F">
        <w:t>o</w:t>
      </w:r>
      <w:r w:rsidRPr="0065655F">
        <w:t>dell för speciallivsmedel.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655F">
        <w:trPr>
          <w:cantSplit/>
        </w:trPr>
        <w:tc>
          <w:tcPr>
            <w:tcW w:w="3046" w:type="dxa"/>
          </w:tcPr>
          <w:p w:rsidR="0065655F" w:rsidRPr="0065655F" w:rsidRDefault="0065655F">
            <w:pPr>
              <w:pStyle w:val="UnderskriftDatum"/>
              <w:spacing w:before="240"/>
            </w:pPr>
            <w:r w:rsidRPr="0065655F">
              <w:t>Stockholm den 29 september 2009</w:t>
            </w:r>
          </w:p>
        </w:tc>
        <w:tc>
          <w:tcPr>
            <w:tcW w:w="3047" w:type="dxa"/>
          </w:tcPr>
          <w:p w:rsidR="0065655F" w:rsidRPr="0065655F" w:rsidRDefault="0065655F">
            <w:pPr>
              <w:pStyle w:val="Underskrifter"/>
              <w:spacing w:before="240"/>
            </w:pPr>
          </w:p>
        </w:tc>
      </w:tr>
      <w:tr w:rsidR="00000000" w:rsidRPr="0065655F">
        <w:trPr>
          <w:cantSplit/>
        </w:trPr>
        <w:tc>
          <w:tcPr>
            <w:tcW w:w="3046" w:type="dxa"/>
          </w:tcPr>
          <w:p w:rsidR="0065655F" w:rsidRPr="0065655F" w:rsidRDefault="0065655F">
            <w:pPr>
              <w:pStyle w:val="Underskrifter"/>
            </w:pPr>
            <w:r w:rsidRPr="0065655F">
              <w:t>Maria Lundqvist-Brömster (fp)</w:t>
            </w:r>
          </w:p>
        </w:tc>
        <w:tc>
          <w:tcPr>
            <w:tcW w:w="3046" w:type="dxa"/>
          </w:tcPr>
          <w:p w:rsidR="0065655F" w:rsidRPr="0065655F" w:rsidRDefault="0065655F">
            <w:pPr>
              <w:pStyle w:val="Underskrifter"/>
            </w:pPr>
          </w:p>
        </w:tc>
      </w:tr>
    </w:tbl>
    <w:p w:rsidR="0065655F" w:rsidRPr="0065655F" w:rsidRDefault="0065655F">
      <w:pPr>
        <w:pStyle w:val="Normaltindrag"/>
      </w:pPr>
    </w:p>
    <w:sectPr w:rsidR="00000000" w:rsidRPr="006565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55F" w:rsidRPr="0065655F" w:rsidRDefault="0065655F">
      <w:r w:rsidRPr="0065655F">
        <w:separator/>
      </w:r>
    </w:p>
  </w:endnote>
  <w:endnote w:type="continuationSeparator" w:id="0">
    <w:p w:rsidR="0065655F" w:rsidRPr="0065655F" w:rsidRDefault="0065655F">
      <w:r w:rsidRPr="006565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55F" w:rsidRPr="0065655F" w:rsidRDefault="0065655F">
    <w:pPr>
      <w:pStyle w:val="Sidfot"/>
    </w:pPr>
    <w:r w:rsidRPr="006565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3777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5F" w:rsidRDefault="006565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55F" w:rsidRDefault="006565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55F" w:rsidRPr="0065655F" w:rsidRDefault="0065655F">
    <w:pPr>
      <w:pStyle w:val="Sidfot"/>
    </w:pPr>
    <w:r w:rsidRPr="006565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466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5F" w:rsidRDefault="006565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55F" w:rsidRDefault="006565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55F" w:rsidRPr="0065655F" w:rsidRDefault="0065655F">
    <w:pPr>
      <w:pStyle w:val="Sidfot"/>
    </w:pPr>
    <w:r w:rsidRPr="006565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968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5F" w:rsidRDefault="006565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55F" w:rsidRDefault="006565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55F" w:rsidRPr="0065655F" w:rsidRDefault="0065655F">
      <w:r w:rsidRPr="0065655F">
        <w:separator/>
      </w:r>
    </w:p>
  </w:footnote>
  <w:footnote w:type="continuationSeparator" w:id="0">
    <w:p w:rsidR="0065655F" w:rsidRPr="0065655F" w:rsidRDefault="0065655F">
      <w:r w:rsidRPr="006565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55F" w:rsidRPr="0065655F" w:rsidRDefault="0065655F">
    <w:pPr>
      <w:pStyle w:val="Sidhuvud"/>
    </w:pPr>
    <w:r w:rsidRPr="006565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87671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5F" w:rsidRDefault="006565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55F" w:rsidRDefault="0065655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55F" w:rsidRPr="0065655F" w:rsidRDefault="0065655F">
    <w:pPr>
      <w:pStyle w:val="Sidhuvud"/>
    </w:pPr>
    <w:r w:rsidRPr="006565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6437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55F" w:rsidRDefault="006565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55F" w:rsidRDefault="0065655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55F" w:rsidRPr="0065655F" w:rsidRDefault="0065655F">
    <w:pPr>
      <w:pStyle w:val="FSHNormal"/>
      <w:tabs>
        <w:tab w:val="right" w:pos="5840"/>
      </w:tabs>
    </w:pPr>
    <w:r w:rsidRPr="0065655F">
      <w:br/>
    </w:r>
    <w:r w:rsidRPr="0065655F">
      <w:fldChar w:fldCharType="begin" w:fldLock="1"/>
    </w:r>
    <w:r w:rsidRPr="0065655F">
      <w:instrText xml:space="preserve"> DOCPROPERTY</w:instrText>
    </w:r>
    <w:r w:rsidRPr="0065655F">
      <w:rPr>
        <w:sz w:val="18"/>
      </w:rPr>
      <w:instrText xml:space="preserve"> "YearUser" *\charformat </w:instrText>
    </w:r>
    <w:r w:rsidRPr="0065655F">
      <w:fldChar w:fldCharType="separate"/>
    </w:r>
    <w:r w:rsidRPr="0065655F">
      <w:t>2009/10</w:t>
    </w:r>
    <w:r w:rsidRPr="0065655F">
      <w:fldChar w:fldCharType="end"/>
    </w:r>
    <w:r w:rsidRPr="0065655F">
      <w:t xml:space="preserve"> </w:t>
    </w:r>
    <w:r w:rsidRPr="0065655F">
      <w:tab/>
      <w:t xml:space="preserve">mnr: </w:t>
    </w:r>
    <w:r w:rsidRPr="0065655F">
      <w:fldChar w:fldCharType="begin" w:fldLock="1"/>
    </w:r>
    <w:r w:rsidRPr="0065655F">
      <w:instrText xml:space="preserve"> DOCPROPERTY</w:instrText>
    </w:r>
    <w:r w:rsidRPr="0065655F">
      <w:rPr>
        <w:sz w:val="18"/>
      </w:rPr>
      <w:instrText xml:space="preserve"> "Motionsnummer" *\charformat </w:instrText>
    </w:r>
    <w:r w:rsidRPr="0065655F">
      <w:fldChar w:fldCharType="separate"/>
    </w:r>
    <w:r w:rsidRPr="0065655F">
      <w:t>So257</w:t>
    </w:r>
    <w:r w:rsidRPr="0065655F">
      <w:fldChar w:fldCharType="end"/>
    </w:r>
    <w:r w:rsidRPr="0065655F">
      <w:br/>
    </w:r>
    <w:r w:rsidRPr="0065655F">
      <w:fldChar w:fldCharType="begin" w:fldLock="1"/>
    </w:r>
    <w:r w:rsidRPr="0065655F">
      <w:instrText xml:space="preserve"> DOCPROPERTY</w:instrText>
    </w:r>
    <w:r w:rsidRPr="0065655F">
      <w:rPr>
        <w:sz w:val="18"/>
      </w:rPr>
      <w:instrText xml:space="preserve"> "Samling" *\charformat </w:instrText>
    </w:r>
    <w:r w:rsidRPr="0065655F">
      <w:fldChar w:fldCharType="end"/>
    </w:r>
    <w:r w:rsidRPr="0065655F">
      <w:tab/>
      <w:t xml:space="preserve">pnr: </w:t>
    </w:r>
    <w:r w:rsidRPr="0065655F">
      <w:fldChar w:fldCharType="begin" w:fldLock="1"/>
    </w:r>
    <w:r w:rsidRPr="0065655F">
      <w:instrText xml:space="preserve"> DOCPROPERTY</w:instrText>
    </w:r>
    <w:r w:rsidRPr="0065655F">
      <w:rPr>
        <w:sz w:val="18"/>
      </w:rPr>
      <w:instrText xml:space="preserve"> "Partinummer" *\charformat </w:instrText>
    </w:r>
    <w:r w:rsidRPr="0065655F">
      <w:fldChar w:fldCharType="separate"/>
    </w:r>
    <w:r w:rsidRPr="0065655F">
      <w:t>fp1051</w:t>
    </w:r>
    <w:r w:rsidRPr="0065655F">
      <w:fldChar w:fldCharType="end"/>
    </w:r>
  </w:p>
  <w:p w:rsidR="0065655F" w:rsidRPr="0065655F" w:rsidRDefault="0065655F">
    <w:pPr>
      <w:pStyle w:val="FSHRub1"/>
    </w:pPr>
    <w:r w:rsidRPr="0065655F">
      <w:t>Motion till riksdagen</w:t>
    </w:r>
    <w:r w:rsidRPr="0065655F">
      <w:br/>
    </w:r>
    <w:r w:rsidRPr="0065655F">
      <w:fldChar w:fldCharType="begin" w:fldLock="1"/>
    </w:r>
    <w:r w:rsidRPr="0065655F">
      <w:instrText xml:space="preserve"> DOCPROPERTY "YearUser" *\charformat </w:instrText>
    </w:r>
    <w:r w:rsidRPr="0065655F">
      <w:fldChar w:fldCharType="separate"/>
    </w:r>
    <w:r w:rsidRPr="0065655F">
      <w:t>2009/10</w:t>
    </w:r>
    <w:r w:rsidRPr="0065655F">
      <w:fldChar w:fldCharType="end"/>
    </w:r>
    <w:r w:rsidRPr="0065655F">
      <w:t>:</w:t>
    </w:r>
    <w:r w:rsidRPr="0065655F">
      <w:fldChar w:fldCharType="begin" w:fldLock="1"/>
    </w:r>
    <w:r w:rsidRPr="0065655F">
      <w:instrText xml:space="preserve"> DOCPROPERTY "Motionsnummer" *\charformat </w:instrText>
    </w:r>
    <w:r w:rsidRPr="0065655F">
      <w:fldChar w:fldCharType="separate"/>
    </w:r>
    <w:r w:rsidRPr="0065655F">
      <w:t>So257</w:t>
    </w:r>
    <w:r w:rsidRPr="0065655F">
      <w:fldChar w:fldCharType="end"/>
    </w:r>
  </w:p>
  <w:p w:rsidR="0065655F" w:rsidRPr="0065655F" w:rsidRDefault="0065655F">
    <w:pPr>
      <w:pStyle w:val="FSHNormalS5"/>
    </w:pPr>
    <w:r w:rsidRPr="0065655F">
      <w:fldChar w:fldCharType="begin" w:fldLock="1"/>
    </w:r>
    <w:r w:rsidRPr="0065655F">
      <w:instrText xml:space="preserve"> DOCPROPERTY "MotionarText" *\charformat </w:instrText>
    </w:r>
    <w:r w:rsidRPr="0065655F">
      <w:fldChar w:fldCharType="separate"/>
    </w:r>
    <w:r w:rsidRPr="0065655F">
      <w:t>av Maria Lundqvist-Brömster (fp)</w:t>
    </w:r>
    <w:r w:rsidRPr="0065655F">
      <w:fldChar w:fldCharType="end"/>
    </w:r>
    <w:r w:rsidRPr="0065655F">
      <w:br/>
    </w:r>
    <w:r w:rsidRPr="0065655F">
      <w:fldChar w:fldCharType="begin" w:fldLock="1"/>
    </w:r>
    <w:r w:rsidRPr="0065655F">
      <w:instrText xml:space="preserve"> DOCPROPERTY "SvarFrasKort" *\charformat </w:instrText>
    </w:r>
    <w:r w:rsidRPr="0065655F">
      <w:fldChar w:fldCharType="end"/>
    </w:r>
  </w:p>
  <w:p w:rsidR="0065655F" w:rsidRPr="0065655F" w:rsidRDefault="0065655F">
    <w:pPr>
      <w:pStyle w:val="FSHTitel"/>
    </w:pPr>
    <w:r w:rsidRPr="0065655F">
      <w:fldChar w:fldCharType="begin" w:fldLock="1"/>
    </w:r>
    <w:r w:rsidRPr="0065655F">
      <w:instrText xml:space="preserve"> DOCPROPERTY</w:instrText>
    </w:r>
    <w:r w:rsidRPr="0065655F">
      <w:rPr>
        <w:sz w:val="18"/>
      </w:rPr>
      <w:instrText xml:space="preserve"> "RubrikSvar" *\charformat </w:instrText>
    </w:r>
    <w:r w:rsidRPr="0065655F">
      <w:fldChar w:fldCharType="separate"/>
    </w:r>
    <w:r w:rsidRPr="0065655F">
      <w:t>Glutenintolerans – en dyr sjukdom</w:t>
    </w:r>
    <w:r w:rsidRPr="0065655F">
      <w:fldChar w:fldCharType="end"/>
    </w:r>
  </w:p>
  <w:p w:rsidR="0065655F" w:rsidRPr="0065655F" w:rsidRDefault="0065655F">
    <w:pPr>
      <w:pStyle w:val="Normal00"/>
    </w:pPr>
  </w:p>
  <w:p w:rsidR="0065655F" w:rsidRPr="0065655F" w:rsidRDefault="006565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9224245">
    <w:abstractNumId w:val="8"/>
  </w:num>
  <w:num w:numId="2" w16cid:durableId="1353143693">
    <w:abstractNumId w:val="9"/>
  </w:num>
  <w:num w:numId="3" w16cid:durableId="1376808611">
    <w:abstractNumId w:val="8"/>
  </w:num>
  <w:num w:numId="4" w16cid:durableId="1114862229">
    <w:abstractNumId w:val="9"/>
  </w:num>
  <w:num w:numId="5" w16cid:durableId="295717806">
    <w:abstractNumId w:val="13"/>
  </w:num>
  <w:num w:numId="6" w16cid:durableId="122306710">
    <w:abstractNumId w:val="10"/>
  </w:num>
  <w:num w:numId="7" w16cid:durableId="1928535723">
    <w:abstractNumId w:val="11"/>
  </w:num>
  <w:num w:numId="8" w16cid:durableId="920257267">
    <w:abstractNumId w:val="12"/>
  </w:num>
  <w:num w:numId="9" w16cid:durableId="1678578226">
    <w:abstractNumId w:val="8"/>
  </w:num>
  <w:num w:numId="10" w16cid:durableId="1300183161">
    <w:abstractNumId w:val="3"/>
  </w:num>
  <w:num w:numId="11" w16cid:durableId="1183856706">
    <w:abstractNumId w:val="2"/>
  </w:num>
  <w:num w:numId="12" w16cid:durableId="149953628">
    <w:abstractNumId w:val="1"/>
  </w:num>
  <w:num w:numId="13" w16cid:durableId="701439572">
    <w:abstractNumId w:val="0"/>
  </w:num>
  <w:num w:numId="14" w16cid:durableId="1073552851">
    <w:abstractNumId w:val="9"/>
  </w:num>
  <w:num w:numId="15" w16cid:durableId="1579167339">
    <w:abstractNumId w:val="7"/>
  </w:num>
  <w:num w:numId="16" w16cid:durableId="1819152802">
    <w:abstractNumId w:val="6"/>
  </w:num>
  <w:num w:numId="17" w16cid:durableId="671298796">
    <w:abstractNumId w:val="5"/>
  </w:num>
  <w:num w:numId="18" w16cid:durableId="2058623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3"/>
    <w:docVar w:name="PersonGUIDs" w:val="{602FC447-0AA2-4F2F-A2AC-90E85B57D72A}"/>
  </w:docVars>
  <w:rsids>
    <w:rsidRoot w:val="00021F53"/>
    <w:rsid w:val="00021F53"/>
    <w:rsid w:val="006565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48C59C7-77FF-4704-8775-08D81509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paragraphstyle">
    <w:name w:val="[No paragraph style]"/>
    <w:pPr>
      <w:spacing w:line="288" w:lineRule="auto"/>
    </w:pPr>
    <w:rPr>
      <w:rFonts w:ascii="Times" w:hAnsi="Times"/>
      <w:color w:val="000000"/>
      <w:sz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3255</Characters>
  <Application>Microsoft Office Word</Application>
  <DocSecurity>4</DocSecurity>
  <Lines>58</Lines>
  <Paragraphs>12</Paragraphs>
  <ScaleCrop>false</ScaleCrop>
  <HeadingPairs>
    <vt:vector size="2" baseType="variant">
      <vt:variant>
        <vt:lpstr>Rubrik</vt:lpstr>
      </vt:variant>
      <vt:variant>
        <vt:i4>1</vt:i4>
      </vt:variant>
    </vt:vector>
  </HeadingPairs>
  <TitlesOfParts>
    <vt:vector size="1" baseType="lpstr">
      <vt:lpstr>fp1051</vt:lpstr>
    </vt:vector>
  </TitlesOfParts>
  <Company>Riksdagen</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fp1051</dc:title>
  <dc:subject>fp1051</dc:subject>
  <dc:creator>Riksdagen</dc:creator>
  <cp:keywords>Riksdagen</cp:keywords>
  <dc:description>Nya formatmallshantering för förslag</dc:description>
  <cp:lastModifiedBy>Lars Brink</cp:lastModifiedBy>
  <cp:revision>2</cp:revision>
  <cp:lastPrinted>2009-10-16T07:49:00Z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Glutenintolerans – en dyr sjukdom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Glutenintolerans – en dyr sjukdom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20092010000001020112000010510069</vt:lpwstr>
  </property>
  <property fmtid="{D5CDD505-2E9C-101B-9397-08002B2CF9AE}" pid="47" name="datum">
    <vt:lpwstr>090929</vt:lpwstr>
  </property>
  <property fmtid="{D5CDD505-2E9C-101B-9397-08002B2CF9AE}" pid="48" name="avsändar-e-post">
    <vt:lpwstr>sofia.konberg@riksdagen.se</vt:lpwstr>
  </property>
  <property fmtid="{D5CDD505-2E9C-101B-9397-08002B2CF9AE}" pid="49" name="id">
    <vt:lpwstr>20092010000001020112000010510069</vt:lpwstr>
  </property>
  <property fmtid="{D5CDD505-2E9C-101B-9397-08002B2CF9AE}" pid="50" name="nummer">
    <vt:lpwstr>257</vt:lpwstr>
  </property>
  <property fmtid="{D5CDD505-2E9C-101B-9397-08002B2CF9AE}" pid="51" name="utskottsbeteckning">
    <vt:lpwstr>So</vt:lpwstr>
  </property>
  <property fmtid="{D5CDD505-2E9C-101B-9397-08002B2CF9AE}" pid="52" name="GlobalUID">
    <vt:lpwstr>{48E59AD5-6076-4C6B-949D-9B9AD2A13FFF}</vt:lpwstr>
  </property>
  <property fmtid="{D5CDD505-2E9C-101B-9397-08002B2CF9AE}" pid="53" name="Överföringar">
    <vt:i4>0</vt:i4>
  </property>
  <property fmtid="{D5CDD505-2E9C-101B-9397-08002B2CF9AE}" pid="54" name="Checksum">
    <vt:lpwstr>*0012833476860*</vt:lpwstr>
  </property>
  <property fmtid="{D5CDD505-2E9C-101B-9397-08002B2CF9AE}" pid="55" name="skuggnummer">
    <vt:lpwstr>248</vt:lpwstr>
  </property>
  <property fmtid="{D5CDD505-2E9C-101B-9397-08002B2CF9AE}" pid="56" name="urixVersion">
    <vt:lpwstr>3.2.7.16</vt:lpwstr>
  </property>
  <property fmtid="{D5CDD505-2E9C-101B-9397-08002B2CF9AE}" pid="57" name="urixOrigin">
    <vt:lpwstr>091016 09:49:31.836</vt:lpwstr>
  </property>
  <property fmtid="{D5CDD505-2E9C-101B-9397-08002B2CF9AE}" pid="58" name="urixGuid">
    <vt:lpwstr>{D09BF793-C7EF-48C5-9D76-82536563FA53}</vt:lpwstr>
  </property>
</Properties>
</file>