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AC3" w:rsidRPr="00C35AC3" w:rsidRDefault="00C35AC3">
      <w:pPr>
        <w:pStyle w:val="Frslagsrubrik"/>
        <w:shd w:val="clear" w:color="000000" w:fill="auto"/>
      </w:pPr>
      <w:r w:rsidRPr="00C35AC3">
        <w:t>Förslag till riksdagsbeslut</w:t>
      </w:r>
    </w:p>
    <w:p w:rsidR="00C35AC3" w:rsidRPr="00C35AC3" w:rsidRDefault="00C35AC3">
      <w:pPr>
        <w:pStyle w:val="Hemstlatt"/>
        <w:shd w:val="clear" w:color="000000" w:fill="auto"/>
        <w:ind w:left="0"/>
      </w:pPr>
      <w:r w:rsidRPr="00C35AC3">
        <w:t xml:space="preserve">Riksdagen tillkännager för regeringen som sin mening vad som anförs i motionen om </w:t>
      </w:r>
      <w:r w:rsidRPr="00C35AC3">
        <w:rPr>
          <w:color w:val="000000"/>
        </w:rPr>
        <w:t xml:space="preserve">vikten av en </w:t>
      </w:r>
      <w:r w:rsidRPr="00C35AC3">
        <w:rPr>
          <w:rStyle w:val="Betoning"/>
          <w:i w:val="0"/>
        </w:rPr>
        <w:t>nationell strategi för ökad svensk animalieproduktion.</w:t>
      </w:r>
    </w:p>
    <w:p w:rsidR="00C35AC3" w:rsidRPr="00C35AC3" w:rsidRDefault="00C35AC3">
      <w:pPr>
        <w:pStyle w:val="Rubrik1"/>
        <w:shd w:val="clear" w:color="000000" w:fill="auto"/>
      </w:pPr>
      <w:r w:rsidRPr="00C35AC3">
        <w:t>Motivering</w:t>
      </w:r>
    </w:p>
    <w:p w:rsidR="00C35AC3" w:rsidRPr="00C35AC3" w:rsidRDefault="00C35AC3">
      <w:pPr>
        <w:shd w:val="clear" w:color="000000" w:fill="auto"/>
      </w:pPr>
      <w:r w:rsidRPr="00C35AC3">
        <w:t>Jordbruksminister Eskil Erlandsson har lanserat idén om Sverige som ma</w:t>
      </w:r>
      <w:r w:rsidRPr="00C35AC3">
        <w:t>t</w:t>
      </w:r>
      <w:r w:rsidRPr="00C35AC3">
        <w:t>land. Det är en utmärkt idé där grunden är att människor som bor och verkar på landsbygden ska ges möjligheter att förverkliga sina idéer och att driva företag på landsbygden.</w:t>
      </w:r>
    </w:p>
    <w:p w:rsidR="00C35AC3" w:rsidRPr="00C35AC3" w:rsidRDefault="00C35AC3">
      <w:pPr>
        <w:pStyle w:val="Normaltindrag"/>
        <w:shd w:val="clear" w:color="000000" w:fill="auto"/>
      </w:pPr>
      <w:r w:rsidRPr="00C35AC3">
        <w:t>Även om tanken är god så finns det ett stort problem som vi inte kan blu</w:t>
      </w:r>
      <w:r w:rsidRPr="00C35AC3">
        <w:t>n</w:t>
      </w:r>
      <w:r w:rsidRPr="00C35AC3">
        <w:t>da för. Det är det faktum att animalieproduktionen krymper. Det blir allt sv</w:t>
      </w:r>
      <w:r w:rsidRPr="00C35AC3">
        <w:t>å</w:t>
      </w:r>
      <w:r w:rsidRPr="00C35AC3">
        <w:t>rare att bedriva animalieproduktion på grund av stränga djurskyddskrav, högt kostnadsläge, låga produktpriser och möjligen en inte optimal livsmedelsi</w:t>
      </w:r>
      <w:r w:rsidRPr="00C35AC3">
        <w:t>n</w:t>
      </w:r>
      <w:r w:rsidRPr="00C35AC3">
        <w:t>dustri samt en osund konkurrens från import från länder med helt andra (mi</w:t>
      </w:r>
      <w:r w:rsidRPr="00C35AC3">
        <w:t>l</w:t>
      </w:r>
      <w:r w:rsidRPr="00C35AC3">
        <w:t>dare) miljö- och djurskyddsregler.</w:t>
      </w:r>
    </w:p>
    <w:p w:rsidR="00C35AC3" w:rsidRPr="00C35AC3" w:rsidRDefault="00C35AC3">
      <w:pPr>
        <w:pStyle w:val="Normaltindrag"/>
        <w:shd w:val="clear" w:color="000000" w:fill="auto"/>
      </w:pPr>
      <w:r w:rsidRPr="00C35AC3">
        <w:t>Detta trots att visionen med Sverige som det nya matlandet är att skapa förbättrade förutsättningar för livsmedelsexport och ökad konkurrenskraft för livsmedelsföretagen sam</w:t>
      </w:r>
      <w:r w:rsidRPr="00C35AC3">
        <w:t>t att främja regional och lokal matkultur som leder till tillväxt och fler jobb.</w:t>
      </w:r>
    </w:p>
    <w:p w:rsidR="00C35AC3" w:rsidRPr="00C35AC3" w:rsidRDefault="00C35AC3">
      <w:pPr>
        <w:pStyle w:val="Normaltindrag"/>
        <w:shd w:val="clear" w:color="000000" w:fill="auto"/>
      </w:pPr>
      <w:r w:rsidRPr="00C35AC3">
        <w:t>Sverige har en tradition av att vara ett land med självförsörjning av jor</w:t>
      </w:r>
      <w:r w:rsidRPr="00C35AC3">
        <w:t>d</w:t>
      </w:r>
      <w:r w:rsidRPr="00C35AC3">
        <w:t>bruksprodukter och om överskott skulle uppstå så var det tänkt att uppstå som spannmål. Det är möjligen några av orsakerna till att vi stod ganska handfal</w:t>
      </w:r>
      <w:r w:rsidRPr="00C35AC3">
        <w:t>l</w:t>
      </w:r>
      <w:r w:rsidRPr="00C35AC3">
        <w:t>na i samband med inträdet i EU och de därmed öppnade gränserna. Vi klarade oss länge på en fallande krona men till slut hann verkligheten i kapp oss. Helt klart är att konkurrensen för svenska företag inom jordbrukssektorn ökat.</w:t>
      </w:r>
    </w:p>
    <w:p w:rsidR="00C35AC3" w:rsidRPr="00C35AC3" w:rsidRDefault="00C35AC3">
      <w:pPr>
        <w:pStyle w:val="Normaltindrag"/>
        <w:shd w:val="clear" w:color="000000" w:fill="auto"/>
      </w:pPr>
      <w:r w:rsidRPr="00C35AC3">
        <w:lastRenderedPageBreak/>
        <w:t>I dagsläget är lönsamheten hårt pressad och vi är långt ifrån självförsörjda på animalieprodukter.</w:t>
      </w:r>
    </w:p>
    <w:p w:rsidR="00C35AC3" w:rsidRPr="00C35AC3" w:rsidRDefault="00C35AC3">
      <w:pPr>
        <w:pStyle w:val="Normaltindrag"/>
        <w:shd w:val="clear" w:color="000000" w:fill="auto"/>
        <w:spacing w:after="120"/>
      </w:pPr>
      <w:r w:rsidRPr="00C35AC3">
        <w:t>Ser vi till siffror från Svensk köttinformation och Svensk fågel ligger själ</w:t>
      </w:r>
      <w:r w:rsidRPr="00C35AC3">
        <w:t>v</w:t>
      </w:r>
      <w:r w:rsidRPr="00C35AC3">
        <w:t>försörjningsgraden och årsproduktionen på följande nivåer:</w:t>
      </w:r>
    </w:p>
    <w:tbl>
      <w:tblPr>
        <w:tblStyle w:val="Tabellrutnt"/>
        <w:tblW w:w="0" w:type="auto"/>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08"/>
        <w:gridCol w:w="1200"/>
        <w:gridCol w:w="1320"/>
        <w:gridCol w:w="1440"/>
        <w:gridCol w:w="1440"/>
      </w:tblGrid>
      <w:tr w:rsidR="00000000" w:rsidRPr="00C35AC3">
        <w:tc>
          <w:tcPr>
            <w:tcW w:w="708" w:type="dxa"/>
            <w:tcBorders>
              <w:top w:val="single" w:sz="4" w:space="0" w:color="auto"/>
            </w:tcBorders>
          </w:tcPr>
          <w:p w:rsidR="00C35AC3" w:rsidRPr="00C35AC3" w:rsidRDefault="00C35AC3">
            <w:pPr>
              <w:shd w:val="clear" w:color="000000" w:fill="auto"/>
              <w:spacing w:before="60" w:line="200" w:lineRule="exact"/>
              <w:rPr>
                <w:sz w:val="16"/>
                <w:szCs w:val="16"/>
              </w:rPr>
            </w:pPr>
            <w:r w:rsidRPr="00C35AC3">
              <w:rPr>
                <w:sz w:val="16"/>
                <w:szCs w:val="16"/>
              </w:rPr>
              <w:t>2008</w:t>
            </w:r>
          </w:p>
        </w:tc>
        <w:tc>
          <w:tcPr>
            <w:tcW w:w="1200" w:type="dxa"/>
            <w:tcBorders>
              <w:top w:val="single" w:sz="4" w:space="0" w:color="auto"/>
            </w:tcBorders>
          </w:tcPr>
          <w:p w:rsidR="00C35AC3" w:rsidRPr="00C35AC3" w:rsidRDefault="00C35AC3">
            <w:pPr>
              <w:shd w:val="clear" w:color="000000" w:fill="auto"/>
              <w:spacing w:before="60" w:line="200" w:lineRule="exact"/>
              <w:rPr>
                <w:sz w:val="16"/>
                <w:szCs w:val="16"/>
              </w:rPr>
            </w:pPr>
            <w:r w:rsidRPr="00C35AC3">
              <w:rPr>
                <w:sz w:val="16"/>
                <w:szCs w:val="16"/>
              </w:rPr>
              <w:t>Årsproduktion</w:t>
            </w:r>
            <w:r w:rsidRPr="00C35AC3">
              <w:rPr>
                <w:sz w:val="16"/>
                <w:szCs w:val="16"/>
              </w:rPr>
              <w:br/>
              <w:t>i ton</w:t>
            </w:r>
          </w:p>
        </w:tc>
        <w:tc>
          <w:tcPr>
            <w:tcW w:w="1320" w:type="dxa"/>
            <w:tcBorders>
              <w:top w:val="single" w:sz="4" w:space="0" w:color="auto"/>
            </w:tcBorders>
          </w:tcPr>
          <w:p w:rsidR="00C35AC3" w:rsidRPr="00C35AC3" w:rsidRDefault="00C35AC3">
            <w:pPr>
              <w:shd w:val="clear" w:color="000000" w:fill="auto"/>
              <w:spacing w:before="60" w:line="200" w:lineRule="exact"/>
              <w:jc w:val="left"/>
              <w:rPr>
                <w:sz w:val="16"/>
                <w:szCs w:val="16"/>
              </w:rPr>
            </w:pPr>
            <w:r w:rsidRPr="00C35AC3">
              <w:rPr>
                <w:sz w:val="16"/>
                <w:szCs w:val="16"/>
              </w:rPr>
              <w:t>Konsumtion i kg per capita</w:t>
            </w:r>
          </w:p>
        </w:tc>
        <w:tc>
          <w:tcPr>
            <w:tcW w:w="1440" w:type="dxa"/>
            <w:tcBorders>
              <w:top w:val="single" w:sz="4" w:space="0" w:color="auto"/>
            </w:tcBorders>
          </w:tcPr>
          <w:p w:rsidR="00C35AC3" w:rsidRPr="00C35AC3" w:rsidRDefault="00C35AC3">
            <w:pPr>
              <w:shd w:val="clear" w:color="000000" w:fill="auto"/>
              <w:spacing w:before="60" w:line="200" w:lineRule="exact"/>
              <w:jc w:val="left"/>
              <w:rPr>
                <w:sz w:val="16"/>
                <w:szCs w:val="16"/>
              </w:rPr>
            </w:pPr>
            <w:r w:rsidRPr="00C35AC3">
              <w:rPr>
                <w:sz w:val="16"/>
                <w:szCs w:val="16"/>
              </w:rPr>
              <w:t>Ökning i kg sedan EU intr</w:t>
            </w:r>
            <w:r w:rsidRPr="00C35AC3">
              <w:rPr>
                <w:sz w:val="16"/>
                <w:szCs w:val="16"/>
              </w:rPr>
              <w:t>ä</w:t>
            </w:r>
            <w:r w:rsidRPr="00C35AC3">
              <w:rPr>
                <w:sz w:val="16"/>
                <w:szCs w:val="16"/>
              </w:rPr>
              <w:t>det</w:t>
            </w:r>
          </w:p>
        </w:tc>
        <w:tc>
          <w:tcPr>
            <w:tcW w:w="1440" w:type="dxa"/>
            <w:tcBorders>
              <w:top w:val="single" w:sz="4" w:space="0" w:color="auto"/>
            </w:tcBorders>
          </w:tcPr>
          <w:p w:rsidR="00C35AC3" w:rsidRPr="00C35AC3" w:rsidRDefault="00C35AC3">
            <w:pPr>
              <w:shd w:val="clear" w:color="000000" w:fill="auto"/>
              <w:spacing w:before="60" w:line="200" w:lineRule="exact"/>
              <w:jc w:val="left"/>
              <w:rPr>
                <w:sz w:val="16"/>
                <w:szCs w:val="16"/>
              </w:rPr>
            </w:pPr>
            <w:r w:rsidRPr="00C35AC3">
              <w:rPr>
                <w:sz w:val="16"/>
                <w:szCs w:val="16"/>
              </w:rPr>
              <w:t>Självförsörjning</w:t>
            </w:r>
            <w:r w:rsidRPr="00C35AC3">
              <w:rPr>
                <w:sz w:val="16"/>
                <w:szCs w:val="16"/>
              </w:rPr>
              <w:t>s</w:t>
            </w:r>
            <w:r w:rsidRPr="00C35AC3">
              <w:rPr>
                <w:sz w:val="16"/>
                <w:szCs w:val="16"/>
              </w:rPr>
              <w:t>grad i %</w:t>
            </w:r>
          </w:p>
        </w:tc>
      </w:tr>
      <w:tr w:rsidR="00000000" w:rsidRPr="00C35AC3">
        <w:tc>
          <w:tcPr>
            <w:tcW w:w="708" w:type="dxa"/>
            <w:tcBorders>
              <w:top w:val="single" w:sz="4" w:space="0" w:color="auto"/>
            </w:tcBorders>
          </w:tcPr>
          <w:p w:rsidR="00C35AC3" w:rsidRPr="00C35AC3" w:rsidRDefault="00C35AC3">
            <w:pPr>
              <w:shd w:val="clear" w:color="000000" w:fill="auto"/>
              <w:spacing w:before="60" w:line="200" w:lineRule="exact"/>
              <w:jc w:val="left"/>
              <w:rPr>
                <w:sz w:val="16"/>
                <w:szCs w:val="16"/>
              </w:rPr>
            </w:pPr>
            <w:r w:rsidRPr="00C35AC3">
              <w:rPr>
                <w:sz w:val="16"/>
                <w:szCs w:val="16"/>
              </w:rPr>
              <w:t>Fläsk</w:t>
            </w:r>
          </w:p>
        </w:tc>
        <w:tc>
          <w:tcPr>
            <w:tcW w:w="1200" w:type="dxa"/>
            <w:tcBorders>
              <w:top w:val="single" w:sz="4" w:space="0" w:color="auto"/>
            </w:tcBorders>
          </w:tcPr>
          <w:p w:rsidR="00C35AC3" w:rsidRPr="00C35AC3" w:rsidRDefault="00C35AC3">
            <w:pPr>
              <w:shd w:val="clear" w:color="000000" w:fill="auto"/>
              <w:spacing w:before="60" w:line="200" w:lineRule="exact"/>
              <w:ind w:right="227"/>
              <w:jc w:val="right"/>
              <w:rPr>
                <w:sz w:val="16"/>
                <w:szCs w:val="16"/>
              </w:rPr>
            </w:pPr>
            <w:r w:rsidRPr="00C35AC3">
              <w:rPr>
                <w:sz w:val="16"/>
                <w:szCs w:val="16"/>
              </w:rPr>
              <w:t>130 000</w:t>
            </w:r>
          </w:p>
        </w:tc>
        <w:tc>
          <w:tcPr>
            <w:tcW w:w="1320" w:type="dxa"/>
            <w:tcBorders>
              <w:top w:val="single" w:sz="4" w:space="0" w:color="auto"/>
            </w:tcBorders>
          </w:tcPr>
          <w:p w:rsidR="00C35AC3" w:rsidRPr="00C35AC3" w:rsidRDefault="00C35AC3">
            <w:pPr>
              <w:shd w:val="clear" w:color="000000" w:fill="auto"/>
              <w:spacing w:before="60" w:line="200" w:lineRule="exact"/>
              <w:ind w:right="397"/>
              <w:jc w:val="right"/>
              <w:rPr>
                <w:sz w:val="16"/>
                <w:szCs w:val="16"/>
              </w:rPr>
            </w:pPr>
            <w:r w:rsidRPr="00C35AC3">
              <w:rPr>
                <w:sz w:val="16"/>
                <w:szCs w:val="16"/>
              </w:rPr>
              <w:t>36,0</w:t>
            </w:r>
          </w:p>
        </w:tc>
        <w:tc>
          <w:tcPr>
            <w:tcW w:w="1440" w:type="dxa"/>
            <w:tcBorders>
              <w:top w:val="single" w:sz="4" w:space="0" w:color="auto"/>
            </w:tcBorders>
          </w:tcPr>
          <w:p w:rsidR="00C35AC3" w:rsidRPr="00C35AC3" w:rsidRDefault="00C35AC3">
            <w:pPr>
              <w:shd w:val="clear" w:color="000000" w:fill="auto"/>
              <w:spacing w:before="60" w:line="200" w:lineRule="exact"/>
              <w:ind w:right="397"/>
              <w:jc w:val="right"/>
              <w:rPr>
                <w:sz w:val="16"/>
                <w:szCs w:val="16"/>
              </w:rPr>
            </w:pPr>
            <w:r w:rsidRPr="00C35AC3">
              <w:rPr>
                <w:sz w:val="16"/>
                <w:szCs w:val="16"/>
              </w:rPr>
              <w:t>0,6</w:t>
            </w:r>
          </w:p>
        </w:tc>
        <w:tc>
          <w:tcPr>
            <w:tcW w:w="1440" w:type="dxa"/>
            <w:tcBorders>
              <w:top w:val="single" w:sz="4" w:space="0" w:color="auto"/>
            </w:tcBorders>
          </w:tcPr>
          <w:p w:rsidR="00C35AC3" w:rsidRPr="00C35AC3" w:rsidRDefault="00C35AC3">
            <w:pPr>
              <w:shd w:val="clear" w:color="000000" w:fill="auto"/>
              <w:spacing w:before="60" w:line="200" w:lineRule="exact"/>
              <w:ind w:right="397"/>
              <w:jc w:val="right"/>
              <w:rPr>
                <w:sz w:val="16"/>
                <w:szCs w:val="16"/>
              </w:rPr>
            </w:pPr>
            <w:r w:rsidRPr="00C35AC3">
              <w:rPr>
                <w:sz w:val="16"/>
                <w:szCs w:val="16"/>
              </w:rPr>
              <w:t>81</w:t>
            </w:r>
          </w:p>
        </w:tc>
      </w:tr>
      <w:tr w:rsidR="00000000" w:rsidRPr="00C35AC3">
        <w:tc>
          <w:tcPr>
            <w:tcW w:w="708" w:type="dxa"/>
          </w:tcPr>
          <w:p w:rsidR="00C35AC3" w:rsidRPr="00C35AC3" w:rsidRDefault="00C35AC3">
            <w:pPr>
              <w:shd w:val="clear" w:color="000000" w:fill="auto"/>
              <w:spacing w:before="60" w:line="200" w:lineRule="exact"/>
              <w:jc w:val="left"/>
              <w:rPr>
                <w:sz w:val="16"/>
                <w:szCs w:val="16"/>
              </w:rPr>
            </w:pPr>
            <w:r w:rsidRPr="00C35AC3">
              <w:rPr>
                <w:sz w:val="16"/>
                <w:szCs w:val="16"/>
              </w:rPr>
              <w:t>Fågel</w:t>
            </w:r>
          </w:p>
        </w:tc>
        <w:tc>
          <w:tcPr>
            <w:tcW w:w="1200" w:type="dxa"/>
          </w:tcPr>
          <w:p w:rsidR="00C35AC3" w:rsidRPr="00C35AC3" w:rsidRDefault="00C35AC3">
            <w:pPr>
              <w:shd w:val="clear" w:color="000000" w:fill="auto"/>
              <w:spacing w:before="60" w:line="200" w:lineRule="exact"/>
              <w:ind w:right="227"/>
              <w:jc w:val="right"/>
              <w:rPr>
                <w:sz w:val="16"/>
                <w:szCs w:val="16"/>
              </w:rPr>
            </w:pPr>
            <w:r w:rsidRPr="00C35AC3">
              <w:rPr>
                <w:sz w:val="16"/>
                <w:szCs w:val="16"/>
              </w:rPr>
              <w:t>116 000</w:t>
            </w:r>
          </w:p>
        </w:tc>
        <w:tc>
          <w:tcPr>
            <w:tcW w:w="132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18,1</w:t>
            </w:r>
          </w:p>
        </w:tc>
        <w:tc>
          <w:tcPr>
            <w:tcW w:w="144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9</w:t>
            </w:r>
          </w:p>
        </w:tc>
        <w:tc>
          <w:tcPr>
            <w:tcW w:w="144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65</w:t>
            </w:r>
          </w:p>
        </w:tc>
      </w:tr>
      <w:tr w:rsidR="00000000" w:rsidRPr="00C35AC3">
        <w:tc>
          <w:tcPr>
            <w:tcW w:w="708" w:type="dxa"/>
          </w:tcPr>
          <w:p w:rsidR="00C35AC3" w:rsidRPr="00C35AC3" w:rsidRDefault="00C35AC3">
            <w:pPr>
              <w:shd w:val="clear" w:color="000000" w:fill="auto"/>
              <w:spacing w:before="60" w:line="200" w:lineRule="exact"/>
              <w:jc w:val="left"/>
              <w:rPr>
                <w:sz w:val="16"/>
                <w:szCs w:val="16"/>
              </w:rPr>
            </w:pPr>
            <w:r w:rsidRPr="00C35AC3">
              <w:rPr>
                <w:sz w:val="16"/>
                <w:szCs w:val="16"/>
              </w:rPr>
              <w:t>Nöt</w:t>
            </w:r>
          </w:p>
        </w:tc>
        <w:tc>
          <w:tcPr>
            <w:tcW w:w="1200" w:type="dxa"/>
          </w:tcPr>
          <w:p w:rsidR="00C35AC3" w:rsidRPr="00C35AC3" w:rsidRDefault="00C35AC3">
            <w:pPr>
              <w:shd w:val="clear" w:color="000000" w:fill="auto"/>
              <w:spacing w:before="60" w:line="200" w:lineRule="exact"/>
              <w:ind w:right="227"/>
              <w:jc w:val="right"/>
              <w:rPr>
                <w:sz w:val="16"/>
                <w:szCs w:val="16"/>
              </w:rPr>
            </w:pPr>
            <w:r w:rsidRPr="00C35AC3">
              <w:rPr>
                <w:sz w:val="16"/>
                <w:szCs w:val="16"/>
              </w:rPr>
              <w:t>67 000</w:t>
            </w:r>
          </w:p>
        </w:tc>
        <w:tc>
          <w:tcPr>
            <w:tcW w:w="132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25,3</w:t>
            </w:r>
          </w:p>
        </w:tc>
        <w:tc>
          <w:tcPr>
            <w:tcW w:w="144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10,8</w:t>
            </w:r>
          </w:p>
        </w:tc>
        <w:tc>
          <w:tcPr>
            <w:tcW w:w="144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63</w:t>
            </w:r>
          </w:p>
        </w:tc>
      </w:tr>
      <w:tr w:rsidR="00000000" w:rsidRPr="00C35AC3">
        <w:tc>
          <w:tcPr>
            <w:tcW w:w="708" w:type="dxa"/>
          </w:tcPr>
          <w:p w:rsidR="00C35AC3" w:rsidRPr="00C35AC3" w:rsidRDefault="00C35AC3">
            <w:pPr>
              <w:shd w:val="clear" w:color="000000" w:fill="auto"/>
              <w:spacing w:before="60" w:line="200" w:lineRule="exact"/>
              <w:jc w:val="left"/>
              <w:rPr>
                <w:sz w:val="16"/>
                <w:szCs w:val="16"/>
              </w:rPr>
            </w:pPr>
            <w:r w:rsidRPr="00C35AC3">
              <w:rPr>
                <w:sz w:val="16"/>
                <w:szCs w:val="16"/>
              </w:rPr>
              <w:t>Lamm</w:t>
            </w:r>
          </w:p>
        </w:tc>
        <w:tc>
          <w:tcPr>
            <w:tcW w:w="1200" w:type="dxa"/>
          </w:tcPr>
          <w:p w:rsidR="00C35AC3" w:rsidRPr="00C35AC3" w:rsidRDefault="00C35AC3">
            <w:pPr>
              <w:shd w:val="clear" w:color="000000" w:fill="auto"/>
              <w:spacing w:before="60" w:line="200" w:lineRule="exact"/>
              <w:ind w:right="227"/>
              <w:jc w:val="right"/>
              <w:rPr>
                <w:sz w:val="16"/>
                <w:szCs w:val="16"/>
              </w:rPr>
            </w:pPr>
            <w:r w:rsidRPr="00C35AC3">
              <w:rPr>
                <w:sz w:val="16"/>
                <w:szCs w:val="16"/>
              </w:rPr>
              <w:t>2 000</w:t>
            </w:r>
          </w:p>
        </w:tc>
        <w:tc>
          <w:tcPr>
            <w:tcW w:w="132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1,4</w:t>
            </w:r>
          </w:p>
        </w:tc>
        <w:tc>
          <w:tcPr>
            <w:tcW w:w="144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0,6</w:t>
            </w:r>
          </w:p>
        </w:tc>
        <w:tc>
          <w:tcPr>
            <w:tcW w:w="1440" w:type="dxa"/>
          </w:tcPr>
          <w:p w:rsidR="00C35AC3" w:rsidRPr="00C35AC3" w:rsidRDefault="00C35AC3">
            <w:pPr>
              <w:shd w:val="clear" w:color="000000" w:fill="auto"/>
              <w:spacing w:before="60" w:line="200" w:lineRule="exact"/>
              <w:ind w:right="397"/>
              <w:jc w:val="right"/>
              <w:rPr>
                <w:sz w:val="16"/>
                <w:szCs w:val="16"/>
              </w:rPr>
            </w:pPr>
            <w:r w:rsidRPr="00C35AC3">
              <w:rPr>
                <w:sz w:val="16"/>
                <w:szCs w:val="16"/>
              </w:rPr>
              <w:t>30</w:t>
            </w:r>
          </w:p>
        </w:tc>
      </w:tr>
    </w:tbl>
    <w:p w:rsidR="00C35AC3" w:rsidRPr="00C35AC3" w:rsidRDefault="00C35AC3">
      <w:pPr>
        <w:pStyle w:val="Normaltindrag"/>
        <w:shd w:val="clear" w:color="000000" w:fill="auto"/>
        <w:spacing w:before="120"/>
        <w:ind w:firstLine="0"/>
      </w:pPr>
      <w:r w:rsidRPr="00C35AC3">
        <w:t>Som synes finns här en betydande potential och det är även så väl att den svenska konsumenten äter allt mer animalieprodukter. Problemet är att denna ökande marknad går förbi de svenska producenterna och därför måste vi, om visionen om Sverige som matland ska bli verklighet, säkerställa att svensk animalieproduktion ges möjligheter att växa.</w:t>
      </w:r>
    </w:p>
    <w:p w:rsidR="00C35AC3" w:rsidRPr="00C35AC3" w:rsidRDefault="00C35AC3">
      <w:pPr>
        <w:pStyle w:val="Normaltindrag"/>
        <w:shd w:val="clear" w:color="000000" w:fill="auto"/>
      </w:pPr>
      <w:r w:rsidRPr="00C35AC3">
        <w:t>Det är alltså tydligt att det finns en stor och växande marknad för anim</w:t>
      </w:r>
      <w:r w:rsidRPr="00C35AC3">
        <w:t>a</w:t>
      </w:r>
      <w:r w:rsidRPr="00C35AC3">
        <w:t>lieprodukter. Det är även så att fler djur leder till en ökad efterfrågan på foder, vilket i sin tur garanterar att vi bevarar det öppna landskapet. Det är även i enlighet med arbetslinjen.</w:t>
      </w:r>
    </w:p>
    <w:p w:rsidR="00C35AC3" w:rsidRPr="00C35AC3" w:rsidRDefault="00C35AC3">
      <w:pPr>
        <w:pStyle w:val="Normaltindrag"/>
        <w:shd w:val="clear" w:color="000000" w:fill="auto"/>
      </w:pPr>
      <w:r w:rsidRPr="00C35AC3">
        <w:t>En ökad animalieproduktion leder till en växande och inte som i dagsläget krympande inhemsk livsmedelsindustri. Det är en produktion som till sin natur är personalintensiv och därför är potentialen för fler jobb betydande.</w:t>
      </w:r>
    </w:p>
    <w:p w:rsidR="00C35AC3" w:rsidRPr="00C35AC3" w:rsidRDefault="00C35AC3">
      <w:pPr>
        <w:pStyle w:val="Normaltindrag"/>
        <w:shd w:val="clear" w:color="000000" w:fill="auto"/>
      </w:pPr>
      <w:r w:rsidRPr="00C35AC3">
        <w:t>Det ligger även i linje med flera av de sexton nationella miljömål som Riksdagen antagit och då främst miljömål nummer tretton ”Ett rikt odling</w:t>
      </w:r>
      <w:r w:rsidRPr="00C35AC3">
        <w:t>s</w:t>
      </w:r>
      <w:r w:rsidRPr="00C35AC3">
        <w:t>landskap”.</w:t>
      </w:r>
    </w:p>
    <w:p w:rsidR="00C35AC3" w:rsidRPr="00C35AC3" w:rsidRDefault="00C35AC3">
      <w:pPr>
        <w:pStyle w:val="Normaltindrag"/>
        <w:shd w:val="clear" w:color="000000" w:fill="auto"/>
      </w:pPr>
      <w:r w:rsidRPr="00C35AC3">
        <w:t>Av de skäl som här redovisats behöver Sverige som nation få till stånd en kraftsamling för att öka den inhemska animalieproduktionen.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5AC3">
        <w:trPr>
          <w:cantSplit/>
        </w:trPr>
        <w:tc>
          <w:tcPr>
            <w:tcW w:w="3046" w:type="dxa"/>
          </w:tcPr>
          <w:p w:rsidR="00C35AC3" w:rsidRPr="00C35AC3" w:rsidRDefault="00C35AC3">
            <w:pPr>
              <w:pStyle w:val="UnderskriftDatum"/>
              <w:shd w:val="clear" w:color="000000" w:fill="auto"/>
              <w:spacing w:before="240"/>
            </w:pPr>
            <w:r w:rsidRPr="00C35AC3">
              <w:t>Stockholm den 5 oktober 2009</w:t>
            </w:r>
          </w:p>
        </w:tc>
        <w:tc>
          <w:tcPr>
            <w:tcW w:w="3047" w:type="dxa"/>
          </w:tcPr>
          <w:p w:rsidR="00C35AC3" w:rsidRPr="00C35AC3" w:rsidRDefault="00C35AC3">
            <w:pPr>
              <w:pStyle w:val="Underskrifter"/>
              <w:shd w:val="clear" w:color="000000" w:fill="auto"/>
              <w:spacing w:before="240"/>
            </w:pPr>
          </w:p>
        </w:tc>
      </w:tr>
      <w:tr w:rsidR="00000000" w:rsidRPr="00C35AC3">
        <w:trPr>
          <w:cantSplit/>
        </w:trPr>
        <w:tc>
          <w:tcPr>
            <w:tcW w:w="3046" w:type="dxa"/>
          </w:tcPr>
          <w:p w:rsidR="00C35AC3" w:rsidRPr="00C35AC3" w:rsidRDefault="00C35AC3">
            <w:pPr>
              <w:pStyle w:val="Underskrifter"/>
              <w:shd w:val="clear" w:color="000000" w:fill="auto"/>
            </w:pPr>
            <w:r w:rsidRPr="00C35AC3">
              <w:t>Sven Yngve Persson (m)</w:t>
            </w:r>
          </w:p>
        </w:tc>
        <w:tc>
          <w:tcPr>
            <w:tcW w:w="3046" w:type="dxa"/>
          </w:tcPr>
          <w:p w:rsidR="00C35AC3" w:rsidRPr="00C35AC3" w:rsidRDefault="00C35AC3">
            <w:pPr>
              <w:pStyle w:val="Underskrifter"/>
              <w:shd w:val="clear" w:color="000000" w:fill="auto"/>
            </w:pPr>
          </w:p>
        </w:tc>
      </w:tr>
    </w:tbl>
    <w:p w:rsidR="00C35AC3" w:rsidRPr="00C35AC3" w:rsidRDefault="00C35AC3">
      <w:pPr>
        <w:pStyle w:val="Normaltindrag"/>
        <w:shd w:val="clear" w:color="000000" w:fill="auto"/>
      </w:pPr>
    </w:p>
    <w:sectPr w:rsidR="00000000" w:rsidRPr="00C35A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AC3" w:rsidRPr="00C35AC3" w:rsidRDefault="00C35AC3">
      <w:r w:rsidRPr="00C35AC3">
        <w:separator/>
      </w:r>
    </w:p>
  </w:endnote>
  <w:endnote w:type="continuationSeparator" w:id="0">
    <w:p w:rsidR="00C35AC3" w:rsidRPr="00C35AC3" w:rsidRDefault="00C35AC3">
      <w:r w:rsidRPr="00C35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378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AC3" w:rsidRDefault="00C35A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008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AC3" w:rsidRDefault="00C35A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764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AC3" w:rsidRDefault="00C35A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AC3" w:rsidRPr="00C35AC3" w:rsidRDefault="00C35AC3">
      <w:r w:rsidRPr="00C35AC3">
        <w:separator/>
      </w:r>
    </w:p>
  </w:footnote>
  <w:footnote w:type="continuationSeparator" w:id="0">
    <w:p w:rsidR="00C35AC3" w:rsidRPr="00C35AC3" w:rsidRDefault="00C35AC3">
      <w:r w:rsidRPr="00C35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huvud"/>
    </w:pPr>
    <w:r w:rsidRPr="00C35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469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AC3" w:rsidRDefault="00C35A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huvud"/>
    </w:pPr>
    <w:r w:rsidRPr="00C35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580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AC3" w:rsidRDefault="00C35A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FSHNormal"/>
      <w:tabs>
        <w:tab w:val="right" w:pos="5840"/>
      </w:tabs>
    </w:pPr>
    <w:r w:rsidRPr="00C35AC3">
      <w:br/>
    </w:r>
    <w:r w:rsidRPr="00C35AC3">
      <w:fldChar w:fldCharType="begin" w:fldLock="1"/>
    </w:r>
    <w:r w:rsidRPr="00C35AC3">
      <w:instrText xml:space="preserve"> DOCPROPERTY</w:instrText>
    </w:r>
    <w:r w:rsidRPr="00C35AC3">
      <w:rPr>
        <w:sz w:val="18"/>
      </w:rPr>
      <w:instrText xml:space="preserve"> "YearUser" *\charformat </w:instrText>
    </w:r>
    <w:r w:rsidRPr="00C35AC3">
      <w:fldChar w:fldCharType="separate"/>
    </w:r>
    <w:r w:rsidRPr="00C35AC3">
      <w:t>2009/10</w:t>
    </w:r>
    <w:r w:rsidRPr="00C35AC3">
      <w:fldChar w:fldCharType="end"/>
    </w:r>
    <w:r w:rsidRPr="00C35AC3">
      <w:t xml:space="preserve"> </w:t>
    </w:r>
    <w:r w:rsidRPr="00C35AC3">
      <w:tab/>
      <w:t xml:space="preserve">mnr: </w:t>
    </w:r>
    <w:r w:rsidRPr="00C35AC3">
      <w:fldChar w:fldCharType="begin" w:fldLock="1"/>
    </w:r>
    <w:r w:rsidRPr="00C35AC3">
      <w:instrText xml:space="preserve"> DOCPROPERTY</w:instrText>
    </w:r>
    <w:r w:rsidRPr="00C35AC3">
      <w:rPr>
        <w:sz w:val="18"/>
      </w:rPr>
      <w:instrText xml:space="preserve"> "Motionsnummer" *\charformat </w:instrText>
    </w:r>
    <w:r w:rsidRPr="00C35AC3">
      <w:fldChar w:fldCharType="separate"/>
    </w:r>
    <w:r w:rsidRPr="00C35AC3">
      <w:t>MJ435</w:t>
    </w:r>
    <w:r w:rsidRPr="00C35AC3">
      <w:fldChar w:fldCharType="end"/>
    </w:r>
    <w:r w:rsidRPr="00C35AC3">
      <w:br/>
    </w:r>
    <w:r w:rsidRPr="00C35AC3">
      <w:fldChar w:fldCharType="begin" w:fldLock="1"/>
    </w:r>
    <w:r w:rsidRPr="00C35AC3">
      <w:instrText xml:space="preserve"> DOCPROPERTY</w:instrText>
    </w:r>
    <w:r w:rsidRPr="00C35AC3">
      <w:rPr>
        <w:sz w:val="18"/>
      </w:rPr>
      <w:instrText xml:space="preserve"> "Samling" *\charformat </w:instrText>
    </w:r>
    <w:r w:rsidRPr="00C35AC3">
      <w:fldChar w:fldCharType="end"/>
    </w:r>
    <w:r w:rsidRPr="00C35AC3">
      <w:tab/>
      <w:t xml:space="preserve">pnr: </w:t>
    </w:r>
    <w:r w:rsidRPr="00C35AC3">
      <w:fldChar w:fldCharType="begin" w:fldLock="1"/>
    </w:r>
    <w:r w:rsidRPr="00C35AC3">
      <w:instrText xml:space="preserve"> DOCPROPERTY</w:instrText>
    </w:r>
    <w:r w:rsidRPr="00C35AC3">
      <w:rPr>
        <w:sz w:val="18"/>
      </w:rPr>
      <w:instrText xml:space="preserve"> "Partinummer" *\charformat </w:instrText>
    </w:r>
    <w:r w:rsidRPr="00C35AC3">
      <w:fldChar w:fldCharType="separate"/>
    </w:r>
    <w:r w:rsidRPr="00C35AC3">
      <w:t>m1309</w:t>
    </w:r>
    <w:r w:rsidRPr="00C35AC3">
      <w:fldChar w:fldCharType="end"/>
    </w:r>
  </w:p>
  <w:p w:rsidR="00C35AC3" w:rsidRPr="00C35AC3" w:rsidRDefault="00C35AC3">
    <w:pPr>
      <w:pStyle w:val="FSHRub1"/>
    </w:pPr>
    <w:r w:rsidRPr="00C35AC3">
      <w:t>Motion till riksdagen</w:t>
    </w:r>
    <w:r w:rsidRPr="00C35AC3">
      <w:br/>
    </w:r>
    <w:r w:rsidRPr="00C35AC3">
      <w:fldChar w:fldCharType="begin" w:fldLock="1"/>
    </w:r>
    <w:r w:rsidRPr="00C35AC3">
      <w:instrText xml:space="preserve"> DOCPROPERTY "YearUser" *\charformat </w:instrText>
    </w:r>
    <w:r w:rsidRPr="00C35AC3">
      <w:fldChar w:fldCharType="separate"/>
    </w:r>
    <w:r w:rsidRPr="00C35AC3">
      <w:t>2009/10</w:t>
    </w:r>
    <w:r w:rsidRPr="00C35AC3">
      <w:fldChar w:fldCharType="end"/>
    </w:r>
    <w:r w:rsidRPr="00C35AC3">
      <w:t>:</w:t>
    </w:r>
    <w:r w:rsidRPr="00C35AC3">
      <w:fldChar w:fldCharType="begin" w:fldLock="1"/>
    </w:r>
    <w:r w:rsidRPr="00C35AC3">
      <w:instrText xml:space="preserve"> DOCPROPERTY "Motionsnummer" *\charformat </w:instrText>
    </w:r>
    <w:r w:rsidRPr="00C35AC3">
      <w:fldChar w:fldCharType="separate"/>
    </w:r>
    <w:r w:rsidRPr="00C35AC3">
      <w:t>MJ435</w:t>
    </w:r>
    <w:r w:rsidRPr="00C35AC3">
      <w:fldChar w:fldCharType="end"/>
    </w:r>
  </w:p>
  <w:p w:rsidR="00C35AC3" w:rsidRPr="00C35AC3" w:rsidRDefault="00C35AC3">
    <w:pPr>
      <w:pStyle w:val="FSHNormalS5"/>
    </w:pPr>
    <w:r w:rsidRPr="00C35AC3">
      <w:fldChar w:fldCharType="begin" w:fldLock="1"/>
    </w:r>
    <w:r w:rsidRPr="00C35AC3">
      <w:instrText xml:space="preserve"> DOCPROPERTY "MotionarText" *\charformat </w:instrText>
    </w:r>
    <w:r w:rsidRPr="00C35AC3">
      <w:fldChar w:fldCharType="separate"/>
    </w:r>
    <w:r w:rsidRPr="00C35AC3">
      <w:t>av Sven Yngve Persson (m)</w:t>
    </w:r>
    <w:r w:rsidRPr="00C35AC3">
      <w:fldChar w:fldCharType="end"/>
    </w:r>
    <w:r w:rsidRPr="00C35AC3">
      <w:br/>
    </w:r>
    <w:r w:rsidRPr="00C35AC3">
      <w:fldChar w:fldCharType="begin" w:fldLock="1"/>
    </w:r>
    <w:r w:rsidRPr="00C35AC3">
      <w:instrText xml:space="preserve"> DOCPROPERTY "SvarFrasKort" *\charformat </w:instrText>
    </w:r>
    <w:r w:rsidRPr="00C35AC3">
      <w:fldChar w:fldCharType="end"/>
    </w:r>
  </w:p>
  <w:p w:rsidR="00C35AC3" w:rsidRPr="00C35AC3" w:rsidRDefault="00C35AC3">
    <w:pPr>
      <w:pStyle w:val="FSHTitel"/>
    </w:pPr>
    <w:r w:rsidRPr="00C35AC3">
      <w:fldChar w:fldCharType="begin" w:fldLock="1"/>
    </w:r>
    <w:r w:rsidRPr="00C35AC3">
      <w:instrText xml:space="preserve"> DOCPROPERTY</w:instrText>
    </w:r>
    <w:r w:rsidRPr="00C35AC3">
      <w:rPr>
        <w:sz w:val="18"/>
      </w:rPr>
      <w:instrText xml:space="preserve"> "RubrikSvar" *\charformat </w:instrText>
    </w:r>
    <w:r w:rsidRPr="00C35AC3">
      <w:fldChar w:fldCharType="separate"/>
    </w:r>
    <w:r w:rsidRPr="00C35AC3">
      <w:t>Nationell strategi för ökad animalieproduktion</w:t>
    </w:r>
    <w:r w:rsidRPr="00C35AC3">
      <w:fldChar w:fldCharType="end"/>
    </w:r>
  </w:p>
  <w:p w:rsidR="00C35AC3" w:rsidRPr="00C35AC3" w:rsidRDefault="00C35AC3">
    <w:pPr>
      <w:pStyle w:val="Normal00"/>
    </w:pPr>
  </w:p>
  <w:p w:rsidR="00C35AC3" w:rsidRPr="00C35AC3" w:rsidRDefault="00C35A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4395655">
    <w:abstractNumId w:val="8"/>
  </w:num>
  <w:num w:numId="2" w16cid:durableId="667946809">
    <w:abstractNumId w:val="9"/>
  </w:num>
  <w:num w:numId="3" w16cid:durableId="1104838359">
    <w:abstractNumId w:val="8"/>
  </w:num>
  <w:num w:numId="4" w16cid:durableId="1403796062">
    <w:abstractNumId w:val="9"/>
  </w:num>
  <w:num w:numId="5" w16cid:durableId="1987123557">
    <w:abstractNumId w:val="13"/>
  </w:num>
  <w:num w:numId="6" w16cid:durableId="1976056119">
    <w:abstractNumId w:val="10"/>
  </w:num>
  <w:num w:numId="7" w16cid:durableId="584385265">
    <w:abstractNumId w:val="11"/>
  </w:num>
  <w:num w:numId="8" w16cid:durableId="183905426">
    <w:abstractNumId w:val="12"/>
  </w:num>
  <w:num w:numId="9" w16cid:durableId="343093734">
    <w:abstractNumId w:val="8"/>
  </w:num>
  <w:num w:numId="10" w16cid:durableId="173766908">
    <w:abstractNumId w:val="3"/>
  </w:num>
  <w:num w:numId="11" w16cid:durableId="977035100">
    <w:abstractNumId w:val="2"/>
  </w:num>
  <w:num w:numId="12" w16cid:durableId="524370910">
    <w:abstractNumId w:val="1"/>
  </w:num>
  <w:num w:numId="13" w16cid:durableId="1378427946">
    <w:abstractNumId w:val="0"/>
  </w:num>
  <w:num w:numId="14" w16cid:durableId="265623227">
    <w:abstractNumId w:val="9"/>
  </w:num>
  <w:num w:numId="15" w16cid:durableId="960913470">
    <w:abstractNumId w:val="7"/>
  </w:num>
  <w:num w:numId="16" w16cid:durableId="1936397546">
    <w:abstractNumId w:val="6"/>
  </w:num>
  <w:num w:numId="17" w16cid:durableId="97796535">
    <w:abstractNumId w:val="5"/>
  </w:num>
  <w:num w:numId="18" w16cid:durableId="1025980060">
    <w:abstractNumId w:val="4"/>
  </w:num>
  <w:num w:numId="19" w16cid:durableId="1060252492">
    <w:abstractNumId w:val="11"/>
  </w:num>
  <w:num w:numId="20" w16cid:durableId="1315835510">
    <w:abstractNumId w:val="10"/>
  </w:num>
  <w:num w:numId="21" w16cid:durableId="141584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A31359"/>
    <w:rsid w:val="00A31359"/>
    <w:rsid w:val="00C35A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B38B1F-F163-4620-A7EB-73C545B7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2680</Characters>
  <Application>Microsoft Office Word</Application>
  <DocSecurity>4</DocSecurity>
  <Lines>81</Lines>
  <Paragraphs>48</Paragraphs>
  <ScaleCrop>false</ScaleCrop>
  <HeadingPairs>
    <vt:vector size="2" baseType="variant">
      <vt:variant>
        <vt:lpstr>Rubrik</vt:lpstr>
      </vt:variant>
      <vt:variant>
        <vt:i4>1</vt:i4>
      </vt:variant>
    </vt:vector>
  </HeadingPairs>
  <TitlesOfParts>
    <vt:vector size="1" baseType="lpstr">
      <vt:lpstr>m1309</vt:lpstr>
    </vt:vector>
  </TitlesOfParts>
  <Company>Riksdagen</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m1309</dc:title>
  <dc:subject>m1309</dc:subject>
  <dc:creator>Riksdagen</dc:creator>
  <cp:keywords>Riksdagen</cp:keywords>
  <dc:description>Nya formatmallshantering för förslag+urix bakåtkomp+könamn</dc:description>
  <cp:lastModifiedBy>Lars Brink</cp:lastModifiedBy>
  <cp:revision>2</cp:revision>
  <cp:lastPrinted>2009-12-12T06:51:00Z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strategi för ökad animalieproduktion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ökad animalieproduktion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20092010000000000109000013090069</vt:lpwstr>
  </property>
  <property fmtid="{D5CDD505-2E9C-101B-9397-08002B2CF9AE}" pid="47" name="datum">
    <vt:lpwstr>091005</vt:lpwstr>
  </property>
  <property fmtid="{D5CDD505-2E9C-101B-9397-08002B2CF9AE}" pid="48" name="avsändar-e-post">
    <vt:lpwstr>loridanna.mortensen.mates@riksdagen.se</vt:lpwstr>
  </property>
  <property fmtid="{D5CDD505-2E9C-101B-9397-08002B2CF9AE}" pid="49" name="id">
    <vt:lpwstr>20092010000000000109000013090069</vt:lpwstr>
  </property>
  <property fmtid="{D5CDD505-2E9C-101B-9397-08002B2CF9AE}" pid="50" name="nummer">
    <vt:lpwstr>435</vt:lpwstr>
  </property>
  <property fmtid="{D5CDD505-2E9C-101B-9397-08002B2CF9AE}" pid="51" name="utskottsbeteckning">
    <vt:lpwstr>MJ</vt:lpwstr>
  </property>
  <property fmtid="{D5CDD505-2E9C-101B-9397-08002B2CF9AE}" pid="52" name="GlobalUID">
    <vt:lpwstr>{B01297CE-5FE9-416D-9619-9FC2721D2402}</vt:lpwstr>
  </property>
  <property fmtid="{D5CDD505-2E9C-101B-9397-08002B2CF9AE}" pid="53" name="Överföringar">
    <vt:i4>0</vt:i4>
  </property>
  <property fmtid="{D5CDD505-2E9C-101B-9397-08002B2CF9AE}" pid="54" name="Checksum">
    <vt:lpwstr>*1007508643752*</vt:lpwstr>
  </property>
  <property fmtid="{D5CDD505-2E9C-101B-9397-08002B2CF9AE}" pid="55" name="skuggnummer">
    <vt:lpwstr>3155</vt:lpwstr>
  </property>
  <property fmtid="{D5CDD505-2E9C-101B-9397-08002B2CF9AE}" pid="56" name="urixVersion">
    <vt:lpwstr>4.0.0.9</vt:lpwstr>
  </property>
  <property fmtid="{D5CDD505-2E9C-101B-9397-08002B2CF9AE}" pid="57" name="urixOrigin">
    <vt:lpwstr>091212 07:51:27.656</vt:lpwstr>
  </property>
  <property fmtid="{D5CDD505-2E9C-101B-9397-08002B2CF9AE}" pid="58" name="urixGuid">
    <vt:lpwstr>{157581B5-8DFE-4B17-B75B-CEA491256F48}</vt:lpwstr>
  </property>
</Properties>
</file>