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F393C" w14:textId="77777777" w:rsidR="00FB32B9" w:rsidRDefault="009A187D" w:rsidP="00FB32B9">
      <w:pPr>
        <w:pStyle w:val="UDrubrik"/>
        <w:tabs>
          <w:tab w:val="left" w:pos="1701"/>
          <w:tab w:val="left" w:pos="1985"/>
        </w:tabs>
        <w:rPr>
          <w:rFonts w:cs="Arial"/>
          <w:sz w:val="28"/>
        </w:rPr>
      </w:pPr>
      <w:bookmarkStart w:id="0" w:name="_GoBack"/>
      <w:bookmarkEnd w:id="0"/>
    </w:p>
    <w:p w14:paraId="784F393D" w14:textId="77777777" w:rsidR="00FB32B9" w:rsidRDefault="009A187D" w:rsidP="00FB32B9">
      <w:pPr>
        <w:pStyle w:val="UDrubrik"/>
        <w:tabs>
          <w:tab w:val="left" w:pos="1701"/>
          <w:tab w:val="left" w:pos="1985"/>
        </w:tabs>
        <w:rPr>
          <w:rFonts w:cs="Arial"/>
          <w:sz w:val="28"/>
        </w:rPr>
      </w:pPr>
    </w:p>
    <w:p w14:paraId="784F393E" w14:textId="77777777" w:rsidR="00FB32B9" w:rsidRDefault="009A187D" w:rsidP="00FB32B9">
      <w:pPr>
        <w:pStyle w:val="UDrubrik"/>
        <w:tabs>
          <w:tab w:val="left" w:pos="1701"/>
          <w:tab w:val="left" w:pos="1985"/>
        </w:tabs>
        <w:rPr>
          <w:rFonts w:cs="Arial"/>
          <w:sz w:val="28"/>
        </w:rPr>
      </w:pPr>
    </w:p>
    <w:p w14:paraId="784F393F" w14:textId="77777777" w:rsidR="00FB32B9" w:rsidRDefault="009A187D" w:rsidP="00FB32B9">
      <w:pPr>
        <w:pStyle w:val="UDrubrik"/>
        <w:tabs>
          <w:tab w:val="left" w:pos="1701"/>
          <w:tab w:val="left" w:pos="1985"/>
        </w:tabs>
        <w:rPr>
          <w:rFonts w:cs="Arial"/>
          <w:sz w:val="28"/>
        </w:rPr>
      </w:pPr>
    </w:p>
    <w:p w14:paraId="784F3940" w14:textId="32E6A65D" w:rsidR="00FB32B9" w:rsidRDefault="001038F3" w:rsidP="00FB32B9">
      <w:pPr>
        <w:pStyle w:val="UDrubrik"/>
        <w:tabs>
          <w:tab w:val="left" w:pos="1701"/>
          <w:tab w:val="left" w:pos="1985"/>
        </w:tabs>
        <w:rPr>
          <w:rFonts w:cs="Arial"/>
          <w:sz w:val="28"/>
        </w:rPr>
      </w:pPr>
      <w:r>
        <w:rPr>
          <w:rFonts w:cs="Arial"/>
          <w:sz w:val="28"/>
        </w:rPr>
        <w:t xml:space="preserve">Troliga A-punkter inför kommande rådsmöten som förväntas godkännas vid Coreper II </w:t>
      </w:r>
      <w:r w:rsidR="00886DEE">
        <w:rPr>
          <w:rFonts w:cs="Arial"/>
          <w:sz w:val="28"/>
        </w:rPr>
        <w:t>torsdagen den 19</w:t>
      </w:r>
      <w:r w:rsidR="00307E07">
        <w:rPr>
          <w:rFonts w:cs="Arial"/>
          <w:sz w:val="28"/>
        </w:rPr>
        <w:t xml:space="preserve"> november 2015, vecka 47</w:t>
      </w:r>
      <w:r>
        <w:rPr>
          <w:rFonts w:cs="Arial"/>
          <w:sz w:val="28"/>
        </w:rPr>
        <w:t>.</w:t>
      </w:r>
    </w:p>
    <w:p w14:paraId="784F3941" w14:textId="77777777" w:rsidR="00FB32B9" w:rsidRDefault="009A187D" w:rsidP="00FB32B9">
      <w:pPr>
        <w:pStyle w:val="Brdtext"/>
      </w:pPr>
    </w:p>
    <w:p w14:paraId="784F3942" w14:textId="5C516A74" w:rsidR="00FB32B9" w:rsidRDefault="001038F3" w:rsidP="00FB32B9">
      <w:pPr>
        <w:pStyle w:val="Brdtext"/>
      </w:pPr>
      <w:r>
        <w:t>Ö</w:t>
      </w:r>
      <w:r w:rsidR="00886DEE">
        <w:t>verlämnas för skriftligt samråd</w:t>
      </w:r>
      <w:r>
        <w:t xml:space="preserve"> </w:t>
      </w:r>
      <w:r w:rsidR="00886DEE">
        <w:t>till fredagen den 20</w:t>
      </w:r>
      <w:r w:rsidR="00307E07">
        <w:t xml:space="preserve"> november 2015, kl 08.30.</w:t>
      </w:r>
    </w:p>
    <w:p w14:paraId="784F3943" w14:textId="77777777" w:rsidR="00FB32B9" w:rsidRDefault="001038F3">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784F3944" w14:textId="77777777" w:rsidR="00D957FB" w:rsidRPr="00FB32B9" w:rsidRDefault="001038F3">
          <w:pPr>
            <w:pStyle w:val="Innehllsfrteckningsrubrik"/>
            <w:rPr>
              <w:color w:val="auto"/>
            </w:rPr>
          </w:pPr>
          <w:r w:rsidRPr="00FB32B9">
            <w:rPr>
              <w:color w:val="auto"/>
            </w:rPr>
            <w:t>Innehållsförteckning</w:t>
          </w:r>
        </w:p>
        <w:p w14:paraId="784F3945" w14:textId="77777777" w:rsidR="00DA7250" w:rsidRPr="00DA7250" w:rsidRDefault="009A187D" w:rsidP="00DA7250">
          <w:pPr>
            <w:rPr>
              <w:lang w:val="en-US" w:eastAsia="ja-JP"/>
            </w:rPr>
          </w:pPr>
        </w:p>
        <w:p w14:paraId="2780ECC0" w14:textId="77777777" w:rsidR="00E46288" w:rsidRDefault="001038F3">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35690429" w:history="1">
            <w:r w:rsidR="00E46288" w:rsidRPr="00F30741">
              <w:rPr>
                <w:rStyle w:val="Hyperlnk"/>
                <w:noProof/>
              </w:rPr>
              <w:t>1.</w:t>
            </w:r>
            <w:r w:rsidR="00E46288">
              <w:rPr>
                <w:rFonts w:asciiTheme="minorHAnsi" w:eastAsiaTheme="minorEastAsia" w:hAnsiTheme="minorHAnsi" w:cstheme="minorBidi"/>
                <w:noProof/>
                <w:lang w:eastAsia="sv-SE"/>
              </w:rPr>
              <w:tab/>
            </w:r>
            <w:r w:rsidR="00E46288" w:rsidRPr="00F30741">
              <w:rPr>
                <w:rStyle w:val="Hyperlnk"/>
                <w:noProof/>
              </w:rPr>
              <w:t>Affaire devant la Cour de Justice de l'Union européenne C-468/15 P, PT Perindustrian Dan Perdagangan Musim Semi Mas c/ Conseil de l'UE (Pourvoi contre l'arrêt rendu le 25 juin 2015 par le Tribunal de l'Union européenne dans l'affaire T-26/12)</w:t>
            </w:r>
            <w:r w:rsidR="00E46288">
              <w:rPr>
                <w:noProof/>
                <w:webHidden/>
              </w:rPr>
              <w:tab/>
            </w:r>
            <w:r w:rsidR="00E46288">
              <w:rPr>
                <w:noProof/>
                <w:webHidden/>
              </w:rPr>
              <w:fldChar w:fldCharType="begin"/>
            </w:r>
            <w:r w:rsidR="00E46288">
              <w:rPr>
                <w:noProof/>
                <w:webHidden/>
              </w:rPr>
              <w:instrText xml:space="preserve"> PAGEREF _Toc435690429 \h </w:instrText>
            </w:r>
            <w:r w:rsidR="00E46288">
              <w:rPr>
                <w:noProof/>
                <w:webHidden/>
              </w:rPr>
            </w:r>
            <w:r w:rsidR="00E46288">
              <w:rPr>
                <w:noProof/>
                <w:webHidden/>
              </w:rPr>
              <w:fldChar w:fldCharType="separate"/>
            </w:r>
            <w:r w:rsidR="00E46288">
              <w:rPr>
                <w:noProof/>
                <w:webHidden/>
              </w:rPr>
              <w:t>3</w:t>
            </w:r>
            <w:r w:rsidR="00E46288">
              <w:rPr>
                <w:noProof/>
                <w:webHidden/>
              </w:rPr>
              <w:fldChar w:fldCharType="end"/>
            </w:r>
          </w:hyperlink>
        </w:p>
        <w:p w14:paraId="180741F7" w14:textId="77777777" w:rsidR="00E46288" w:rsidRDefault="009A187D">
          <w:pPr>
            <w:pStyle w:val="Innehll1"/>
            <w:tabs>
              <w:tab w:val="left" w:pos="440"/>
              <w:tab w:val="right" w:leader="dot" w:pos="9062"/>
            </w:tabs>
            <w:rPr>
              <w:rFonts w:asciiTheme="minorHAnsi" w:eastAsiaTheme="minorEastAsia" w:hAnsiTheme="minorHAnsi" w:cstheme="minorBidi"/>
              <w:noProof/>
              <w:lang w:eastAsia="sv-SE"/>
            </w:rPr>
          </w:pPr>
          <w:hyperlink w:anchor="_Toc435690430" w:history="1">
            <w:r w:rsidR="00E46288" w:rsidRPr="00F30741">
              <w:rPr>
                <w:rStyle w:val="Hyperlnk"/>
                <w:noProof/>
              </w:rPr>
              <w:t>2.</w:t>
            </w:r>
            <w:r w:rsidR="00E46288">
              <w:rPr>
                <w:rFonts w:asciiTheme="minorHAnsi" w:eastAsiaTheme="minorEastAsia" w:hAnsiTheme="minorHAnsi" w:cstheme="minorBidi"/>
                <w:noProof/>
                <w:lang w:eastAsia="sv-SE"/>
              </w:rPr>
              <w:tab/>
            </w:r>
            <w:r w:rsidR="00E46288" w:rsidRPr="00F30741">
              <w:rPr>
                <w:rStyle w:val="Hyperlnk"/>
                <w:noProof/>
              </w:rPr>
              <w:t>Décision du Conseil modifiant le règlement intérieur du Conseil</w:t>
            </w:r>
            <w:r w:rsidR="00E46288">
              <w:rPr>
                <w:noProof/>
                <w:webHidden/>
              </w:rPr>
              <w:tab/>
            </w:r>
            <w:r w:rsidR="00E46288">
              <w:rPr>
                <w:noProof/>
                <w:webHidden/>
              </w:rPr>
              <w:fldChar w:fldCharType="begin"/>
            </w:r>
            <w:r w:rsidR="00E46288">
              <w:rPr>
                <w:noProof/>
                <w:webHidden/>
              </w:rPr>
              <w:instrText xml:space="preserve"> PAGEREF _Toc435690430 \h </w:instrText>
            </w:r>
            <w:r w:rsidR="00E46288">
              <w:rPr>
                <w:noProof/>
                <w:webHidden/>
              </w:rPr>
            </w:r>
            <w:r w:rsidR="00E46288">
              <w:rPr>
                <w:noProof/>
                <w:webHidden/>
              </w:rPr>
              <w:fldChar w:fldCharType="separate"/>
            </w:r>
            <w:r w:rsidR="00E46288">
              <w:rPr>
                <w:noProof/>
                <w:webHidden/>
              </w:rPr>
              <w:t>3</w:t>
            </w:r>
            <w:r w:rsidR="00E46288">
              <w:rPr>
                <w:noProof/>
                <w:webHidden/>
              </w:rPr>
              <w:fldChar w:fldCharType="end"/>
            </w:r>
          </w:hyperlink>
        </w:p>
        <w:p w14:paraId="697A6DC1" w14:textId="77777777" w:rsidR="00E46288" w:rsidRDefault="009A187D">
          <w:pPr>
            <w:pStyle w:val="Innehll1"/>
            <w:tabs>
              <w:tab w:val="left" w:pos="440"/>
              <w:tab w:val="right" w:leader="dot" w:pos="9062"/>
            </w:tabs>
            <w:rPr>
              <w:rFonts w:asciiTheme="minorHAnsi" w:eastAsiaTheme="minorEastAsia" w:hAnsiTheme="minorHAnsi" w:cstheme="minorBidi"/>
              <w:noProof/>
              <w:lang w:eastAsia="sv-SE"/>
            </w:rPr>
          </w:pPr>
          <w:hyperlink w:anchor="_Toc435690431" w:history="1">
            <w:r w:rsidR="00E46288" w:rsidRPr="00F30741">
              <w:rPr>
                <w:rStyle w:val="Hyperlnk"/>
                <w:noProof/>
              </w:rPr>
              <w:t>3.</w:t>
            </w:r>
            <w:r w:rsidR="00E46288">
              <w:rPr>
                <w:rFonts w:asciiTheme="minorHAnsi" w:eastAsiaTheme="minorEastAsia" w:hAnsiTheme="minorHAnsi" w:cstheme="minorBidi"/>
                <w:noProof/>
                <w:lang w:eastAsia="sv-SE"/>
              </w:rPr>
              <w:tab/>
            </w:r>
            <w:r w:rsidR="00E46288" w:rsidRPr="00F30741">
              <w:rPr>
                <w:rStyle w:val="Hyperlnk"/>
                <w:noProof/>
              </w:rPr>
              <w:t>Présentation, par la Lituanie, de la face nationale d'une pièce commémorative de 2 euros</w:t>
            </w:r>
            <w:r w:rsidR="00E46288">
              <w:rPr>
                <w:noProof/>
                <w:webHidden/>
              </w:rPr>
              <w:tab/>
            </w:r>
            <w:r w:rsidR="00E46288">
              <w:rPr>
                <w:noProof/>
                <w:webHidden/>
              </w:rPr>
              <w:fldChar w:fldCharType="begin"/>
            </w:r>
            <w:r w:rsidR="00E46288">
              <w:rPr>
                <w:noProof/>
                <w:webHidden/>
              </w:rPr>
              <w:instrText xml:space="preserve"> PAGEREF _Toc435690431 \h </w:instrText>
            </w:r>
            <w:r w:rsidR="00E46288">
              <w:rPr>
                <w:noProof/>
                <w:webHidden/>
              </w:rPr>
            </w:r>
            <w:r w:rsidR="00E46288">
              <w:rPr>
                <w:noProof/>
                <w:webHidden/>
              </w:rPr>
              <w:fldChar w:fldCharType="separate"/>
            </w:r>
            <w:r w:rsidR="00E46288">
              <w:rPr>
                <w:noProof/>
                <w:webHidden/>
              </w:rPr>
              <w:t>3</w:t>
            </w:r>
            <w:r w:rsidR="00E46288">
              <w:rPr>
                <w:noProof/>
                <w:webHidden/>
              </w:rPr>
              <w:fldChar w:fldCharType="end"/>
            </w:r>
          </w:hyperlink>
        </w:p>
        <w:p w14:paraId="18D17AD4" w14:textId="77777777" w:rsidR="00E46288" w:rsidRDefault="009A187D">
          <w:pPr>
            <w:pStyle w:val="Innehll1"/>
            <w:tabs>
              <w:tab w:val="left" w:pos="440"/>
              <w:tab w:val="right" w:leader="dot" w:pos="9062"/>
            </w:tabs>
            <w:rPr>
              <w:rFonts w:asciiTheme="minorHAnsi" w:eastAsiaTheme="minorEastAsia" w:hAnsiTheme="minorHAnsi" w:cstheme="minorBidi"/>
              <w:noProof/>
              <w:lang w:eastAsia="sv-SE"/>
            </w:rPr>
          </w:pPr>
          <w:hyperlink w:anchor="_Toc435690432" w:history="1">
            <w:r w:rsidR="00E46288" w:rsidRPr="00F30741">
              <w:rPr>
                <w:rStyle w:val="Hyperlnk"/>
                <w:noProof/>
              </w:rPr>
              <w:t>4.</w:t>
            </w:r>
            <w:r w:rsidR="00E46288">
              <w:rPr>
                <w:rFonts w:asciiTheme="minorHAnsi" w:eastAsiaTheme="minorEastAsia" w:hAnsiTheme="minorHAnsi" w:cstheme="minorBidi"/>
                <w:noProof/>
                <w:lang w:eastAsia="sv-SE"/>
              </w:rPr>
              <w:tab/>
            </w:r>
            <w:r w:rsidR="00E46288" w:rsidRPr="00F30741">
              <w:rPr>
                <w:rStyle w:val="Hyperlnk"/>
                <w:noProof/>
              </w:rPr>
              <w:t>Règlement délégué (UE) …/... de la Commission du 26.10.2015 complétant le règlement (UE) n° 575/2013 du Parlement européen et du Conseil par des normes techniques de réglementation concernant l’évaluation prudente en vertu de l’article 105, paragraphe 14</w:t>
            </w:r>
            <w:r w:rsidR="00E46288">
              <w:rPr>
                <w:noProof/>
                <w:webHidden/>
              </w:rPr>
              <w:tab/>
            </w:r>
            <w:r w:rsidR="00E46288">
              <w:rPr>
                <w:noProof/>
                <w:webHidden/>
              </w:rPr>
              <w:fldChar w:fldCharType="begin"/>
            </w:r>
            <w:r w:rsidR="00E46288">
              <w:rPr>
                <w:noProof/>
                <w:webHidden/>
              </w:rPr>
              <w:instrText xml:space="preserve"> PAGEREF _Toc435690432 \h </w:instrText>
            </w:r>
            <w:r w:rsidR="00E46288">
              <w:rPr>
                <w:noProof/>
                <w:webHidden/>
              </w:rPr>
            </w:r>
            <w:r w:rsidR="00E46288">
              <w:rPr>
                <w:noProof/>
                <w:webHidden/>
              </w:rPr>
              <w:fldChar w:fldCharType="separate"/>
            </w:r>
            <w:r w:rsidR="00E46288">
              <w:rPr>
                <w:noProof/>
                <w:webHidden/>
              </w:rPr>
              <w:t>4</w:t>
            </w:r>
            <w:r w:rsidR="00E46288">
              <w:rPr>
                <w:noProof/>
                <w:webHidden/>
              </w:rPr>
              <w:fldChar w:fldCharType="end"/>
            </w:r>
          </w:hyperlink>
        </w:p>
        <w:p w14:paraId="3761D834" w14:textId="77777777" w:rsidR="00E46288" w:rsidRDefault="009A187D">
          <w:pPr>
            <w:pStyle w:val="Innehll1"/>
            <w:tabs>
              <w:tab w:val="left" w:pos="440"/>
              <w:tab w:val="right" w:leader="dot" w:pos="9062"/>
            </w:tabs>
            <w:rPr>
              <w:rFonts w:asciiTheme="minorHAnsi" w:eastAsiaTheme="minorEastAsia" w:hAnsiTheme="minorHAnsi" w:cstheme="minorBidi"/>
              <w:noProof/>
              <w:lang w:eastAsia="sv-SE"/>
            </w:rPr>
          </w:pPr>
          <w:hyperlink w:anchor="_Toc435690433" w:history="1">
            <w:r w:rsidR="00E46288" w:rsidRPr="00F30741">
              <w:rPr>
                <w:rStyle w:val="Hyperlnk"/>
                <w:noProof/>
              </w:rPr>
              <w:t>5.</w:t>
            </w:r>
            <w:r w:rsidR="00E46288">
              <w:rPr>
                <w:rFonts w:asciiTheme="minorHAnsi" w:eastAsiaTheme="minorEastAsia" w:hAnsiTheme="minorHAnsi" w:cstheme="minorBidi"/>
                <w:noProof/>
                <w:lang w:eastAsia="sv-SE"/>
              </w:rPr>
              <w:tab/>
            </w:r>
            <w:r w:rsidR="00E46288" w:rsidRPr="00F30741">
              <w:rPr>
                <w:rStyle w:val="Hyperlnk"/>
                <w:noProof/>
              </w:rPr>
              <w:t>Projet de conclusions du Conseil sur une stratégie de l'Union européenne pour la région alpine</w:t>
            </w:r>
            <w:r w:rsidR="00E46288">
              <w:rPr>
                <w:noProof/>
                <w:webHidden/>
              </w:rPr>
              <w:tab/>
            </w:r>
            <w:r w:rsidR="00E46288">
              <w:rPr>
                <w:noProof/>
                <w:webHidden/>
              </w:rPr>
              <w:fldChar w:fldCharType="begin"/>
            </w:r>
            <w:r w:rsidR="00E46288">
              <w:rPr>
                <w:noProof/>
                <w:webHidden/>
              </w:rPr>
              <w:instrText xml:space="preserve"> PAGEREF _Toc435690433 \h </w:instrText>
            </w:r>
            <w:r w:rsidR="00E46288">
              <w:rPr>
                <w:noProof/>
                <w:webHidden/>
              </w:rPr>
            </w:r>
            <w:r w:rsidR="00E46288">
              <w:rPr>
                <w:noProof/>
                <w:webHidden/>
              </w:rPr>
              <w:fldChar w:fldCharType="separate"/>
            </w:r>
            <w:r w:rsidR="00E46288">
              <w:rPr>
                <w:noProof/>
                <w:webHidden/>
              </w:rPr>
              <w:t>4</w:t>
            </w:r>
            <w:r w:rsidR="00E46288">
              <w:rPr>
                <w:noProof/>
                <w:webHidden/>
              </w:rPr>
              <w:fldChar w:fldCharType="end"/>
            </w:r>
          </w:hyperlink>
        </w:p>
        <w:p w14:paraId="3FB01DC7" w14:textId="77777777" w:rsidR="00E46288" w:rsidRDefault="009A187D">
          <w:pPr>
            <w:pStyle w:val="Innehll1"/>
            <w:tabs>
              <w:tab w:val="left" w:pos="440"/>
              <w:tab w:val="right" w:leader="dot" w:pos="9062"/>
            </w:tabs>
            <w:rPr>
              <w:rFonts w:asciiTheme="minorHAnsi" w:eastAsiaTheme="minorEastAsia" w:hAnsiTheme="minorHAnsi" w:cstheme="minorBidi"/>
              <w:noProof/>
              <w:lang w:eastAsia="sv-SE"/>
            </w:rPr>
          </w:pPr>
          <w:hyperlink w:anchor="_Toc435690434" w:history="1">
            <w:r w:rsidR="00E46288" w:rsidRPr="00F30741">
              <w:rPr>
                <w:rStyle w:val="Hyperlnk"/>
                <w:noProof/>
              </w:rPr>
              <w:t>6.</w:t>
            </w:r>
            <w:r w:rsidR="00E46288">
              <w:rPr>
                <w:rFonts w:asciiTheme="minorHAnsi" w:eastAsiaTheme="minorEastAsia" w:hAnsiTheme="minorHAnsi" w:cstheme="minorBidi"/>
                <w:noProof/>
                <w:lang w:eastAsia="sv-SE"/>
              </w:rPr>
              <w:tab/>
            </w:r>
            <w:r w:rsidR="00E46288" w:rsidRPr="00F30741">
              <w:rPr>
                <w:rStyle w:val="Hyperlnk"/>
                <w:noProof/>
              </w:rPr>
              <w:t>Projet de conclusions du Conseil sur la justification d'une exposition aux rayonnements ionisants à des fins d'imagerie médicale</w:t>
            </w:r>
            <w:r w:rsidR="00E46288">
              <w:rPr>
                <w:noProof/>
                <w:webHidden/>
              </w:rPr>
              <w:tab/>
            </w:r>
            <w:r w:rsidR="00E46288">
              <w:rPr>
                <w:noProof/>
                <w:webHidden/>
              </w:rPr>
              <w:fldChar w:fldCharType="begin"/>
            </w:r>
            <w:r w:rsidR="00E46288">
              <w:rPr>
                <w:noProof/>
                <w:webHidden/>
              </w:rPr>
              <w:instrText xml:space="preserve"> PAGEREF _Toc435690434 \h </w:instrText>
            </w:r>
            <w:r w:rsidR="00E46288">
              <w:rPr>
                <w:noProof/>
                <w:webHidden/>
              </w:rPr>
            </w:r>
            <w:r w:rsidR="00E46288">
              <w:rPr>
                <w:noProof/>
                <w:webHidden/>
              </w:rPr>
              <w:fldChar w:fldCharType="separate"/>
            </w:r>
            <w:r w:rsidR="00E46288">
              <w:rPr>
                <w:noProof/>
                <w:webHidden/>
              </w:rPr>
              <w:t>5</w:t>
            </w:r>
            <w:r w:rsidR="00E46288">
              <w:rPr>
                <w:noProof/>
                <w:webHidden/>
              </w:rPr>
              <w:fldChar w:fldCharType="end"/>
            </w:r>
          </w:hyperlink>
        </w:p>
        <w:p w14:paraId="627341CB" w14:textId="77777777" w:rsidR="00E46288" w:rsidRDefault="009A187D">
          <w:pPr>
            <w:pStyle w:val="Innehll1"/>
            <w:tabs>
              <w:tab w:val="left" w:pos="440"/>
              <w:tab w:val="right" w:leader="dot" w:pos="9062"/>
            </w:tabs>
            <w:rPr>
              <w:rFonts w:asciiTheme="minorHAnsi" w:eastAsiaTheme="minorEastAsia" w:hAnsiTheme="minorHAnsi" w:cstheme="minorBidi"/>
              <w:noProof/>
              <w:lang w:eastAsia="sv-SE"/>
            </w:rPr>
          </w:pPr>
          <w:hyperlink w:anchor="_Toc435690435" w:history="1">
            <w:r w:rsidR="00E46288" w:rsidRPr="00F30741">
              <w:rPr>
                <w:rStyle w:val="Hyperlnk"/>
                <w:noProof/>
              </w:rPr>
              <w:t>7.</w:t>
            </w:r>
            <w:r w:rsidR="00E46288">
              <w:rPr>
                <w:rFonts w:asciiTheme="minorHAnsi" w:eastAsiaTheme="minorEastAsia" w:hAnsiTheme="minorHAnsi" w:cstheme="minorBidi"/>
                <w:noProof/>
                <w:lang w:eastAsia="sv-SE"/>
              </w:rPr>
              <w:tab/>
            </w:r>
            <w:r w:rsidR="00E46288" w:rsidRPr="00F30741">
              <w:rPr>
                <w:rStyle w:val="Hyperlnk"/>
                <w:noProof/>
              </w:rPr>
              <w:t>Projet de décision du Conseil relative à la position à adopter au nom de l’Union européenne au sein du Conseil des membres du Conseil oléicole international, en ce qui concerne l’adhésion de nouveaux membres</w:t>
            </w:r>
            <w:r w:rsidR="00E46288">
              <w:rPr>
                <w:noProof/>
                <w:webHidden/>
              </w:rPr>
              <w:tab/>
            </w:r>
            <w:r w:rsidR="00E46288">
              <w:rPr>
                <w:noProof/>
                <w:webHidden/>
              </w:rPr>
              <w:fldChar w:fldCharType="begin"/>
            </w:r>
            <w:r w:rsidR="00E46288">
              <w:rPr>
                <w:noProof/>
                <w:webHidden/>
              </w:rPr>
              <w:instrText xml:space="preserve"> PAGEREF _Toc435690435 \h </w:instrText>
            </w:r>
            <w:r w:rsidR="00E46288">
              <w:rPr>
                <w:noProof/>
                <w:webHidden/>
              </w:rPr>
            </w:r>
            <w:r w:rsidR="00E46288">
              <w:rPr>
                <w:noProof/>
                <w:webHidden/>
              </w:rPr>
              <w:fldChar w:fldCharType="separate"/>
            </w:r>
            <w:r w:rsidR="00E46288">
              <w:rPr>
                <w:noProof/>
                <w:webHidden/>
              </w:rPr>
              <w:t>6</w:t>
            </w:r>
            <w:r w:rsidR="00E46288">
              <w:rPr>
                <w:noProof/>
                <w:webHidden/>
              </w:rPr>
              <w:fldChar w:fldCharType="end"/>
            </w:r>
          </w:hyperlink>
        </w:p>
        <w:p w14:paraId="7AAFF52A" w14:textId="77777777" w:rsidR="00E46288" w:rsidRDefault="009A187D">
          <w:pPr>
            <w:pStyle w:val="Innehll1"/>
            <w:tabs>
              <w:tab w:val="left" w:pos="440"/>
              <w:tab w:val="right" w:leader="dot" w:pos="9062"/>
            </w:tabs>
            <w:rPr>
              <w:rFonts w:asciiTheme="minorHAnsi" w:eastAsiaTheme="minorEastAsia" w:hAnsiTheme="minorHAnsi" w:cstheme="minorBidi"/>
              <w:noProof/>
              <w:lang w:eastAsia="sv-SE"/>
            </w:rPr>
          </w:pPr>
          <w:hyperlink w:anchor="_Toc435690436" w:history="1">
            <w:r w:rsidR="00E46288" w:rsidRPr="00F30741">
              <w:rPr>
                <w:rStyle w:val="Hyperlnk"/>
                <w:noProof/>
              </w:rPr>
              <w:t>8.</w:t>
            </w:r>
            <w:r w:rsidR="00E46288">
              <w:rPr>
                <w:rFonts w:asciiTheme="minorHAnsi" w:eastAsiaTheme="minorEastAsia" w:hAnsiTheme="minorHAnsi" w:cstheme="minorBidi"/>
                <w:noProof/>
                <w:lang w:eastAsia="sv-SE"/>
              </w:rPr>
              <w:tab/>
            </w:r>
            <w:r w:rsidR="00E46288" w:rsidRPr="00F30741">
              <w:rPr>
                <w:rStyle w:val="Hyperlnk"/>
                <w:noProof/>
              </w:rPr>
              <w:t>Projet de décision du Conseil établissant la position à prendre au nom de l’Union européenne au sein de la Conférence ministérielle de l’Organisation mondiale du commerce (OMC) en ce qui concerne la prorogation du moratoire sur les droits de douane sur les transmissions électroniques et du moratoire sur les plaintes en situation de non-violation ou motivées par une autre situation</w:t>
            </w:r>
            <w:r w:rsidR="00E46288">
              <w:rPr>
                <w:noProof/>
                <w:webHidden/>
              </w:rPr>
              <w:tab/>
            </w:r>
            <w:r w:rsidR="00E46288">
              <w:rPr>
                <w:noProof/>
                <w:webHidden/>
              </w:rPr>
              <w:fldChar w:fldCharType="begin"/>
            </w:r>
            <w:r w:rsidR="00E46288">
              <w:rPr>
                <w:noProof/>
                <w:webHidden/>
              </w:rPr>
              <w:instrText xml:space="preserve"> PAGEREF _Toc435690436 \h </w:instrText>
            </w:r>
            <w:r w:rsidR="00E46288">
              <w:rPr>
                <w:noProof/>
                <w:webHidden/>
              </w:rPr>
            </w:r>
            <w:r w:rsidR="00E46288">
              <w:rPr>
                <w:noProof/>
                <w:webHidden/>
              </w:rPr>
              <w:fldChar w:fldCharType="separate"/>
            </w:r>
            <w:r w:rsidR="00E46288">
              <w:rPr>
                <w:noProof/>
                <w:webHidden/>
              </w:rPr>
              <w:t>6</w:t>
            </w:r>
            <w:r w:rsidR="00E46288">
              <w:rPr>
                <w:noProof/>
                <w:webHidden/>
              </w:rPr>
              <w:fldChar w:fldCharType="end"/>
            </w:r>
          </w:hyperlink>
        </w:p>
        <w:p w14:paraId="4B5D4617" w14:textId="77777777" w:rsidR="00E46288" w:rsidRDefault="009A187D">
          <w:pPr>
            <w:pStyle w:val="Innehll1"/>
            <w:tabs>
              <w:tab w:val="left" w:pos="440"/>
              <w:tab w:val="right" w:leader="dot" w:pos="9062"/>
            </w:tabs>
            <w:rPr>
              <w:rFonts w:asciiTheme="minorHAnsi" w:eastAsiaTheme="minorEastAsia" w:hAnsiTheme="minorHAnsi" w:cstheme="minorBidi"/>
              <w:noProof/>
              <w:lang w:eastAsia="sv-SE"/>
            </w:rPr>
          </w:pPr>
          <w:hyperlink w:anchor="_Toc435690437" w:history="1">
            <w:r w:rsidR="00E46288" w:rsidRPr="00F30741">
              <w:rPr>
                <w:rStyle w:val="Hyperlnk"/>
                <w:noProof/>
              </w:rPr>
              <w:t>9.</w:t>
            </w:r>
            <w:r w:rsidR="00E46288">
              <w:rPr>
                <w:rFonts w:asciiTheme="minorHAnsi" w:eastAsiaTheme="minorEastAsia" w:hAnsiTheme="minorHAnsi" w:cstheme="minorBidi"/>
                <w:noProof/>
                <w:lang w:eastAsia="sv-SE"/>
              </w:rPr>
              <w:tab/>
            </w:r>
            <w:r w:rsidR="00E46288" w:rsidRPr="00F30741">
              <w:rPr>
                <w:rStyle w:val="Hyperlnk"/>
                <w:noProof/>
              </w:rPr>
              <w:t>Elargissement Négociations d'adhésion avec le Monténégro</w:t>
            </w:r>
            <w:r w:rsidR="00E46288">
              <w:rPr>
                <w:noProof/>
                <w:webHidden/>
              </w:rPr>
              <w:tab/>
            </w:r>
            <w:r w:rsidR="00E46288">
              <w:rPr>
                <w:noProof/>
                <w:webHidden/>
              </w:rPr>
              <w:fldChar w:fldCharType="begin"/>
            </w:r>
            <w:r w:rsidR="00E46288">
              <w:rPr>
                <w:noProof/>
                <w:webHidden/>
              </w:rPr>
              <w:instrText xml:space="preserve"> PAGEREF _Toc435690437 \h </w:instrText>
            </w:r>
            <w:r w:rsidR="00E46288">
              <w:rPr>
                <w:noProof/>
                <w:webHidden/>
              </w:rPr>
            </w:r>
            <w:r w:rsidR="00E46288">
              <w:rPr>
                <w:noProof/>
                <w:webHidden/>
              </w:rPr>
              <w:fldChar w:fldCharType="separate"/>
            </w:r>
            <w:r w:rsidR="00E46288">
              <w:rPr>
                <w:noProof/>
                <w:webHidden/>
              </w:rPr>
              <w:t>7</w:t>
            </w:r>
            <w:r w:rsidR="00E46288">
              <w:rPr>
                <w:noProof/>
                <w:webHidden/>
              </w:rPr>
              <w:fldChar w:fldCharType="end"/>
            </w:r>
          </w:hyperlink>
        </w:p>
        <w:p w14:paraId="5456C788" w14:textId="77777777" w:rsidR="00E46288" w:rsidRDefault="009A187D">
          <w:pPr>
            <w:pStyle w:val="Innehll1"/>
            <w:tabs>
              <w:tab w:val="left" w:pos="660"/>
              <w:tab w:val="right" w:leader="dot" w:pos="9062"/>
            </w:tabs>
            <w:rPr>
              <w:rFonts w:asciiTheme="minorHAnsi" w:eastAsiaTheme="minorEastAsia" w:hAnsiTheme="minorHAnsi" w:cstheme="minorBidi"/>
              <w:noProof/>
              <w:lang w:eastAsia="sv-SE"/>
            </w:rPr>
          </w:pPr>
          <w:hyperlink w:anchor="_Toc435690438" w:history="1">
            <w:r w:rsidR="00E46288" w:rsidRPr="00F30741">
              <w:rPr>
                <w:rStyle w:val="Hyperlnk"/>
                <w:noProof/>
              </w:rPr>
              <w:t>10.</w:t>
            </w:r>
            <w:r w:rsidR="00E46288">
              <w:rPr>
                <w:rFonts w:asciiTheme="minorHAnsi" w:eastAsiaTheme="minorEastAsia" w:hAnsiTheme="minorHAnsi" w:cstheme="minorBidi"/>
                <w:noProof/>
                <w:lang w:eastAsia="sv-SE"/>
              </w:rPr>
              <w:tab/>
            </w:r>
            <w:r w:rsidR="00E46288" w:rsidRPr="00F30741">
              <w:rPr>
                <w:rStyle w:val="Hyperlnk"/>
                <w:noProof/>
              </w:rPr>
              <w:t>Relations avec la Russie</w:t>
            </w:r>
            <w:r w:rsidR="00E46288">
              <w:rPr>
                <w:noProof/>
                <w:webHidden/>
              </w:rPr>
              <w:tab/>
            </w:r>
            <w:r w:rsidR="00E46288">
              <w:rPr>
                <w:noProof/>
                <w:webHidden/>
              </w:rPr>
              <w:fldChar w:fldCharType="begin"/>
            </w:r>
            <w:r w:rsidR="00E46288">
              <w:rPr>
                <w:noProof/>
                <w:webHidden/>
              </w:rPr>
              <w:instrText xml:space="preserve"> PAGEREF _Toc435690438 \h </w:instrText>
            </w:r>
            <w:r w:rsidR="00E46288">
              <w:rPr>
                <w:noProof/>
                <w:webHidden/>
              </w:rPr>
            </w:r>
            <w:r w:rsidR="00E46288">
              <w:rPr>
                <w:noProof/>
                <w:webHidden/>
              </w:rPr>
              <w:fldChar w:fldCharType="separate"/>
            </w:r>
            <w:r w:rsidR="00E46288">
              <w:rPr>
                <w:noProof/>
                <w:webHidden/>
              </w:rPr>
              <w:t>7</w:t>
            </w:r>
            <w:r w:rsidR="00E46288">
              <w:rPr>
                <w:noProof/>
                <w:webHidden/>
              </w:rPr>
              <w:fldChar w:fldCharType="end"/>
            </w:r>
          </w:hyperlink>
        </w:p>
        <w:p w14:paraId="20318AD1" w14:textId="77777777" w:rsidR="00E46288" w:rsidRDefault="009A187D">
          <w:pPr>
            <w:pStyle w:val="Innehll1"/>
            <w:tabs>
              <w:tab w:val="left" w:pos="660"/>
              <w:tab w:val="right" w:leader="dot" w:pos="9062"/>
            </w:tabs>
            <w:rPr>
              <w:rFonts w:asciiTheme="minorHAnsi" w:eastAsiaTheme="minorEastAsia" w:hAnsiTheme="minorHAnsi" w:cstheme="minorBidi"/>
              <w:noProof/>
              <w:lang w:eastAsia="sv-SE"/>
            </w:rPr>
          </w:pPr>
          <w:hyperlink w:anchor="_Toc435690439" w:history="1">
            <w:r w:rsidR="00E46288" w:rsidRPr="00F30741">
              <w:rPr>
                <w:rStyle w:val="Hyperlnk"/>
                <w:noProof/>
              </w:rPr>
              <w:t>11.</w:t>
            </w:r>
            <w:r w:rsidR="00E46288">
              <w:rPr>
                <w:rFonts w:asciiTheme="minorHAnsi" w:eastAsiaTheme="minorEastAsia" w:hAnsiTheme="minorHAnsi" w:cstheme="minorBidi"/>
                <w:noProof/>
                <w:lang w:eastAsia="sv-SE"/>
              </w:rPr>
              <w:tab/>
            </w:r>
            <w:r w:rsidR="00E46288" w:rsidRPr="00F30741">
              <w:rPr>
                <w:rStyle w:val="Hyperlnk"/>
                <w:noProof/>
              </w:rPr>
              <w:t>Décision du Conseil modifiant la décision 2014/486/PESC relative à la mission de conseil de l'Union européenne sur la réforme du secteur de la sécurité civile en Ukraine (EUAM Ukraine)</w:t>
            </w:r>
            <w:r w:rsidR="00E46288">
              <w:rPr>
                <w:noProof/>
                <w:webHidden/>
              </w:rPr>
              <w:tab/>
            </w:r>
            <w:r w:rsidR="00E46288">
              <w:rPr>
                <w:noProof/>
                <w:webHidden/>
              </w:rPr>
              <w:fldChar w:fldCharType="begin"/>
            </w:r>
            <w:r w:rsidR="00E46288">
              <w:rPr>
                <w:noProof/>
                <w:webHidden/>
              </w:rPr>
              <w:instrText xml:space="preserve"> PAGEREF _Toc435690439 \h </w:instrText>
            </w:r>
            <w:r w:rsidR="00E46288">
              <w:rPr>
                <w:noProof/>
                <w:webHidden/>
              </w:rPr>
            </w:r>
            <w:r w:rsidR="00E46288">
              <w:rPr>
                <w:noProof/>
                <w:webHidden/>
              </w:rPr>
              <w:fldChar w:fldCharType="separate"/>
            </w:r>
            <w:r w:rsidR="00E46288">
              <w:rPr>
                <w:noProof/>
                <w:webHidden/>
              </w:rPr>
              <w:t>8</w:t>
            </w:r>
            <w:r w:rsidR="00E46288">
              <w:rPr>
                <w:noProof/>
                <w:webHidden/>
              </w:rPr>
              <w:fldChar w:fldCharType="end"/>
            </w:r>
          </w:hyperlink>
        </w:p>
        <w:p w14:paraId="27A748AC" w14:textId="77777777" w:rsidR="00E46288" w:rsidRDefault="009A187D">
          <w:pPr>
            <w:pStyle w:val="Innehll1"/>
            <w:tabs>
              <w:tab w:val="left" w:pos="660"/>
              <w:tab w:val="right" w:leader="dot" w:pos="9062"/>
            </w:tabs>
            <w:rPr>
              <w:rFonts w:asciiTheme="minorHAnsi" w:eastAsiaTheme="minorEastAsia" w:hAnsiTheme="minorHAnsi" w:cstheme="minorBidi"/>
              <w:noProof/>
              <w:lang w:eastAsia="sv-SE"/>
            </w:rPr>
          </w:pPr>
          <w:hyperlink w:anchor="_Toc435690440" w:history="1">
            <w:r w:rsidR="00E46288" w:rsidRPr="00F30741">
              <w:rPr>
                <w:rStyle w:val="Hyperlnk"/>
                <w:noProof/>
              </w:rPr>
              <w:t>12.</w:t>
            </w:r>
            <w:r w:rsidR="00E46288">
              <w:rPr>
                <w:rFonts w:asciiTheme="minorHAnsi" w:eastAsiaTheme="minorEastAsia" w:hAnsiTheme="minorHAnsi" w:cstheme="minorBidi"/>
                <w:noProof/>
                <w:lang w:eastAsia="sv-SE"/>
              </w:rPr>
              <w:tab/>
            </w:r>
            <w:r w:rsidR="00E46288" w:rsidRPr="00F30741">
              <w:rPr>
                <w:rStyle w:val="Hyperlnk"/>
                <w:noProof/>
              </w:rPr>
              <w:t>Décision du Conseil à l'appui de la résolution 2235 (2015) du Conseil de sécurité des Nations unies établissant un mécanisme d’enquête conjoint OIAC-ONU chargé d’identifier les auteurs d'attaques chimiques en République arabe syrienne</w:t>
            </w:r>
            <w:r w:rsidR="00E46288">
              <w:rPr>
                <w:noProof/>
                <w:webHidden/>
              </w:rPr>
              <w:tab/>
            </w:r>
            <w:r w:rsidR="00E46288">
              <w:rPr>
                <w:noProof/>
                <w:webHidden/>
              </w:rPr>
              <w:fldChar w:fldCharType="begin"/>
            </w:r>
            <w:r w:rsidR="00E46288">
              <w:rPr>
                <w:noProof/>
                <w:webHidden/>
              </w:rPr>
              <w:instrText xml:space="preserve"> PAGEREF _Toc435690440 \h </w:instrText>
            </w:r>
            <w:r w:rsidR="00E46288">
              <w:rPr>
                <w:noProof/>
                <w:webHidden/>
              </w:rPr>
            </w:r>
            <w:r w:rsidR="00E46288">
              <w:rPr>
                <w:noProof/>
                <w:webHidden/>
              </w:rPr>
              <w:fldChar w:fldCharType="separate"/>
            </w:r>
            <w:r w:rsidR="00E46288">
              <w:rPr>
                <w:noProof/>
                <w:webHidden/>
              </w:rPr>
              <w:t>8</w:t>
            </w:r>
            <w:r w:rsidR="00E46288">
              <w:rPr>
                <w:noProof/>
                <w:webHidden/>
              </w:rPr>
              <w:fldChar w:fldCharType="end"/>
            </w:r>
          </w:hyperlink>
        </w:p>
        <w:p w14:paraId="784F3959" w14:textId="77777777" w:rsidR="00D957FB" w:rsidRDefault="001038F3">
          <w:r>
            <w:rPr>
              <w:b/>
              <w:bCs/>
              <w:noProof/>
            </w:rPr>
            <w:fldChar w:fldCharType="end"/>
          </w:r>
        </w:p>
      </w:sdtContent>
    </w:sdt>
    <w:p w14:paraId="784F395A" w14:textId="77777777" w:rsidR="00D957FB" w:rsidRDefault="001038F3">
      <w:pPr>
        <w:ind w:left="0"/>
      </w:pPr>
      <w:r>
        <w:br w:type="page"/>
      </w:r>
    </w:p>
    <w:p w14:paraId="784F395B" w14:textId="77777777" w:rsidR="00643D86" w:rsidRDefault="009A187D" w:rsidP="00643D86">
      <w:pPr>
        <w:pStyle w:val="Rubrik1"/>
        <w:numPr>
          <w:ilvl w:val="0"/>
          <w:numId w:val="0"/>
        </w:numPr>
      </w:pPr>
      <w:bookmarkStart w:id="1" w:name="_Toc364854645"/>
    </w:p>
    <w:p w14:paraId="784F395C" w14:textId="77777777" w:rsidR="00643D86" w:rsidRDefault="001038F3" w:rsidP="00643D86">
      <w:pPr>
        <w:pStyle w:val="Rubrik1"/>
      </w:pPr>
      <w:bookmarkStart w:id="2" w:name="_Toc435690429"/>
      <w:r>
        <w:rPr>
          <w:noProof/>
        </w:rPr>
        <w:t>Affaire devant la Cour de Justice de l'Union européenne</w:t>
      </w:r>
      <w:r>
        <w:rPr>
          <w:noProof/>
        </w:rPr>
        <w:br/>
        <w:t>C-468/15 P, PT Perindustrian Dan Perdagangan Musim Semi Mas c/ Conseil de l'UE</w:t>
      </w:r>
      <w:r>
        <w:rPr>
          <w:noProof/>
        </w:rPr>
        <w:br/>
        <w:t>(Pourvoi contre l'arrêt rendu le 25 juin 2015 par le Tribunal de l'Union européenne dans l'affaire T-26/12)</w:t>
      </w:r>
      <w:bookmarkEnd w:id="2"/>
    </w:p>
    <w:p w14:paraId="784F395D" w14:textId="3D3175AD" w:rsidR="00643D86" w:rsidRPr="009F123B" w:rsidRDefault="001038F3" w:rsidP="00643D86">
      <w:r w:rsidRPr="009F123B">
        <w:rPr>
          <w:noProof/>
        </w:rPr>
        <w:t>14085</w:t>
      </w:r>
      <w:r w:rsidRPr="009F123B">
        <w:t>/15 JUR 726 COMER 146</w:t>
      </w:r>
    </w:p>
    <w:p w14:paraId="784F395E" w14:textId="77777777" w:rsidR="00643D86" w:rsidRDefault="001038F3" w:rsidP="00643D86">
      <w:r>
        <w:rPr>
          <w:b/>
        </w:rPr>
        <w:t>Ansvarigt statsråd</w:t>
      </w:r>
      <w:r>
        <w:rPr>
          <w:b/>
        </w:rPr>
        <w:br/>
      </w:r>
      <w:r>
        <w:rPr>
          <w:noProof/>
        </w:rPr>
        <w:t>Margot Wallström</w:t>
      </w:r>
    </w:p>
    <w:p w14:paraId="784F3962" w14:textId="788F0A90" w:rsidR="008942B5" w:rsidRDefault="001038F3" w:rsidP="00307E07">
      <w:r w:rsidRPr="00B44CE2">
        <w:rPr>
          <w:b/>
        </w:rPr>
        <w:t>Annotering</w:t>
      </w:r>
      <w:r>
        <w:rPr>
          <w:b/>
        </w:rPr>
        <w:br/>
      </w:r>
      <w:r>
        <w:rPr>
          <w:b/>
          <w:bCs/>
        </w:rPr>
        <w:t>Avsikt med behandlingen i rådet:</w:t>
      </w:r>
      <w:r>
        <w:t xml:space="preserve"> Information om ett mål i EU-domstolen där rådet har utsett ombud.</w:t>
      </w:r>
    </w:p>
    <w:p w14:paraId="784F3963" w14:textId="77777777" w:rsidR="008942B5" w:rsidRDefault="001038F3">
      <w:pPr>
        <w:spacing w:after="280" w:afterAutospacing="1"/>
      </w:pPr>
      <w:r>
        <w:rPr>
          <w:b/>
          <w:bCs/>
        </w:rPr>
        <w:t>Hur regeringen ställer sig till den blivande A-punkten:</w:t>
      </w:r>
      <w:r>
        <w:t xml:space="preserve"> Regeringen har ingen erinran mot denna informationspunkt.</w:t>
      </w:r>
    </w:p>
    <w:p w14:paraId="784F3965" w14:textId="1D29A65C" w:rsidR="00FB32B9" w:rsidRDefault="001038F3">
      <w:pPr>
        <w:spacing w:after="280" w:afterAutospacing="1"/>
        <w:rPr>
          <w:noProof/>
        </w:rPr>
      </w:pPr>
      <w:r>
        <w:rPr>
          <w:b/>
          <w:bCs/>
        </w:rPr>
        <w:t xml:space="preserve">Bakgrund: </w:t>
      </w:r>
      <w:r>
        <w:t>Målet är överklagat från tribunalen och avser en ogiltighetstalan mot rådets genomförandeförordning (EU) nr 1138/2011 om införande av en slutgiltig antidumpningstull och om slutgiltigt uttag av den preliminära tull som införts på import av vissa fettalkoholer och blandningar av dessa med ursprung i Indien, Indonesien och Malaysia.</w:t>
      </w:r>
    </w:p>
    <w:p w14:paraId="784F3966" w14:textId="77777777" w:rsidR="00643D86" w:rsidRDefault="001038F3" w:rsidP="00643D86">
      <w:pPr>
        <w:pStyle w:val="Rubrik1"/>
      </w:pPr>
      <w:bookmarkStart w:id="3" w:name="_Toc435690430"/>
      <w:r>
        <w:rPr>
          <w:noProof/>
        </w:rPr>
        <w:t>Décision du Conseil modifiant le règlement intérieur du Conseil</w:t>
      </w:r>
      <w:bookmarkEnd w:id="3"/>
    </w:p>
    <w:p w14:paraId="5AC009AB" w14:textId="77777777" w:rsidR="00307E07" w:rsidRPr="009F123B" w:rsidRDefault="001038F3" w:rsidP="00643D86">
      <w:r w:rsidRPr="009F123B">
        <w:rPr>
          <w:noProof/>
        </w:rPr>
        <w:t>=</w:t>
      </w:r>
      <w:r w:rsidRPr="009F123B">
        <w:t>Mise à jour annuelle du tableau relatif à la population des Etats membres pour la période comprise entre le 1er janvier 2016 et le 31 décembre 2016</w:t>
      </w:r>
    </w:p>
    <w:p w14:paraId="784F3967" w14:textId="4DE99980" w:rsidR="00643D86" w:rsidRPr="009F123B" w:rsidRDefault="001038F3" w:rsidP="00643D86">
      <w:r w:rsidRPr="009F123B">
        <w:rPr>
          <w:noProof/>
        </w:rPr>
        <w:t>13871</w:t>
      </w:r>
      <w:r w:rsidRPr="009F123B">
        <w:t>/15 JUR 716 INST 398</w:t>
      </w:r>
      <w:r w:rsidR="00307E07" w:rsidRPr="009F123B">
        <w:t xml:space="preserve"> </w:t>
      </w:r>
      <w:r w:rsidRPr="009F123B">
        <w:t>13612/15 JUR 697 INST 385</w:t>
      </w:r>
    </w:p>
    <w:p w14:paraId="784F3968" w14:textId="77777777" w:rsidR="00643D86" w:rsidRDefault="001038F3" w:rsidP="00643D86">
      <w:r>
        <w:rPr>
          <w:b/>
        </w:rPr>
        <w:t>Ansvarigt statsråd</w:t>
      </w:r>
      <w:r>
        <w:rPr>
          <w:b/>
        </w:rPr>
        <w:br/>
      </w:r>
      <w:r>
        <w:rPr>
          <w:noProof/>
        </w:rPr>
        <w:t>Stefan Löfven</w:t>
      </w:r>
    </w:p>
    <w:p w14:paraId="784F396B" w14:textId="77777777" w:rsidR="00643D86" w:rsidRDefault="001038F3" w:rsidP="00643D86">
      <w:r w:rsidRPr="00B44CE2">
        <w:rPr>
          <w:b/>
        </w:rPr>
        <w:t>Annotering</w:t>
      </w:r>
      <w:r>
        <w:rPr>
          <w:b/>
        </w:rPr>
        <w:br/>
      </w:r>
      <w:r>
        <w:t>Föranleder ingen annotering.</w:t>
      </w:r>
    </w:p>
    <w:p w14:paraId="784F396C" w14:textId="77777777" w:rsidR="00643D86" w:rsidRDefault="001038F3" w:rsidP="00643D86">
      <w:pPr>
        <w:pStyle w:val="Rubrik1"/>
      </w:pPr>
      <w:bookmarkStart w:id="4" w:name="_Toc435690431"/>
      <w:r>
        <w:rPr>
          <w:noProof/>
        </w:rPr>
        <w:t>Présentation, par la Lituanie, de la face nationale d'une pièce commémorative de 2 euros</w:t>
      </w:r>
      <w:bookmarkEnd w:id="4"/>
    </w:p>
    <w:p w14:paraId="784F396D" w14:textId="5B0AA6CE" w:rsidR="00643D86" w:rsidRDefault="001038F3" w:rsidP="00643D86">
      <w:pPr>
        <w:rPr>
          <w:lang w:val="en-US"/>
        </w:rPr>
      </w:pPr>
      <w:r>
        <w:rPr>
          <w:noProof/>
          <w:lang w:val="en-US"/>
        </w:rPr>
        <w:t>13751</w:t>
      </w:r>
      <w:r>
        <w:rPr>
          <w:lang w:val="en-US"/>
        </w:rPr>
        <w:t>/15 ECOFIN 831 UEM 396</w:t>
      </w:r>
    </w:p>
    <w:p w14:paraId="784F396E" w14:textId="77777777" w:rsidR="00643D86" w:rsidRDefault="001038F3" w:rsidP="00643D86">
      <w:r>
        <w:rPr>
          <w:b/>
        </w:rPr>
        <w:t>Ansvarigt statsråd</w:t>
      </w:r>
      <w:r>
        <w:rPr>
          <w:b/>
        </w:rPr>
        <w:br/>
      </w:r>
      <w:r>
        <w:rPr>
          <w:noProof/>
        </w:rPr>
        <w:t>Per Bolund</w:t>
      </w:r>
    </w:p>
    <w:p w14:paraId="784F3971" w14:textId="77777777" w:rsidR="00643D86" w:rsidRDefault="001038F3" w:rsidP="00643D86">
      <w:r w:rsidRPr="00B44CE2">
        <w:rPr>
          <w:b/>
        </w:rPr>
        <w:t>Annotering</w:t>
      </w:r>
      <w:r>
        <w:rPr>
          <w:b/>
        </w:rPr>
        <w:br/>
      </w:r>
      <w:r>
        <w:t>Föranleder ingen annotering.</w:t>
      </w:r>
    </w:p>
    <w:p w14:paraId="784F3972" w14:textId="6B2AFCE4" w:rsidR="00643D86" w:rsidRDefault="001038F3" w:rsidP="00643D86">
      <w:pPr>
        <w:pStyle w:val="Rubrik1"/>
      </w:pPr>
      <w:bookmarkStart w:id="5" w:name="_Toc435690432"/>
      <w:r>
        <w:rPr>
          <w:noProof/>
        </w:rPr>
        <w:lastRenderedPageBreak/>
        <w:t>Règlement délégué (UE) …/... de la Commission du 26.10.2015 complétant le règlement (UE) n° 575/2013 du Parlement européen et du Conseil par des normes techniques de réglementation concernant l’évaluation prudente en vertu de l’article 105, paragraphe 14</w:t>
      </w:r>
      <w:bookmarkEnd w:id="5"/>
    </w:p>
    <w:p w14:paraId="784F3973" w14:textId="51AFFAF7" w:rsidR="00643D86" w:rsidRDefault="001038F3" w:rsidP="00643D86">
      <w:pPr>
        <w:rPr>
          <w:lang w:val="en-US"/>
        </w:rPr>
      </w:pPr>
      <w:r>
        <w:rPr>
          <w:noProof/>
          <w:lang w:val="en-US"/>
        </w:rPr>
        <w:t>=</w:t>
      </w:r>
      <w:r>
        <w:rPr>
          <w:lang w:val="en-US"/>
        </w:rPr>
        <w:t>Intention de ne pas exprimer d'objections à un acte délégué</w:t>
      </w:r>
      <w:r w:rsidR="00307E07">
        <w:rPr>
          <w:lang w:val="en-US"/>
        </w:rPr>
        <w:br/>
      </w:r>
      <w:r>
        <w:rPr>
          <w:noProof/>
          <w:lang w:val="en-US"/>
        </w:rPr>
        <w:t>14013</w:t>
      </w:r>
      <w:r>
        <w:rPr>
          <w:lang w:val="en-US"/>
        </w:rPr>
        <w:t>/15 EF 201 ECOFIN 847 DELACT 152</w:t>
      </w:r>
      <w:r w:rsidR="00307E07">
        <w:rPr>
          <w:lang w:val="en-US"/>
        </w:rPr>
        <w:t xml:space="preserve"> </w:t>
      </w:r>
      <w:r>
        <w:rPr>
          <w:lang w:val="en-US"/>
        </w:rPr>
        <w:t>13443/15 EF 192 ECOFIN 806 DELACT 147+ ADD 1</w:t>
      </w:r>
    </w:p>
    <w:p w14:paraId="784F3974" w14:textId="77777777" w:rsidR="00643D86" w:rsidRDefault="001038F3" w:rsidP="00643D86">
      <w:r>
        <w:rPr>
          <w:b/>
        </w:rPr>
        <w:t>Ansvarigt statsråd</w:t>
      </w:r>
      <w:r>
        <w:rPr>
          <w:b/>
        </w:rPr>
        <w:br/>
      </w:r>
      <w:r>
        <w:rPr>
          <w:noProof/>
        </w:rPr>
        <w:t>Per Bolund</w:t>
      </w:r>
    </w:p>
    <w:p w14:paraId="784F3979" w14:textId="286D3AE7" w:rsidR="008942B5" w:rsidRDefault="001038F3" w:rsidP="00307E07">
      <w:r w:rsidRPr="00B44CE2">
        <w:rPr>
          <w:b/>
        </w:rPr>
        <w:t>Annotering</w:t>
      </w:r>
      <w:r>
        <w:rPr>
          <w:b/>
        </w:rPr>
        <w:br/>
      </w:r>
      <w:r>
        <w:rPr>
          <w:b/>
          <w:bCs/>
        </w:rPr>
        <w:t>Avsikt med behandlingen i rådet:</w:t>
      </w:r>
      <w:r>
        <w:t xml:space="preserve"> Rådet föreslås inte motsätta sig att kommissionen antar den delegerade akten. </w:t>
      </w:r>
    </w:p>
    <w:p w14:paraId="784F397B" w14:textId="43ABA694" w:rsidR="008942B5" w:rsidRDefault="001038F3">
      <w:pPr>
        <w:spacing w:after="280" w:afterAutospacing="1"/>
      </w:pPr>
      <w:r>
        <w:rPr>
          <w:b/>
          <w:bCs/>
        </w:rPr>
        <w:t>Hur regeringen ställer sig till den blivande A-punkten:</w:t>
      </w:r>
      <w:r>
        <w:t xml:space="preserve"> Regeringen avser inte motsätta sig förslaget. </w:t>
      </w:r>
    </w:p>
    <w:p w14:paraId="784F397D" w14:textId="437C9C6C" w:rsidR="008942B5" w:rsidRDefault="001038F3">
      <w:pPr>
        <w:spacing w:after="280" w:afterAutospacing="1"/>
      </w:pPr>
      <w:r>
        <w:rPr>
          <w:b/>
          <w:bCs/>
        </w:rPr>
        <w:t>Bakgrund:</w:t>
      </w:r>
      <w:r w:rsidR="00307E07">
        <w:rPr>
          <w:b/>
          <w:bCs/>
        </w:rPr>
        <w:t xml:space="preserve"> </w:t>
      </w:r>
      <w:r>
        <w:t>Enligt tillsynsförordningen 575/2013 av 26 juni 2013 och kapitaltäckningsdirektivet 2013/36/EU av den 26 juni ska den Europeiska bankmyndigheten (Eba) lägga fram förslag till tekniska standarder för att närmare precisera innehållet i vissa av förordningens och direktivets artiklar. Kommissionen har delegerats befogenhet att anta dessa tekniska standarder.</w:t>
      </w:r>
    </w:p>
    <w:p w14:paraId="784F397F" w14:textId="14FAEC9D" w:rsidR="00FB32B9" w:rsidRDefault="001038F3">
      <w:pPr>
        <w:spacing w:after="280" w:afterAutospacing="1"/>
        <w:rPr>
          <w:noProof/>
        </w:rPr>
      </w:pPr>
      <w:r>
        <w:t>Enligt kapitaltäckningsdirektivet artikel 105(14) ska Eba utarbeta förslag till tekniska standarder för tillsyn för att fastställa de villkor enligt vilka kraven om att alla positioner i handelslagret ska omfattas av standarder för försiktig värdering. Eba har publicerat och skickat sitt slutliga förslag av dessa tekniska standarder till kommissionen för antagande och medlemsstaterna har möjlighet att motsätta sig att kommissionen antar förslaget.</w:t>
      </w:r>
    </w:p>
    <w:p w14:paraId="784F3980" w14:textId="1138E3E7" w:rsidR="00643D86" w:rsidRDefault="001038F3" w:rsidP="00643D86">
      <w:pPr>
        <w:pStyle w:val="Rubrik1"/>
      </w:pPr>
      <w:bookmarkStart w:id="6" w:name="_Toc435690433"/>
      <w:r>
        <w:rPr>
          <w:noProof/>
        </w:rPr>
        <w:t>Projet de conclusions du Conseil sur une stratégie de l'Union européenne pour la région alpine</w:t>
      </w:r>
      <w:bookmarkEnd w:id="6"/>
    </w:p>
    <w:p w14:paraId="784F3981" w14:textId="0BD3D67F" w:rsidR="00643D86" w:rsidRDefault="001038F3" w:rsidP="00643D86">
      <w:pPr>
        <w:rPr>
          <w:lang w:val="en-US"/>
        </w:rPr>
      </w:pPr>
      <w:r>
        <w:rPr>
          <w:noProof/>
          <w:lang w:val="en-US"/>
        </w:rPr>
        <w:t>=</w:t>
      </w:r>
      <w:r>
        <w:rPr>
          <w:lang w:val="en-US"/>
        </w:rPr>
        <w:t>Adoption</w:t>
      </w:r>
      <w:r w:rsidR="00307E07">
        <w:rPr>
          <w:lang w:val="en-US"/>
        </w:rPr>
        <w:br/>
      </w:r>
      <w:r>
        <w:rPr>
          <w:noProof/>
          <w:lang w:val="en-US"/>
        </w:rPr>
        <w:t>13528</w:t>
      </w:r>
      <w:r>
        <w:rPr>
          <w:lang w:val="en-US"/>
        </w:rPr>
        <w:t>/15 CADREFIN 68 FSTR 71 POLGEN 159 REGIO 87 FC 72 ECOFIN 818 ENV 662 TRANS 350 PECHE 403 RECH 258 JAI 799 ENER 372 MI 677 MAR 135 COMPET 483 AGRI 553</w:t>
      </w:r>
    </w:p>
    <w:p w14:paraId="784F3982" w14:textId="77777777" w:rsidR="00643D86" w:rsidRDefault="001038F3" w:rsidP="00643D86">
      <w:r>
        <w:rPr>
          <w:b/>
        </w:rPr>
        <w:t>Ansvarigt statsråd</w:t>
      </w:r>
      <w:r>
        <w:rPr>
          <w:b/>
        </w:rPr>
        <w:br/>
      </w:r>
      <w:r>
        <w:rPr>
          <w:noProof/>
        </w:rPr>
        <w:t>Stefan Löfven</w:t>
      </w:r>
    </w:p>
    <w:p w14:paraId="784F3986" w14:textId="77777777" w:rsidR="00643D86" w:rsidRDefault="001038F3" w:rsidP="00643D86">
      <w:r w:rsidRPr="00B44CE2">
        <w:rPr>
          <w:b/>
        </w:rPr>
        <w:t>Annotering</w:t>
      </w:r>
      <w:r>
        <w:rPr>
          <w:b/>
        </w:rPr>
        <w:br/>
      </w:r>
      <w:r>
        <w:rPr>
          <w:b/>
          <w:bCs/>
        </w:rPr>
        <w:t>Avsikt med behandlingen i rådet:</w:t>
      </w:r>
      <w:r>
        <w:t xml:space="preserve"> Rådet föreslås godkänna rådets om en gemensam strategi för Alpregionen. </w:t>
      </w:r>
    </w:p>
    <w:p w14:paraId="784F3987" w14:textId="77777777" w:rsidR="008942B5" w:rsidRDefault="001038F3">
      <w:pPr>
        <w:spacing w:after="280" w:afterAutospacing="1"/>
      </w:pPr>
      <w:r>
        <w:rPr>
          <w:b/>
          <w:bCs/>
        </w:rPr>
        <w:t>Hur regeringen ställer sig till den blivande A-punkten:</w:t>
      </w:r>
      <w:r>
        <w:t xml:space="preserve"> Regeringen välkomnar strategin och dess huvudsakliga inriktning. Strategin har goda förutsättningar att stärka makroregionalt samarbete i stort genom att bidra till erfarenhetsutbyte och utbyte av goda exempel. </w:t>
      </w:r>
    </w:p>
    <w:p w14:paraId="784F3988" w14:textId="77777777" w:rsidR="008942B5" w:rsidRPr="00307E07" w:rsidRDefault="001038F3">
      <w:pPr>
        <w:spacing w:after="280" w:afterAutospacing="1"/>
      </w:pPr>
      <w:r>
        <w:rPr>
          <w:b/>
          <w:bCs/>
        </w:rPr>
        <w:lastRenderedPageBreak/>
        <w:t xml:space="preserve">Bakgrund: </w:t>
      </w:r>
      <w:r w:rsidRPr="00307E07">
        <w:rPr>
          <w:bCs/>
        </w:rPr>
        <w:t xml:space="preserve">EU:s strategi för Alpregionen är EU:s fjärde markoregionala strategi. Den baserar sig på modellen för EU:s första makroregionala strategi som antogs under Sveriges ordförandeskap 2009, EU:s strategi för Östersjöregionen. </w:t>
      </w:r>
    </w:p>
    <w:p w14:paraId="784F3989" w14:textId="77777777" w:rsidR="008942B5" w:rsidRPr="00307E07" w:rsidRDefault="001038F3">
      <w:pPr>
        <w:spacing w:after="280" w:afterAutospacing="1"/>
      </w:pPr>
      <w:r w:rsidRPr="00307E07">
        <w:rPr>
          <w:bCs/>
        </w:rPr>
        <w:t>Den 29 juli 2015 presenterade kommissionen sitt förslag till en makroregional EU-strategi för Alpregionen med tillhörande handlingsplan. Strategin berör ca 80 miljoner människor bosatta i 48 regioner i sammanlagt sju länder. Det geografiska området omfattar fem EU-medlemsländer (Österrike, Frankrike, Tyskland, Italien, Slovenien) och två icke-EU-medlemsländer (Lichtenstein, Schweiz).</w:t>
      </w:r>
      <w:r w:rsidRPr="00307E07">
        <w:t xml:space="preserve"> </w:t>
      </w:r>
    </w:p>
    <w:p w14:paraId="784F398A" w14:textId="77777777" w:rsidR="008942B5" w:rsidRPr="00307E07" w:rsidRDefault="001038F3">
      <w:pPr>
        <w:spacing w:after="280" w:afterAutospacing="1"/>
      </w:pPr>
      <w:r w:rsidRPr="00307E07">
        <w:rPr>
          <w:bCs/>
        </w:rPr>
        <w:t>Kommissionen slår i sitt meddelande fast att Alpregionen är ett av de rikaste områdena i världen och ett av de ekonomiskt sett mest dynamiska, innovativa och konkurrenskraftiga områdena i Europa, med unika geografiska och naturliga särdrag. Samtidigt står regionen inför stora utmaningar som kräver gemensamma insatser såsom den ekonomiska globaliseringen, demografiska trender, hög sårbarhet för klimatförändringarna, energiutmaningen, regionens särskilda geografiska läge i Europa som en transitregion, och en stor säsongbundenhet i vissa turistområden. Det finns också stora skillnader mellan de olika områdena i regionen t.ex. mellan bergstrakterna och låglandet.</w:t>
      </w:r>
      <w:r w:rsidRPr="00307E07">
        <w:t xml:space="preserve"> </w:t>
      </w:r>
    </w:p>
    <w:p w14:paraId="784F398B" w14:textId="77777777" w:rsidR="008942B5" w:rsidRPr="00307E07" w:rsidRDefault="001038F3">
      <w:pPr>
        <w:spacing w:after="280" w:afterAutospacing="1"/>
      </w:pPr>
      <w:r w:rsidRPr="00307E07">
        <w:rPr>
          <w:bCs/>
        </w:rPr>
        <w:t xml:space="preserve">Strategin kommer att omfatta följande tematiska politikområden: </w:t>
      </w:r>
      <w:r w:rsidRPr="00307E07">
        <w:rPr>
          <w:bCs/>
        </w:rPr>
        <w:br/>
        <w:t xml:space="preserve">1. Ekonomisk tillväxt och innovation. </w:t>
      </w:r>
      <w:r w:rsidRPr="00307E07">
        <w:rPr>
          <w:bCs/>
        </w:rPr>
        <w:br/>
        <w:t xml:space="preserve">2. Rörlighet och förbindelser. </w:t>
      </w:r>
      <w:r w:rsidRPr="00307E07">
        <w:rPr>
          <w:bCs/>
        </w:rPr>
        <w:br/>
        <w:t>3. Miljö och energi.</w:t>
      </w:r>
    </w:p>
    <w:p w14:paraId="784F398C" w14:textId="77777777" w:rsidR="008942B5" w:rsidRPr="00307E07" w:rsidRDefault="001038F3">
      <w:pPr>
        <w:spacing w:after="280" w:afterAutospacing="1"/>
      </w:pPr>
      <w:r w:rsidRPr="00307E07">
        <w:rPr>
          <w:bCs/>
        </w:rPr>
        <w:t>Hur strategin ska genomföras fastställs av en handlingsplan som följer med kommissionens meddelande och vilken är utarbetad kring tre, av varandra ömsesidigt beroende, tematiska mål:</w:t>
      </w:r>
      <w:r w:rsidRPr="00307E07">
        <w:rPr>
          <w:bCs/>
        </w:rPr>
        <w:br/>
        <w:t>1. En rättvis tillgång till jobb, på basis av regionens stora konkurrenskraft.</w:t>
      </w:r>
      <w:r w:rsidRPr="00307E07">
        <w:rPr>
          <w:bCs/>
        </w:rPr>
        <w:br/>
        <w:t>2. Hållbar intern och extern tillgänglighet.</w:t>
      </w:r>
      <w:r w:rsidRPr="00307E07">
        <w:rPr>
          <w:bCs/>
        </w:rPr>
        <w:br/>
        <w:t>3. En mer inkluderande miljöram och förnybara och tillförlitliga energilösningar för framtiden.</w:t>
      </w:r>
      <w:r w:rsidRPr="00307E07">
        <w:rPr>
          <w:bCs/>
        </w:rPr>
        <w:br/>
        <w:t>Även ett sektorsövergripande mål ingår:</w:t>
      </w:r>
      <w:r w:rsidRPr="00307E07">
        <w:rPr>
          <w:bCs/>
        </w:rPr>
        <w:br/>
        <w:t>4. En sund makroregional styrmodell för regionen för att förbättra samarbetet och samordningen av insatsen.</w:t>
      </w:r>
    </w:p>
    <w:p w14:paraId="784F398D" w14:textId="77777777" w:rsidR="008942B5" w:rsidRPr="00307E07" w:rsidRDefault="001038F3">
      <w:pPr>
        <w:spacing w:after="280" w:afterAutospacing="1"/>
      </w:pPr>
      <w:r w:rsidRPr="00307E07">
        <w:rPr>
          <w:bCs/>
        </w:rPr>
        <w:t xml:space="preserve">För varje mål har en rad insatser fastställts vilka stödjer EU:s politiska mål och vilka beskrivs närmre i handlingsplanen. </w:t>
      </w:r>
    </w:p>
    <w:p w14:paraId="784F398F" w14:textId="2DB19AB4" w:rsidR="00FB32B9" w:rsidRPr="00307E07" w:rsidRDefault="001038F3">
      <w:pPr>
        <w:spacing w:after="280" w:afterAutospacing="1"/>
        <w:rPr>
          <w:noProof/>
        </w:rPr>
      </w:pPr>
      <w:r w:rsidRPr="00307E07">
        <w:rPr>
          <w:bCs/>
        </w:rPr>
        <w:t xml:space="preserve">Strategin kommer likt övriga makroregionala strategier att basera sig på de tre nejen dvs. inga nya EU-medel, inga nya EU-institutioner och ingen ny EU-lagstiftning. Istället bygger det makroregionala samarbetet på en mer samordnad och effektiv användning av befintliga finansiella resurser, bättre användning av befintliga institutioner och bättre genomförande av befintlig lagstiftning. </w:t>
      </w:r>
    </w:p>
    <w:p w14:paraId="784F3990" w14:textId="77777777" w:rsidR="00643D86" w:rsidRPr="009F123B" w:rsidRDefault="001038F3" w:rsidP="00643D86">
      <w:pPr>
        <w:pStyle w:val="Rubrik1"/>
        <w:rPr>
          <w:lang w:val="en-US"/>
        </w:rPr>
      </w:pPr>
      <w:bookmarkStart w:id="7" w:name="_Toc435690434"/>
      <w:r w:rsidRPr="009F123B">
        <w:rPr>
          <w:noProof/>
          <w:lang w:val="en-US"/>
        </w:rPr>
        <w:t>Projet de conclusions du Conseil sur la justification d'une exposition aux rayonnements ionisants à des fins d'imagerie médicale</w:t>
      </w:r>
      <w:bookmarkEnd w:id="7"/>
    </w:p>
    <w:p w14:paraId="784F3991" w14:textId="08F7A995" w:rsidR="00643D86" w:rsidRDefault="001038F3" w:rsidP="00643D86">
      <w:pPr>
        <w:rPr>
          <w:lang w:val="en-US"/>
        </w:rPr>
      </w:pPr>
      <w:r>
        <w:rPr>
          <w:noProof/>
          <w:lang w:val="en-US"/>
        </w:rPr>
        <w:t>=</w:t>
      </w:r>
      <w:r>
        <w:rPr>
          <w:lang w:val="en-US"/>
        </w:rPr>
        <w:t>Adoption</w:t>
      </w:r>
      <w:r w:rsidR="00307E07">
        <w:rPr>
          <w:lang w:val="en-US"/>
        </w:rPr>
        <w:br/>
      </w:r>
      <w:r>
        <w:rPr>
          <w:noProof/>
          <w:lang w:val="en-US"/>
        </w:rPr>
        <w:t>13747</w:t>
      </w:r>
      <w:r>
        <w:rPr>
          <w:lang w:val="en-US"/>
        </w:rPr>
        <w:t>/15 ATO 68 SAN 366</w:t>
      </w:r>
    </w:p>
    <w:p w14:paraId="784F3992" w14:textId="77777777" w:rsidR="00643D86" w:rsidRDefault="001038F3" w:rsidP="00643D86">
      <w:r>
        <w:rPr>
          <w:b/>
        </w:rPr>
        <w:lastRenderedPageBreak/>
        <w:t>Ansvarigt statsråd</w:t>
      </w:r>
      <w:r>
        <w:rPr>
          <w:b/>
        </w:rPr>
        <w:br/>
      </w:r>
      <w:r>
        <w:rPr>
          <w:noProof/>
        </w:rPr>
        <w:t>Åsa Romson</w:t>
      </w:r>
    </w:p>
    <w:p w14:paraId="784F3995" w14:textId="77777777" w:rsidR="00643D86" w:rsidRDefault="001038F3" w:rsidP="00643D86">
      <w:r w:rsidRPr="00B44CE2">
        <w:rPr>
          <w:b/>
        </w:rPr>
        <w:t>Annotering</w:t>
      </w:r>
      <w:r>
        <w:rPr>
          <w:b/>
        </w:rPr>
        <w:br/>
      </w:r>
      <w:r>
        <w:rPr>
          <w:b/>
          <w:bCs/>
        </w:rPr>
        <w:t xml:space="preserve">Avsikt med behandlingen i rådet: </w:t>
      </w:r>
      <w:r>
        <w:t xml:space="preserve">Antagande av rådsslutsatser.  </w:t>
      </w:r>
    </w:p>
    <w:p w14:paraId="784F3996" w14:textId="77777777" w:rsidR="008942B5" w:rsidRDefault="001038F3">
      <w:pPr>
        <w:spacing w:after="280" w:afterAutospacing="1"/>
      </w:pPr>
      <w:r>
        <w:rPr>
          <w:b/>
          <w:bCs/>
        </w:rPr>
        <w:t>Hur regeringen ställer sig till den blivande A-punkten:</w:t>
      </w:r>
      <w:r>
        <w:t xml:space="preserve"> Regeringen avser rösta ja. </w:t>
      </w:r>
    </w:p>
    <w:p w14:paraId="784F3998" w14:textId="78EAA53C" w:rsidR="00FB32B9" w:rsidRDefault="001038F3">
      <w:pPr>
        <w:spacing w:after="280" w:afterAutospacing="1"/>
        <w:rPr>
          <w:noProof/>
        </w:rPr>
      </w:pPr>
      <w:r>
        <w:rPr>
          <w:b/>
          <w:bCs/>
        </w:rPr>
        <w:t>Bakgrund</w:t>
      </w:r>
      <w:r>
        <w:t>:</w:t>
      </w:r>
      <w:r w:rsidR="00307E07">
        <w:t xml:space="preserve"> </w:t>
      </w:r>
      <w:r>
        <w:t>Rådet antog i december 2013 ett reviderat strålskyddsdirektiv (2013/59/EURATOM) om fastställande av grundläggande säkerhetsnormer för skydd mot de faror som uppstår till följd av exponering för joniserande strålning. I detta direktiv finns krav på reglering om berättigande av användning av joniserande strålning för medicinsk avbildning. Rådsslutsatserna innehåller bl.a. formuleringar om genomförandet av detta direktiv samt vikten av ökat samarbete och harmonisering kring dessa frågor.</w:t>
      </w:r>
    </w:p>
    <w:p w14:paraId="784F3999" w14:textId="77777777" w:rsidR="00643D86" w:rsidRDefault="001038F3" w:rsidP="00643D86">
      <w:pPr>
        <w:pStyle w:val="Rubrik1"/>
      </w:pPr>
      <w:bookmarkStart w:id="8" w:name="_Toc435690435"/>
      <w:r>
        <w:rPr>
          <w:noProof/>
        </w:rPr>
        <w:t>Projet de décision du Conseil relative à la position à adopter au nom de l’Union européenne au sein du Conseil des membres du Conseil oléicole international, en ce qui concerne l’adhésion de nouveaux membres</w:t>
      </w:r>
      <w:bookmarkEnd w:id="8"/>
    </w:p>
    <w:p w14:paraId="784F399A" w14:textId="7872BBAB" w:rsidR="00643D86" w:rsidRDefault="001038F3" w:rsidP="00643D86">
      <w:pPr>
        <w:rPr>
          <w:lang w:val="en-US"/>
        </w:rPr>
      </w:pPr>
      <w:r>
        <w:rPr>
          <w:noProof/>
          <w:lang w:val="en-US"/>
        </w:rPr>
        <w:t>=</w:t>
      </w:r>
      <w:r>
        <w:rPr>
          <w:lang w:val="en-US"/>
        </w:rPr>
        <w:t>Adoption</w:t>
      </w:r>
      <w:r w:rsidR="00307E07">
        <w:rPr>
          <w:lang w:val="en-US"/>
        </w:rPr>
        <w:br/>
      </w:r>
      <w:r>
        <w:rPr>
          <w:noProof/>
          <w:lang w:val="en-US"/>
        </w:rPr>
        <w:t>13797</w:t>
      </w:r>
      <w:r>
        <w:rPr>
          <w:lang w:val="en-US"/>
        </w:rPr>
        <w:t>/15 PROBA 33 RELEX 892 MAMA 179 AGRI 578</w:t>
      </w:r>
    </w:p>
    <w:p w14:paraId="784F399B" w14:textId="072F9CED" w:rsidR="00643D86" w:rsidRPr="0056136A" w:rsidRDefault="001038F3" w:rsidP="00643D86">
      <w:r>
        <w:rPr>
          <w:b/>
        </w:rPr>
        <w:t>Ansvarigt statsråd</w:t>
      </w:r>
      <w:r>
        <w:rPr>
          <w:b/>
        </w:rPr>
        <w:br/>
      </w:r>
      <w:r w:rsidR="0056136A" w:rsidRPr="0056136A">
        <w:rPr>
          <w:noProof/>
        </w:rPr>
        <w:t xml:space="preserve">Sven-Erik </w:t>
      </w:r>
      <w:r w:rsidRPr="0056136A">
        <w:rPr>
          <w:noProof/>
        </w:rPr>
        <w:t>Bucht</w:t>
      </w:r>
    </w:p>
    <w:p w14:paraId="784F399E" w14:textId="77777777" w:rsidR="00643D86" w:rsidRDefault="001038F3" w:rsidP="00643D86">
      <w:r w:rsidRPr="00B44CE2">
        <w:rPr>
          <w:b/>
        </w:rPr>
        <w:t>Annotering</w:t>
      </w:r>
      <w:r>
        <w:rPr>
          <w:b/>
        </w:rPr>
        <w:br/>
      </w:r>
      <w:r>
        <w:rPr>
          <w:b/>
          <w:bCs/>
        </w:rPr>
        <w:t xml:space="preserve">Avsikt med behandlingen i rådet: </w:t>
      </w:r>
      <w:r w:rsidRPr="00307E07">
        <w:rPr>
          <w:bCs/>
        </w:rPr>
        <w:t>Utarbeta EU:s position i frågan om Palestinas ansökan om medlemskap i Internationella Olivoljerådet (IOC). Förslaget är att verka för att ställningstagandet skjuts upp eller om det inte går lägga ner EU:s röst.</w:t>
      </w:r>
      <w:r>
        <w:t xml:space="preserve">  </w:t>
      </w:r>
    </w:p>
    <w:p w14:paraId="784F399F" w14:textId="77777777" w:rsidR="008942B5" w:rsidRDefault="001038F3">
      <w:pPr>
        <w:spacing w:after="280" w:afterAutospacing="1"/>
      </w:pPr>
      <w:r>
        <w:rPr>
          <w:b/>
          <w:bCs/>
        </w:rPr>
        <w:t>Hur regeringen ställer sig till den blivande A-punkten:</w:t>
      </w:r>
      <w:r>
        <w:t xml:space="preserve"> Sverige kan stödja föreslagen linje. </w:t>
      </w:r>
    </w:p>
    <w:p w14:paraId="784F39A0" w14:textId="77777777" w:rsidR="008942B5" w:rsidRPr="00307E07" w:rsidRDefault="001038F3">
      <w:pPr>
        <w:spacing w:after="280" w:afterAutospacing="1"/>
      </w:pPr>
      <w:r>
        <w:rPr>
          <w:b/>
          <w:bCs/>
        </w:rPr>
        <w:t xml:space="preserve">Bakgrund: </w:t>
      </w:r>
      <w:r w:rsidRPr="00307E07">
        <w:rPr>
          <w:bCs/>
        </w:rPr>
        <w:t>Palestina har ansökt om medlemskap i Internationella Olivoljerådet (IOC). Frågan har diskuterats tidigare, men då drog Palestina tillbaka sin ansökan. Den 1 januari 2017 träder ett nytt grundläggande avtal i kraft för IOC, som möjliggör medlemskap i IOC för länder med observatörskap i FN, och därmed för Palestina att bli medlem. Förslaget är att skjuta på ställningstagandet till dess.</w:t>
      </w:r>
    </w:p>
    <w:p w14:paraId="784F39A2" w14:textId="77777777" w:rsidR="00643D86" w:rsidRDefault="001038F3" w:rsidP="00643D86">
      <w:pPr>
        <w:pStyle w:val="Rubrik1"/>
      </w:pPr>
      <w:bookmarkStart w:id="9" w:name="_Toc435690436"/>
      <w:r>
        <w:rPr>
          <w:noProof/>
        </w:rPr>
        <w:t>Projet de décision du Conseil établissant la position à prendre au nom de l’Union européenne au sein de la Conférence ministérielle de l’Organisation mondiale du commerce (OMC) en ce qui concerne la prorogation du moratoire sur les droits de douane sur les transmissions électroniques et du moratoire sur les plaintes en situation de non-violation ou motivées par une autre situation</w:t>
      </w:r>
      <w:bookmarkEnd w:id="9"/>
    </w:p>
    <w:p w14:paraId="784F39A3" w14:textId="0D31D852" w:rsidR="00643D86" w:rsidRDefault="001038F3" w:rsidP="00643D86">
      <w:pPr>
        <w:rPr>
          <w:lang w:val="en-US"/>
        </w:rPr>
      </w:pPr>
      <w:r>
        <w:rPr>
          <w:noProof/>
          <w:lang w:val="en-US"/>
        </w:rPr>
        <w:t>=</w:t>
      </w:r>
      <w:r>
        <w:rPr>
          <w:lang w:val="en-US"/>
        </w:rPr>
        <w:t>Adoption</w:t>
      </w:r>
      <w:r w:rsidR="00307E07">
        <w:rPr>
          <w:lang w:val="en-US"/>
        </w:rPr>
        <w:br/>
      </w:r>
      <w:r>
        <w:rPr>
          <w:noProof/>
          <w:lang w:val="en-US"/>
        </w:rPr>
        <w:t>12832</w:t>
      </w:r>
      <w:r>
        <w:rPr>
          <w:lang w:val="en-US"/>
        </w:rPr>
        <w:t>/15 WTO 214 SERVICES 35 PI 68</w:t>
      </w:r>
      <w:r w:rsidR="00307E07">
        <w:rPr>
          <w:lang w:val="en-US"/>
        </w:rPr>
        <w:t xml:space="preserve"> </w:t>
      </w:r>
      <w:r>
        <w:rPr>
          <w:lang w:val="en-US"/>
        </w:rPr>
        <w:t>12833/15 WTO 215 SERVICES 36 PI 69</w:t>
      </w:r>
    </w:p>
    <w:p w14:paraId="784F39A4" w14:textId="77777777" w:rsidR="00643D86" w:rsidRDefault="001038F3" w:rsidP="00643D86">
      <w:r>
        <w:rPr>
          <w:b/>
        </w:rPr>
        <w:t>Ansvarigt statsråd</w:t>
      </w:r>
      <w:r>
        <w:rPr>
          <w:b/>
        </w:rPr>
        <w:br/>
      </w:r>
      <w:r>
        <w:rPr>
          <w:noProof/>
        </w:rPr>
        <w:t>Mikael Damberg</w:t>
      </w:r>
    </w:p>
    <w:p w14:paraId="784F39A9" w14:textId="2BFACBDD" w:rsidR="008942B5" w:rsidRDefault="001038F3" w:rsidP="00307E07">
      <w:r w:rsidRPr="00B44CE2">
        <w:rPr>
          <w:b/>
        </w:rPr>
        <w:lastRenderedPageBreak/>
        <w:t>Annotering</w:t>
      </w:r>
      <w:r>
        <w:rPr>
          <w:b/>
        </w:rPr>
        <w:br/>
      </w:r>
      <w:r>
        <w:rPr>
          <w:b/>
          <w:bCs/>
        </w:rPr>
        <w:t>Avsikt med behandlingen i rådet:</w:t>
      </w:r>
      <w:r w:rsidR="00307E07">
        <w:rPr>
          <w:b/>
          <w:bCs/>
        </w:rPr>
        <w:t xml:space="preserve"> </w:t>
      </w:r>
      <w:r>
        <w:t xml:space="preserve">Beslut om EUs inställning vid WTOs ministerkonferens gällande förlängningen av </w:t>
      </w:r>
    </w:p>
    <w:p w14:paraId="73C28C2C" w14:textId="77777777" w:rsidR="001038F3" w:rsidRDefault="001038F3" w:rsidP="001038F3">
      <w:pPr>
        <w:spacing w:after="280" w:afterAutospacing="1" w:line="240" w:lineRule="auto"/>
      </w:pPr>
      <w:r>
        <w:t xml:space="preserve">- moratoriet för tullar på elektroniska överföringar samt </w:t>
      </w:r>
    </w:p>
    <w:p w14:paraId="784F39AB" w14:textId="09885C4A" w:rsidR="008942B5" w:rsidRDefault="001038F3" w:rsidP="001038F3">
      <w:pPr>
        <w:spacing w:after="280" w:afterAutospacing="1" w:line="240" w:lineRule="auto"/>
      </w:pPr>
      <w:r>
        <w:t xml:space="preserve">- moratoriet för tvister under paragraferna 1(b) och 1(c) i Artikel XXIII i GATT 1994, klagomål som rör icke-överträdelse eller andra situationer, (‘non violation and situation complaints’) tillämpat på artikel 64(3) i avtalet om handelsrelaterad materialrätt (TRIPS). </w:t>
      </w:r>
    </w:p>
    <w:p w14:paraId="784F39AD" w14:textId="7D740ADF" w:rsidR="008942B5" w:rsidRDefault="001038F3">
      <w:pPr>
        <w:spacing w:after="280" w:afterAutospacing="1"/>
      </w:pPr>
      <w:r>
        <w:rPr>
          <w:b/>
          <w:bCs/>
        </w:rPr>
        <w:t>Hur regeringen ställer sig till den blivande A-punkten:</w:t>
      </w:r>
      <w:r>
        <w:t xml:space="preserve"> Stöd. </w:t>
      </w:r>
    </w:p>
    <w:p w14:paraId="784F39AF" w14:textId="0E6F3A30" w:rsidR="008942B5" w:rsidRDefault="001038F3">
      <w:pPr>
        <w:spacing w:after="280" w:afterAutospacing="1"/>
      </w:pPr>
      <w:r>
        <w:rPr>
          <w:b/>
          <w:bCs/>
        </w:rPr>
        <w:t>Bakgrund:</w:t>
      </w:r>
      <w:r w:rsidR="00307E07">
        <w:rPr>
          <w:b/>
          <w:bCs/>
        </w:rPr>
        <w:t xml:space="preserve"> </w:t>
      </w:r>
      <w:r>
        <w:t xml:space="preserve">I det första fallet föreslår KOM som EUs inställning stöd för permanent moratorium, om det uppstår konsensus för det i WTO. Om så inte blir fallet är förslaget stöd till ett nytt tillfälligt moratorium, som vid varje ministermöte sedan 1998. </w:t>
      </w:r>
    </w:p>
    <w:p w14:paraId="784F39B1" w14:textId="1E9F488A" w:rsidR="008942B5" w:rsidRDefault="001038F3">
      <w:pPr>
        <w:spacing w:after="280" w:afterAutospacing="1"/>
      </w:pPr>
      <w:r>
        <w:t xml:space="preserve">I det andra fallet stödjer EU ett moratorium till dess att WTO beslutar om hur de aktuella reglerna ska tillämpas. </w:t>
      </w:r>
    </w:p>
    <w:p w14:paraId="784F39B2" w14:textId="462AC1EB" w:rsidR="00643D86" w:rsidRDefault="001038F3" w:rsidP="00643D86">
      <w:pPr>
        <w:pStyle w:val="Rubrik1"/>
      </w:pPr>
      <w:bookmarkStart w:id="10" w:name="_Toc435690437"/>
      <w:r>
        <w:rPr>
          <w:noProof/>
        </w:rPr>
        <w:t>Elargissement</w:t>
      </w:r>
      <w:r>
        <w:rPr>
          <w:noProof/>
        </w:rPr>
        <w:br/>
        <w:t>Négociations d'adhésion avec le Monténégro</w:t>
      </w:r>
      <w:bookmarkEnd w:id="10"/>
    </w:p>
    <w:p w14:paraId="784F39B3" w14:textId="4B39FB4B" w:rsidR="00643D86" w:rsidRDefault="001038F3" w:rsidP="00643D86">
      <w:pPr>
        <w:rPr>
          <w:lang w:val="en-US"/>
        </w:rPr>
      </w:pPr>
      <w:r>
        <w:rPr>
          <w:noProof/>
          <w:lang w:val="en-US"/>
        </w:rPr>
        <w:t>=</w:t>
      </w:r>
      <w:r>
        <w:rPr>
          <w:lang w:val="en-US"/>
        </w:rPr>
        <w:t>Chapitre 14: Politique des transports</w:t>
      </w:r>
      <w:r>
        <w:rPr>
          <w:lang w:val="en-US"/>
        </w:rPr>
        <w:br/>
      </w:r>
      <w:r>
        <w:rPr>
          <w:noProof/>
          <w:lang w:val="en-US"/>
        </w:rPr>
        <w:t>14011</w:t>
      </w:r>
      <w:r>
        <w:rPr>
          <w:lang w:val="en-US"/>
        </w:rPr>
        <w:t>/15 ELARG 58</w:t>
      </w:r>
    </w:p>
    <w:p w14:paraId="784F39B4" w14:textId="77777777" w:rsidR="00643D86" w:rsidRDefault="001038F3" w:rsidP="00643D86">
      <w:r>
        <w:rPr>
          <w:b/>
        </w:rPr>
        <w:t>Ansvarigt statsråd</w:t>
      </w:r>
      <w:r>
        <w:rPr>
          <w:b/>
        </w:rPr>
        <w:br/>
      </w:r>
      <w:r>
        <w:rPr>
          <w:noProof/>
        </w:rPr>
        <w:t>Margot Wallström</w:t>
      </w:r>
    </w:p>
    <w:p w14:paraId="784F39B8" w14:textId="2BDFC2DE" w:rsidR="008942B5" w:rsidRDefault="001038F3" w:rsidP="001038F3">
      <w:r w:rsidRPr="00B44CE2">
        <w:rPr>
          <w:b/>
        </w:rPr>
        <w:t>Annotering</w:t>
      </w:r>
      <w:r>
        <w:rPr>
          <w:b/>
        </w:rPr>
        <w:br/>
      </w:r>
      <w:r>
        <w:rPr>
          <w:b/>
          <w:bCs/>
        </w:rPr>
        <w:t>Avsikt med behandlingen i rådet:</w:t>
      </w:r>
      <w:r>
        <w:t xml:space="preserve"> anta gemensam ståndpunkt angående utvidgningsförhandlingar med Montenegro </w:t>
      </w:r>
    </w:p>
    <w:p w14:paraId="784F39BA" w14:textId="0CCE4B9C" w:rsidR="008942B5" w:rsidRDefault="001038F3">
      <w:pPr>
        <w:spacing w:after="280" w:afterAutospacing="1"/>
      </w:pPr>
      <w:r>
        <w:rPr>
          <w:b/>
          <w:bCs/>
        </w:rPr>
        <w:t>Hur regeringen ställer sig till den blivande A-punkten:</w:t>
      </w:r>
      <w:r>
        <w:t xml:space="preserve"> Regeringen avser att rösta ja. </w:t>
      </w:r>
    </w:p>
    <w:p w14:paraId="784F39BD" w14:textId="2C1BB462" w:rsidR="00FB32B9" w:rsidRDefault="001038F3">
      <w:pPr>
        <w:spacing w:after="280" w:afterAutospacing="1"/>
        <w:rPr>
          <w:noProof/>
        </w:rPr>
      </w:pPr>
      <w:r>
        <w:rPr>
          <w:b/>
          <w:bCs/>
        </w:rPr>
        <w:t xml:space="preserve">Bakgrund: </w:t>
      </w:r>
      <w:r>
        <w:t xml:space="preserve">Den gemensamma ståndpunkten konstaterar att KOM:s utvidgningsförhandlingarna med Montenegro inom kapitel 14 Transport kan avslutas först när ett antal krav inom vägtransporter, järnväg och flyg har uppfyllts. </w:t>
      </w:r>
    </w:p>
    <w:p w14:paraId="784F39BE" w14:textId="77777777" w:rsidR="00643D86" w:rsidRDefault="001038F3" w:rsidP="00643D86">
      <w:pPr>
        <w:pStyle w:val="Rubrik1"/>
      </w:pPr>
      <w:bookmarkStart w:id="11" w:name="_Toc435690438"/>
      <w:r>
        <w:rPr>
          <w:noProof/>
        </w:rPr>
        <w:t>Relations avec la Russie</w:t>
      </w:r>
      <w:bookmarkEnd w:id="11"/>
    </w:p>
    <w:p w14:paraId="784F39BF" w14:textId="31B78917" w:rsidR="00643D86" w:rsidRDefault="001038F3" w:rsidP="00643D86">
      <w:pPr>
        <w:rPr>
          <w:lang w:val="en-US"/>
        </w:rPr>
      </w:pPr>
      <w:r>
        <w:rPr>
          <w:noProof/>
          <w:lang w:val="en-US"/>
        </w:rPr>
        <w:t>=</w:t>
      </w:r>
      <w:r>
        <w:rPr>
          <w:lang w:val="en-US"/>
        </w:rPr>
        <w:t>Projet de décision du Conseil concernant la conclusion, au nom de l'Union européenne et de ses États membres, du protocole à l'accord de partenariat et de coopération établissant un partenariat entre les Communautés européennes et leurs États membres, d'une part, et la Fédération de Russie, d'autre part, visant à tenir compte de l'adhésion de la République de Croatie à l'Union européenne</w:t>
      </w:r>
      <w:r>
        <w:rPr>
          <w:lang w:val="en-US"/>
        </w:rPr>
        <w:br/>
      </w:r>
      <w:r>
        <w:rPr>
          <w:noProof/>
          <w:lang w:val="en-US"/>
        </w:rPr>
        <w:t>13981</w:t>
      </w:r>
      <w:r>
        <w:rPr>
          <w:lang w:val="en-US"/>
        </w:rPr>
        <w:t>/15 COEST 344 11878/14 COEST 249</w:t>
      </w:r>
    </w:p>
    <w:p w14:paraId="784F39C0" w14:textId="77777777" w:rsidR="00643D86" w:rsidRDefault="001038F3" w:rsidP="00643D86">
      <w:r>
        <w:rPr>
          <w:b/>
        </w:rPr>
        <w:t>Ansvarigt statsråd</w:t>
      </w:r>
      <w:r>
        <w:rPr>
          <w:b/>
        </w:rPr>
        <w:br/>
      </w:r>
      <w:r>
        <w:rPr>
          <w:noProof/>
        </w:rPr>
        <w:t>Margot Wallström</w:t>
      </w:r>
    </w:p>
    <w:p w14:paraId="28FC81E4" w14:textId="77777777" w:rsidR="005C4000" w:rsidRDefault="005C4000" w:rsidP="005C4000">
      <w:pPr>
        <w:rPr>
          <w:sz w:val="24"/>
          <w:szCs w:val="24"/>
        </w:rPr>
      </w:pPr>
      <w:r w:rsidRPr="00E46288">
        <w:rPr>
          <w:b/>
        </w:rPr>
        <w:lastRenderedPageBreak/>
        <w:t>Avsikt med behandlingen i rådet:</w:t>
      </w:r>
      <w:r>
        <w:rPr>
          <w:sz w:val="24"/>
          <w:szCs w:val="24"/>
        </w:rPr>
        <w:t xml:space="preserve"> Rådet ska anta ett protokoll som ansluter Kroatien till avtalet om EU:s och Rysslands partnerskaps- och samarbetsavtal. </w:t>
      </w:r>
    </w:p>
    <w:p w14:paraId="4C460654" w14:textId="152FADC7" w:rsidR="005C4000" w:rsidRDefault="005C4000" w:rsidP="005C4000">
      <w:pPr>
        <w:rPr>
          <w:sz w:val="24"/>
          <w:szCs w:val="24"/>
        </w:rPr>
      </w:pPr>
      <w:r w:rsidRPr="00E46288">
        <w:rPr>
          <w:b/>
        </w:rPr>
        <w:t>Hur regeringen ställer sig till den blivande a-punkten:</w:t>
      </w:r>
      <w:r>
        <w:rPr>
          <w:sz w:val="24"/>
          <w:szCs w:val="24"/>
        </w:rPr>
        <w:t xml:space="preserve"> Regeringen avser rösta ja. </w:t>
      </w:r>
    </w:p>
    <w:p w14:paraId="4C7A3709" w14:textId="612A59F9" w:rsidR="005C4000" w:rsidRPr="00E46288" w:rsidRDefault="005C4000" w:rsidP="005C4000">
      <w:pPr>
        <w:ind w:left="709"/>
        <w:rPr>
          <w:lang w:val="en-US"/>
        </w:rPr>
      </w:pPr>
      <w:r w:rsidRPr="00E46288">
        <w:rPr>
          <w:b/>
        </w:rPr>
        <w:t>Bakgrund:</w:t>
      </w:r>
      <w:r w:rsidR="00E46288">
        <w:rPr>
          <w:b/>
          <w:sz w:val="24"/>
          <w:szCs w:val="24"/>
        </w:rPr>
        <w:t xml:space="preserve"> </w:t>
      </w:r>
      <w:r w:rsidRPr="00E46288">
        <w:rPr>
          <w:lang w:val="en-US"/>
        </w:rPr>
        <w:t xml:space="preserve">EU:s och Rysslands Partnerskaps- och samarbetsavtal trädde i kraft 1997. Sedan Kroatiens medlemskap i EU har en juridisk process pågått för att underteckna ett protokoll som ansluter Kroatien till avtalet. I april 2015 godkände EU-parlamentet protokollet. Nu ska det slutligen antas av rådet. </w:t>
      </w:r>
    </w:p>
    <w:p w14:paraId="784F39D6" w14:textId="77777777" w:rsidR="00643D86" w:rsidRDefault="001038F3" w:rsidP="00643D86">
      <w:pPr>
        <w:pStyle w:val="Rubrik1"/>
      </w:pPr>
      <w:bookmarkStart w:id="12" w:name="_Toc435690439"/>
      <w:r>
        <w:rPr>
          <w:noProof/>
        </w:rPr>
        <w:t>Décision du Conseil modifiant la décision 2014/486/PESC relative à la mission de conseil de l'Union européenne sur la réforme du secteur de la sécurité civile en Ukraine (EUAM Ukraine)</w:t>
      </w:r>
      <w:bookmarkEnd w:id="12"/>
    </w:p>
    <w:p w14:paraId="784F39D7" w14:textId="1AF17F7E" w:rsidR="00643D86" w:rsidRDefault="001038F3" w:rsidP="00643D86">
      <w:pPr>
        <w:rPr>
          <w:lang w:val="en-US"/>
        </w:rPr>
      </w:pPr>
      <w:r>
        <w:rPr>
          <w:noProof/>
          <w:lang w:val="en-US"/>
        </w:rPr>
        <w:t>14053</w:t>
      </w:r>
      <w:r>
        <w:rPr>
          <w:lang w:val="en-US"/>
        </w:rPr>
        <w:t>/15 CORLX 188 CSDP/PSDC 611 CFSP/PESC 754 COEST 347RELEX 912 CONUN 215 EUAM UKRAINE 16 CSC 268 13674/15 CORLX 166 CSDP/PSDC 577 CFSP/PESC 705 COEST 339RELEX 877 CONUN 209 EUAM UKRAINE 14 CSC 257</w:t>
      </w:r>
    </w:p>
    <w:p w14:paraId="784F39D8" w14:textId="77777777" w:rsidR="00643D86" w:rsidRDefault="001038F3" w:rsidP="00643D86">
      <w:r>
        <w:rPr>
          <w:b/>
        </w:rPr>
        <w:t>Ansvarigt statsråd</w:t>
      </w:r>
      <w:r>
        <w:rPr>
          <w:b/>
        </w:rPr>
        <w:br/>
      </w:r>
      <w:r>
        <w:rPr>
          <w:noProof/>
        </w:rPr>
        <w:t>Margot Wallström</w:t>
      </w:r>
    </w:p>
    <w:p w14:paraId="784F39DB" w14:textId="77777777" w:rsidR="00643D86" w:rsidRDefault="001038F3" w:rsidP="00643D86">
      <w:r w:rsidRPr="00B44CE2">
        <w:rPr>
          <w:b/>
        </w:rPr>
        <w:t>Annotering</w:t>
      </w:r>
      <w:r>
        <w:rPr>
          <w:b/>
        </w:rPr>
        <w:br/>
      </w:r>
      <w:r>
        <w:rPr>
          <w:b/>
          <w:bCs/>
        </w:rPr>
        <w:t>Avsikt med behandlingen i rådet:</w:t>
      </w:r>
      <w:r>
        <w:t xml:space="preserve"> Rådet föreslås fatta beslut om att förlänga insatsen med ett år till och med den 30 november 2017 genom ändring av beslut 2014/486/GUSP. I detta sammanhang föreslås rådet även besluta om finansiering av insatsen för perioden 1 december 2015 till 30 november 2016. </w:t>
      </w:r>
    </w:p>
    <w:p w14:paraId="784F39DC" w14:textId="14ED60E6" w:rsidR="008942B5" w:rsidRDefault="001038F3">
      <w:pPr>
        <w:spacing w:after="280" w:afterAutospacing="1"/>
      </w:pPr>
      <w:r>
        <w:rPr>
          <w:b/>
          <w:bCs/>
        </w:rPr>
        <w:t>Hur regeringen ställer sig till den blivande A-punkten:</w:t>
      </w:r>
      <w:r>
        <w:t xml:space="preserve"> Regeringen avser rösta ja. </w:t>
      </w:r>
      <w:r w:rsidR="00625ED8">
        <w:t>Samråd kommer att ske med EU-nämnden inför planerat regeringsbeslut 26 november.</w:t>
      </w:r>
    </w:p>
    <w:p w14:paraId="784F39DF" w14:textId="0B5876CF" w:rsidR="00FB32B9" w:rsidRDefault="001038F3">
      <w:pPr>
        <w:spacing w:after="280" w:afterAutospacing="1"/>
        <w:rPr>
          <w:noProof/>
        </w:rPr>
      </w:pPr>
      <w:r>
        <w:rPr>
          <w:b/>
          <w:bCs/>
        </w:rPr>
        <w:t xml:space="preserve">Bakgrund: </w:t>
      </w:r>
      <w:r>
        <w:t xml:space="preserve">Mot bakgrund av en strategisk översyn föreslås rådet fatta beslut om att förlänga insatsen med ett år till och med den 30 november 2017 genom ändring av beslut 2014/486/GUSP. I detta sammanhang föreslås rådet även att besluta om finansiering av insatsen för perioden 1 december 2015 till 30 november 2016. Rådsbeslut planeras till den 27 eller den 30 november. </w:t>
      </w:r>
    </w:p>
    <w:p w14:paraId="784F39E0" w14:textId="77777777" w:rsidR="00643D86" w:rsidRDefault="001038F3" w:rsidP="00643D86">
      <w:pPr>
        <w:pStyle w:val="Rubrik1"/>
      </w:pPr>
      <w:bookmarkStart w:id="13" w:name="_Toc435690440"/>
      <w:r>
        <w:rPr>
          <w:noProof/>
        </w:rPr>
        <w:t>Décision du Conseil à l'appui de la résolution 2235 (2015) du Conseil de sécurité des Nations unies établissant un mécanisme d’enquête conjoint OIAC-ONU chargé d’identifier les auteurs d'attaques chimiques en République arabe syrienne</w:t>
      </w:r>
      <w:bookmarkEnd w:id="13"/>
    </w:p>
    <w:p w14:paraId="784F39E1" w14:textId="45D1EB1C" w:rsidR="00643D86" w:rsidRDefault="001038F3" w:rsidP="00643D86">
      <w:pPr>
        <w:rPr>
          <w:lang w:val="en-US"/>
        </w:rPr>
      </w:pPr>
      <w:r>
        <w:rPr>
          <w:noProof/>
          <w:lang w:val="en-US"/>
        </w:rPr>
        <w:t>14057</w:t>
      </w:r>
      <w:r>
        <w:rPr>
          <w:lang w:val="en-US"/>
        </w:rPr>
        <w:t>/15 CORLX 189 CODUN 48 CONOP 142 CFSP/PESC 755 MAMA 184CONUN 216 13787/15 CORLX 175 CODUN 46 CONOP 140 CFSP/PESC 726 MAMA 177CONUN 212</w:t>
      </w:r>
    </w:p>
    <w:p w14:paraId="784F39E2" w14:textId="77777777" w:rsidR="00643D86" w:rsidRDefault="001038F3" w:rsidP="00643D86">
      <w:r>
        <w:rPr>
          <w:b/>
        </w:rPr>
        <w:t>Ansvarigt statsråd</w:t>
      </w:r>
      <w:r>
        <w:rPr>
          <w:b/>
        </w:rPr>
        <w:br/>
      </w:r>
      <w:r>
        <w:rPr>
          <w:noProof/>
        </w:rPr>
        <w:t>Margot Wallström</w:t>
      </w:r>
    </w:p>
    <w:p w14:paraId="784F39E7" w14:textId="32A8464E" w:rsidR="008942B5" w:rsidRDefault="001038F3" w:rsidP="001038F3">
      <w:r w:rsidRPr="00B44CE2">
        <w:rPr>
          <w:b/>
        </w:rPr>
        <w:t>Annotering</w:t>
      </w:r>
      <w:r>
        <w:rPr>
          <w:b/>
        </w:rPr>
        <w:br/>
      </w:r>
      <w:r w:rsidRPr="001038F3">
        <w:rPr>
          <w:b/>
        </w:rPr>
        <w:t>Avsikt med behandlingen i rådet</w:t>
      </w:r>
      <w:r>
        <w:t>: Rådet föreslås anta ett rådsbeslut om stöd till FN och OPCW för hantering av frågan om upprepade attacker med kemiska vapen i Syrien.</w:t>
      </w:r>
    </w:p>
    <w:p w14:paraId="784F39E9" w14:textId="67A0578E" w:rsidR="008942B5" w:rsidRDefault="001038F3">
      <w:pPr>
        <w:spacing w:after="280" w:afterAutospacing="1"/>
      </w:pPr>
      <w:r w:rsidRPr="001038F3">
        <w:rPr>
          <w:b/>
        </w:rPr>
        <w:t>Hur regeringen ställer sig till den blivande A-punkten</w:t>
      </w:r>
      <w:r>
        <w:rPr>
          <w:b/>
        </w:rPr>
        <w:t xml:space="preserve">: </w:t>
      </w:r>
      <w:r>
        <w:t>Regeringen avser rösta ja.</w:t>
      </w:r>
    </w:p>
    <w:p w14:paraId="784F39EB" w14:textId="002AB498" w:rsidR="008942B5" w:rsidRDefault="001038F3">
      <w:pPr>
        <w:spacing w:after="280" w:afterAutospacing="1"/>
      </w:pPr>
      <w:r w:rsidRPr="001038F3">
        <w:rPr>
          <w:b/>
        </w:rPr>
        <w:lastRenderedPageBreak/>
        <w:t>Bakgrund</w:t>
      </w:r>
      <w:r>
        <w:rPr>
          <w:b/>
        </w:rPr>
        <w:t xml:space="preserve">: </w:t>
      </w:r>
      <w:r>
        <w:t>Rådsbeslutet har två komponenter, nämligen (1) bidrag till FN:s frivilligfond för att finansiera FN:s och OPCW:s gemensamma undersökningsmekanism för skuldfrågan vid användning av kemiska vapen i Syrien (Joint Investigative Mechanism, JIM); och (2) bidrag till OPCW:s frivilligfond för att finansiera framtida utredningar om fall av påstådd användning av kemiska vapen i Syrien (Fact-Finding Missions, FFM).</w:t>
      </w:r>
    </w:p>
    <w:p w14:paraId="784F39EC" w14:textId="3A418651" w:rsidR="008942B5" w:rsidRDefault="001038F3">
      <w:pPr>
        <w:spacing w:after="280" w:afterAutospacing="1"/>
      </w:pPr>
      <w:r>
        <w:t>I september 2015 godkände FN:s säkerhetsråd den undersökningsmekanism som ska utreda skuldfrågan i samband med upprepade attacker med kemiska vapen i Syrien, i enlighet med resolution 2235 (2015).  JIM:s tre team för teknisk, logistisk och politisk styrning kommer huvudsakligen att bemannas av personal som rekryterats från internationella organisationer som FN, OPCW, WHO och Interpol. All ordinarie personal genomgår formell rekrytering och kommer att finansieras genom FN:s reguljära budget. Runt hälften har redan anställts. En frivilligfond har inrättats av FN för att finansiera experthjälp, resor mm för JIM.</w:t>
      </w:r>
    </w:p>
    <w:p w14:paraId="784F39ED" w14:textId="52A651D1" w:rsidR="008942B5" w:rsidRDefault="001038F3">
      <w:pPr>
        <w:spacing w:after="280" w:afterAutospacing="1"/>
      </w:pPr>
      <w:r>
        <w:t>Mekanismen kommer att basera sitt arbete på de utredningar som görs av FFM för att bedöma trovärdigheten i olika fall av påstådd användning av kemiska vapen i Syrien.  Hittills har sex rapporter producerats av OPCW avseende anklagelser riktade mot syriska regimen, mot rebellsidan och mot Deash/IS.  En ytterligare rapport väntas inom en månad.  OPCW räknar med att fortsätta dessa undersökningar under 2016 och har för detta ändamål etablerat en frivilligfond.</w:t>
      </w:r>
    </w:p>
    <w:p w14:paraId="784F39EF" w14:textId="5378D008" w:rsidR="00FB32B9" w:rsidRDefault="001038F3">
      <w:pPr>
        <w:spacing w:after="280" w:afterAutospacing="1"/>
        <w:rPr>
          <w:noProof/>
        </w:rPr>
      </w:pPr>
      <w:r>
        <w:t>I generalförsamlingens första utskott uttryckte såväl EU som de nordiska länderna stöd för JIM och FFM i gemensamma anföranden.  EU-bidrag till arbetet med att utröna fall av påstådd användning av kemiska vapen i Syrienkonflikten samt att utreda vem förövarna bidrar till målet om ett globalt förbud mot kemiska vapen och ligger därmed i linje med Sveriges och EU:s nedrustningsprioriteringar. Arbetet kan minska risken för att sådana inhumana vapen används i Syrien och bidra till ett gemensamt agerande i säkerhetsrådet för att hantera konflikten.</w:t>
      </w:r>
      <w:bookmarkEnd w:id="1"/>
    </w:p>
    <w:sectPr w:rsidR="00FB32B9"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0433B" w14:textId="77777777" w:rsidR="009A187D" w:rsidRDefault="009A187D">
      <w:pPr>
        <w:spacing w:after="0" w:line="240" w:lineRule="auto"/>
      </w:pPr>
      <w:r>
        <w:separator/>
      </w:r>
    </w:p>
  </w:endnote>
  <w:endnote w:type="continuationSeparator" w:id="0">
    <w:p w14:paraId="14708E2E" w14:textId="77777777" w:rsidR="009A187D" w:rsidRDefault="009A1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17B4F" w14:textId="77777777" w:rsidR="009A187D" w:rsidRDefault="009A187D">
      <w:pPr>
        <w:spacing w:after="0" w:line="240" w:lineRule="auto"/>
      </w:pPr>
      <w:r>
        <w:separator/>
      </w:r>
    </w:p>
  </w:footnote>
  <w:footnote w:type="continuationSeparator" w:id="0">
    <w:p w14:paraId="52DEDC78" w14:textId="77777777" w:rsidR="009A187D" w:rsidRDefault="009A18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6632429"/>
      <w:docPartObj>
        <w:docPartGallery w:val="Page Numbers (Top of Page)"/>
        <w:docPartUnique/>
      </w:docPartObj>
    </w:sdtPr>
    <w:sdtEndPr/>
    <w:sdtContent>
      <w:p w14:paraId="41275B1F" w14:textId="218CAD73" w:rsidR="00307E07" w:rsidRDefault="00307E07">
        <w:pPr>
          <w:pStyle w:val="Sidhuvud"/>
          <w:jc w:val="right"/>
        </w:pPr>
        <w:r>
          <w:fldChar w:fldCharType="begin"/>
        </w:r>
        <w:r>
          <w:instrText>PAGE   \* MERGEFORMAT</w:instrText>
        </w:r>
        <w:r>
          <w:fldChar w:fldCharType="separate"/>
        </w:r>
        <w:r w:rsidR="009F123B">
          <w:rPr>
            <w:noProof/>
          </w:rPr>
          <w:t>2</w:t>
        </w:r>
        <w:r>
          <w:fldChar w:fldCharType="end"/>
        </w:r>
      </w:p>
    </w:sdtContent>
  </w:sdt>
  <w:p w14:paraId="784F39FF" w14:textId="77777777" w:rsidR="006F1C0D" w:rsidRDefault="009A187D"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8942B5" w14:paraId="784F3A05" w14:textId="77777777" w:rsidTr="006E71D7">
      <w:tc>
        <w:tcPr>
          <w:tcW w:w="4606" w:type="dxa"/>
        </w:tcPr>
        <w:p w14:paraId="784F3A00" w14:textId="77777777" w:rsidR="006E71D7" w:rsidRDefault="001038F3" w:rsidP="00752770">
          <w:pPr>
            <w:pStyle w:val="Sidhuvud"/>
            <w:ind w:left="0"/>
          </w:pPr>
          <w:r>
            <w:rPr>
              <w:noProof/>
              <w:lang w:eastAsia="sv-SE"/>
            </w:rPr>
            <w:drawing>
              <wp:inline distT="0" distB="0" distL="0" distR="0" wp14:anchorId="784F3A0B" wp14:editId="784F3A0C">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784F3A01" w14:textId="77777777" w:rsidR="00FB32B9" w:rsidRDefault="009A187D" w:rsidP="00FB32B9">
          <w:pPr>
            <w:ind w:right="916"/>
            <w:rPr>
              <w:rFonts w:ascii="TradeGothic" w:hAnsi="TradeGothic"/>
              <w:b/>
            </w:rPr>
          </w:pPr>
        </w:p>
        <w:p w14:paraId="784F3A02" w14:textId="77777777" w:rsidR="00FB32B9" w:rsidRDefault="001038F3" w:rsidP="00FB32B9">
          <w:pPr>
            <w:ind w:right="916"/>
          </w:pPr>
          <w:r>
            <w:rPr>
              <w:rFonts w:ascii="TradeGothic" w:hAnsi="TradeGothic"/>
              <w:b/>
            </w:rPr>
            <w:t>Promemoria</w:t>
          </w:r>
        </w:p>
        <w:p w14:paraId="784F3A03" w14:textId="77777777" w:rsidR="00FB32B9" w:rsidRDefault="009A187D" w:rsidP="00FB32B9">
          <w:pPr>
            <w:jc w:val="right"/>
          </w:pPr>
        </w:p>
        <w:p w14:paraId="784F3A04" w14:textId="55687D56" w:rsidR="006E71D7" w:rsidRDefault="001038F3" w:rsidP="00FB32B9">
          <w:pPr>
            <w:ind w:right="916"/>
          </w:pPr>
          <w:r>
            <w:rPr>
              <w:rFonts w:ascii="TradeGothic" w:hAnsi="TradeGothic"/>
              <w:b/>
              <w:noProof/>
            </w:rPr>
            <w:t>2015-11-1</w:t>
          </w:r>
          <w:r w:rsidR="00307E07">
            <w:rPr>
              <w:rFonts w:ascii="TradeGothic" w:hAnsi="TradeGothic"/>
              <w:b/>
              <w:noProof/>
            </w:rPr>
            <w:t>9</w:t>
          </w:r>
          <w:r w:rsidRPr="00934953">
            <w:t xml:space="preserve"> </w:t>
          </w:r>
        </w:p>
      </w:tc>
    </w:tr>
  </w:tbl>
  <w:p w14:paraId="784F3A06" w14:textId="77777777" w:rsidR="00FB32B9" w:rsidRDefault="009A187D" w:rsidP="00FB32B9">
    <w:pPr>
      <w:pStyle w:val="Avsndare"/>
      <w:framePr w:w="0" w:hRule="auto" w:hSpace="0" w:wrap="auto" w:vAnchor="margin" w:hAnchor="text" w:xAlign="left" w:yAlign="inline"/>
      <w:rPr>
        <w:b/>
        <w:i w:val="0"/>
        <w:sz w:val="22"/>
      </w:rPr>
    </w:pPr>
  </w:p>
  <w:p w14:paraId="784F3A07" w14:textId="77777777" w:rsidR="00FB32B9" w:rsidRDefault="001038F3" w:rsidP="00FB32B9">
    <w:pPr>
      <w:pStyle w:val="Avsndare"/>
      <w:framePr w:w="0" w:hRule="auto" w:hSpace="0" w:wrap="auto" w:vAnchor="margin" w:hAnchor="text" w:xAlign="left" w:yAlign="inline"/>
      <w:rPr>
        <w:b/>
        <w:i w:val="0"/>
        <w:sz w:val="22"/>
      </w:rPr>
    </w:pPr>
    <w:r>
      <w:rPr>
        <w:b/>
        <w:i w:val="0"/>
        <w:sz w:val="22"/>
      </w:rPr>
      <w:t>Statsrådsberedningen</w:t>
    </w:r>
  </w:p>
  <w:p w14:paraId="784F3A08" w14:textId="77777777" w:rsidR="00FB32B9" w:rsidRDefault="009A187D" w:rsidP="00FB32B9">
    <w:pPr>
      <w:pStyle w:val="Avsndare"/>
      <w:framePr w:w="0" w:hRule="auto" w:hSpace="0" w:wrap="auto" w:vAnchor="margin" w:hAnchor="text" w:xAlign="left" w:yAlign="inline"/>
    </w:pPr>
  </w:p>
  <w:p w14:paraId="784F3A09" w14:textId="77777777" w:rsidR="00FB32B9" w:rsidRDefault="001038F3" w:rsidP="00FB32B9">
    <w:pPr>
      <w:pStyle w:val="Avsndare"/>
      <w:framePr w:w="0" w:hRule="auto" w:hSpace="0" w:wrap="auto" w:vAnchor="margin" w:hAnchor="text" w:xAlign="left" w:yAlign="inline"/>
    </w:pPr>
    <w:r>
      <w:t>EU-kansliet</w:t>
    </w:r>
  </w:p>
  <w:p w14:paraId="784F3A0A" w14:textId="77777777" w:rsidR="0012376B" w:rsidRDefault="009A187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4B9E7128">
      <w:start w:val="1"/>
      <w:numFmt w:val="decimal"/>
      <w:pStyle w:val="Rubrik1"/>
      <w:lvlText w:val="%1."/>
      <w:lvlJc w:val="left"/>
      <w:pPr>
        <w:ind w:left="720" w:hanging="360"/>
      </w:pPr>
    </w:lvl>
    <w:lvl w:ilvl="1" w:tplc="A0A0A8D6" w:tentative="1">
      <w:start w:val="1"/>
      <w:numFmt w:val="lowerLetter"/>
      <w:lvlText w:val="%2."/>
      <w:lvlJc w:val="left"/>
      <w:pPr>
        <w:ind w:left="1440" w:hanging="360"/>
      </w:pPr>
    </w:lvl>
    <w:lvl w:ilvl="2" w:tplc="92646C86" w:tentative="1">
      <w:start w:val="1"/>
      <w:numFmt w:val="lowerRoman"/>
      <w:lvlText w:val="%3."/>
      <w:lvlJc w:val="right"/>
      <w:pPr>
        <w:ind w:left="2160" w:hanging="180"/>
      </w:pPr>
    </w:lvl>
    <w:lvl w:ilvl="3" w:tplc="CA1E802A" w:tentative="1">
      <w:start w:val="1"/>
      <w:numFmt w:val="decimal"/>
      <w:lvlText w:val="%4."/>
      <w:lvlJc w:val="left"/>
      <w:pPr>
        <w:ind w:left="2880" w:hanging="360"/>
      </w:pPr>
    </w:lvl>
    <w:lvl w:ilvl="4" w:tplc="4F7EEFDE" w:tentative="1">
      <w:start w:val="1"/>
      <w:numFmt w:val="lowerLetter"/>
      <w:lvlText w:val="%5."/>
      <w:lvlJc w:val="left"/>
      <w:pPr>
        <w:ind w:left="3600" w:hanging="360"/>
      </w:pPr>
    </w:lvl>
    <w:lvl w:ilvl="5" w:tplc="98A801EE" w:tentative="1">
      <w:start w:val="1"/>
      <w:numFmt w:val="lowerRoman"/>
      <w:lvlText w:val="%6."/>
      <w:lvlJc w:val="right"/>
      <w:pPr>
        <w:ind w:left="4320" w:hanging="180"/>
      </w:pPr>
    </w:lvl>
    <w:lvl w:ilvl="6" w:tplc="43E04A8C" w:tentative="1">
      <w:start w:val="1"/>
      <w:numFmt w:val="decimal"/>
      <w:lvlText w:val="%7."/>
      <w:lvlJc w:val="left"/>
      <w:pPr>
        <w:ind w:left="5040" w:hanging="360"/>
      </w:pPr>
    </w:lvl>
    <w:lvl w:ilvl="7" w:tplc="310C2706" w:tentative="1">
      <w:start w:val="1"/>
      <w:numFmt w:val="lowerLetter"/>
      <w:lvlText w:val="%8."/>
      <w:lvlJc w:val="left"/>
      <w:pPr>
        <w:ind w:left="5760" w:hanging="360"/>
      </w:pPr>
    </w:lvl>
    <w:lvl w:ilvl="8" w:tplc="5C324692"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C6F08C86">
      <w:start w:val="1"/>
      <w:numFmt w:val="decimal"/>
      <w:lvlText w:val="%1."/>
      <w:lvlJc w:val="left"/>
      <w:pPr>
        <w:ind w:left="360" w:hanging="360"/>
      </w:pPr>
      <w:rPr>
        <w:b w:val="0"/>
      </w:rPr>
    </w:lvl>
    <w:lvl w:ilvl="1" w:tplc="53AC5F2E" w:tentative="1">
      <w:start w:val="1"/>
      <w:numFmt w:val="lowerLetter"/>
      <w:lvlText w:val="%2."/>
      <w:lvlJc w:val="left"/>
      <w:pPr>
        <w:ind w:left="1080" w:hanging="360"/>
      </w:pPr>
    </w:lvl>
    <w:lvl w:ilvl="2" w:tplc="F0849664" w:tentative="1">
      <w:start w:val="1"/>
      <w:numFmt w:val="lowerRoman"/>
      <w:lvlText w:val="%3."/>
      <w:lvlJc w:val="right"/>
      <w:pPr>
        <w:ind w:left="1800" w:hanging="180"/>
      </w:pPr>
    </w:lvl>
    <w:lvl w:ilvl="3" w:tplc="FD788AE6" w:tentative="1">
      <w:start w:val="1"/>
      <w:numFmt w:val="decimal"/>
      <w:lvlText w:val="%4."/>
      <w:lvlJc w:val="left"/>
      <w:pPr>
        <w:ind w:left="2520" w:hanging="360"/>
      </w:pPr>
    </w:lvl>
    <w:lvl w:ilvl="4" w:tplc="0CF21854" w:tentative="1">
      <w:start w:val="1"/>
      <w:numFmt w:val="lowerLetter"/>
      <w:lvlText w:val="%5."/>
      <w:lvlJc w:val="left"/>
      <w:pPr>
        <w:ind w:left="3240" w:hanging="360"/>
      </w:pPr>
    </w:lvl>
    <w:lvl w:ilvl="5" w:tplc="9306DCB0" w:tentative="1">
      <w:start w:val="1"/>
      <w:numFmt w:val="lowerRoman"/>
      <w:lvlText w:val="%6."/>
      <w:lvlJc w:val="right"/>
      <w:pPr>
        <w:ind w:left="3960" w:hanging="180"/>
      </w:pPr>
    </w:lvl>
    <w:lvl w:ilvl="6" w:tplc="D7AA2C62" w:tentative="1">
      <w:start w:val="1"/>
      <w:numFmt w:val="decimal"/>
      <w:lvlText w:val="%7."/>
      <w:lvlJc w:val="left"/>
      <w:pPr>
        <w:ind w:left="4680" w:hanging="360"/>
      </w:pPr>
    </w:lvl>
    <w:lvl w:ilvl="7" w:tplc="08E0DFFC" w:tentative="1">
      <w:start w:val="1"/>
      <w:numFmt w:val="lowerLetter"/>
      <w:lvlText w:val="%8."/>
      <w:lvlJc w:val="left"/>
      <w:pPr>
        <w:ind w:left="5400" w:hanging="360"/>
      </w:pPr>
    </w:lvl>
    <w:lvl w:ilvl="8" w:tplc="66986382"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B5"/>
    <w:rsid w:val="001038F3"/>
    <w:rsid w:val="00291554"/>
    <w:rsid w:val="00307E07"/>
    <w:rsid w:val="003A0C97"/>
    <w:rsid w:val="0056136A"/>
    <w:rsid w:val="005C4000"/>
    <w:rsid w:val="00625ED8"/>
    <w:rsid w:val="00886DEE"/>
    <w:rsid w:val="008942B5"/>
    <w:rsid w:val="0096447D"/>
    <w:rsid w:val="009A187D"/>
    <w:rsid w:val="009F123B"/>
    <w:rsid w:val="00A4105B"/>
    <w:rsid w:val="00C60E08"/>
    <w:rsid w:val="00C75129"/>
    <w:rsid w:val="00E462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F393C"/>
  <w15:docId w15:val="{2EA17EF2-79F7-4E16-A762-7639822C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unhideWhenUsed/>
    <w:rsid w:val="00C60E08"/>
    <w:pPr>
      <w:spacing w:before="100" w:beforeAutospacing="1" w:after="100" w:afterAutospacing="1" w:line="240" w:lineRule="auto"/>
      <w:ind w:left="0"/>
    </w:pPr>
    <w:rPr>
      <w:rFonts w:eastAsia="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825814">
      <w:bodyDiv w:val="1"/>
      <w:marLeft w:val="0"/>
      <w:marRight w:val="0"/>
      <w:marTop w:val="0"/>
      <w:marBottom w:val="0"/>
      <w:divBdr>
        <w:top w:val="none" w:sz="0" w:space="0" w:color="auto"/>
        <w:left w:val="none" w:sz="0" w:space="0" w:color="auto"/>
        <w:bottom w:val="none" w:sz="0" w:space="0" w:color="auto"/>
        <w:right w:val="none" w:sz="0" w:space="0" w:color="auto"/>
      </w:divBdr>
    </w:div>
    <w:div w:id="1724056169">
      <w:bodyDiv w:val="1"/>
      <w:marLeft w:val="0"/>
      <w:marRight w:val="0"/>
      <w:marTop w:val="0"/>
      <w:marBottom w:val="0"/>
      <w:divBdr>
        <w:top w:val="none" w:sz="0" w:space="0" w:color="auto"/>
        <w:left w:val="none" w:sz="0" w:space="0" w:color="auto"/>
        <w:bottom w:val="none" w:sz="0" w:space="0" w:color="auto"/>
        <w:right w:val="none" w:sz="0" w:space="0" w:color="auto"/>
      </w:divBdr>
      <w:divsChild>
        <w:div w:id="332608111">
          <w:marLeft w:val="0"/>
          <w:marRight w:val="0"/>
          <w:marTop w:val="0"/>
          <w:marBottom w:val="0"/>
          <w:divBdr>
            <w:top w:val="none" w:sz="0" w:space="0" w:color="auto"/>
            <w:left w:val="none" w:sz="0" w:space="0" w:color="auto"/>
            <w:bottom w:val="none" w:sz="0" w:space="0" w:color="auto"/>
            <w:right w:val="none" w:sz="0" w:space="0" w:color="auto"/>
          </w:divBdr>
          <w:divsChild>
            <w:div w:id="654146733">
              <w:marLeft w:val="0"/>
              <w:marRight w:val="0"/>
              <w:marTop w:val="0"/>
              <w:marBottom w:val="0"/>
              <w:divBdr>
                <w:top w:val="none" w:sz="0" w:space="0" w:color="auto"/>
                <w:left w:val="none" w:sz="0" w:space="0" w:color="auto"/>
                <w:bottom w:val="none" w:sz="0" w:space="0" w:color="auto"/>
                <w:right w:val="none" w:sz="0" w:space="0" w:color="auto"/>
              </w:divBdr>
              <w:divsChild>
                <w:div w:id="527647736">
                  <w:marLeft w:val="0"/>
                  <w:marRight w:val="0"/>
                  <w:marTop w:val="0"/>
                  <w:marBottom w:val="0"/>
                  <w:divBdr>
                    <w:top w:val="none" w:sz="0" w:space="0" w:color="auto"/>
                    <w:left w:val="none" w:sz="0" w:space="0" w:color="auto"/>
                    <w:bottom w:val="none" w:sz="0" w:space="0" w:color="auto"/>
                    <w:right w:val="none" w:sz="0" w:space="0" w:color="auto"/>
                  </w:divBdr>
                  <w:divsChild>
                    <w:div w:id="385954060">
                      <w:marLeft w:val="0"/>
                      <w:marRight w:val="0"/>
                      <w:marTop w:val="0"/>
                      <w:marBottom w:val="0"/>
                      <w:divBdr>
                        <w:top w:val="none" w:sz="0" w:space="0" w:color="auto"/>
                        <w:left w:val="none" w:sz="0" w:space="0" w:color="auto"/>
                        <w:bottom w:val="none" w:sz="0" w:space="0" w:color="auto"/>
                        <w:right w:val="none" w:sz="0" w:space="0" w:color="auto"/>
                      </w:divBdr>
                      <w:divsChild>
                        <w:div w:id="692920696">
                          <w:marLeft w:val="2325"/>
                          <w:marRight w:val="0"/>
                          <w:marTop w:val="0"/>
                          <w:marBottom w:val="0"/>
                          <w:divBdr>
                            <w:top w:val="none" w:sz="0" w:space="0" w:color="auto"/>
                            <w:left w:val="none" w:sz="0" w:space="0" w:color="auto"/>
                            <w:bottom w:val="none" w:sz="0" w:space="0" w:color="auto"/>
                            <w:right w:val="none" w:sz="0" w:space="0" w:color="auto"/>
                          </w:divBdr>
                          <w:divsChild>
                            <w:div w:id="1504780648">
                              <w:marLeft w:val="0"/>
                              <w:marRight w:val="0"/>
                              <w:marTop w:val="0"/>
                              <w:marBottom w:val="0"/>
                              <w:divBdr>
                                <w:top w:val="none" w:sz="0" w:space="0" w:color="auto"/>
                                <w:left w:val="none" w:sz="0" w:space="0" w:color="auto"/>
                                <w:bottom w:val="none" w:sz="0" w:space="0" w:color="auto"/>
                                <w:right w:val="none" w:sz="0" w:space="0" w:color="auto"/>
                              </w:divBdr>
                              <w:divsChild>
                                <w:div w:id="1863975588">
                                  <w:marLeft w:val="0"/>
                                  <w:marRight w:val="0"/>
                                  <w:marTop w:val="0"/>
                                  <w:marBottom w:val="0"/>
                                  <w:divBdr>
                                    <w:top w:val="none" w:sz="0" w:space="0" w:color="auto"/>
                                    <w:left w:val="none" w:sz="0" w:space="0" w:color="auto"/>
                                    <w:bottom w:val="none" w:sz="0" w:space="0" w:color="auto"/>
                                    <w:right w:val="none" w:sz="0" w:space="0" w:color="auto"/>
                                  </w:divBdr>
                                  <w:divsChild>
                                    <w:div w:id="766464545">
                                      <w:marLeft w:val="0"/>
                                      <w:marRight w:val="0"/>
                                      <w:marTop w:val="0"/>
                                      <w:marBottom w:val="0"/>
                                      <w:divBdr>
                                        <w:top w:val="none" w:sz="0" w:space="0" w:color="auto"/>
                                        <w:left w:val="none" w:sz="0" w:space="0" w:color="auto"/>
                                        <w:bottom w:val="none" w:sz="0" w:space="0" w:color="auto"/>
                                        <w:right w:val="none" w:sz="0" w:space="0" w:color="auto"/>
                                      </w:divBdr>
                                      <w:divsChild>
                                        <w:div w:id="707338837">
                                          <w:marLeft w:val="480"/>
                                          <w:marRight w:val="0"/>
                                          <w:marTop w:val="0"/>
                                          <w:marBottom w:val="0"/>
                                          <w:divBdr>
                                            <w:top w:val="none" w:sz="0" w:space="0" w:color="auto"/>
                                            <w:left w:val="none" w:sz="0" w:space="0" w:color="auto"/>
                                            <w:bottom w:val="none" w:sz="0" w:space="0" w:color="auto"/>
                                            <w:right w:val="none" w:sz="0" w:space="0" w:color="auto"/>
                                          </w:divBdr>
                                          <w:divsChild>
                                            <w:div w:id="849492216">
                                              <w:marLeft w:val="0"/>
                                              <w:marRight w:val="0"/>
                                              <w:marTop w:val="0"/>
                                              <w:marBottom w:val="0"/>
                                              <w:divBdr>
                                                <w:top w:val="none" w:sz="0" w:space="0" w:color="auto"/>
                                                <w:left w:val="none" w:sz="0" w:space="0" w:color="auto"/>
                                                <w:bottom w:val="none" w:sz="0" w:space="0" w:color="auto"/>
                                                <w:right w:val="none" w:sz="0" w:space="0" w:color="auto"/>
                                              </w:divBdr>
                                              <w:divsChild>
                                                <w:div w:id="494421465">
                                                  <w:marLeft w:val="0"/>
                                                  <w:marRight w:val="0"/>
                                                  <w:marTop w:val="0"/>
                                                  <w:marBottom w:val="0"/>
                                                  <w:divBdr>
                                                    <w:top w:val="none" w:sz="0" w:space="0" w:color="auto"/>
                                                    <w:left w:val="none" w:sz="0" w:space="0" w:color="auto"/>
                                                    <w:bottom w:val="none" w:sz="0" w:space="0" w:color="auto"/>
                                                    <w:right w:val="none" w:sz="0" w:space="0" w:color="auto"/>
                                                  </w:divBdr>
                                                  <w:divsChild>
                                                    <w:div w:id="1561206430">
                                                      <w:marLeft w:val="0"/>
                                                      <w:marRight w:val="0"/>
                                                      <w:marTop w:val="0"/>
                                                      <w:marBottom w:val="0"/>
                                                      <w:divBdr>
                                                        <w:top w:val="none" w:sz="0" w:space="0" w:color="auto"/>
                                                        <w:left w:val="none" w:sz="0" w:space="0" w:color="auto"/>
                                                        <w:bottom w:val="none" w:sz="0" w:space="0" w:color="auto"/>
                                                        <w:right w:val="none" w:sz="0" w:space="0" w:color="auto"/>
                                                      </w:divBdr>
                                                      <w:divsChild>
                                                        <w:div w:id="1183862138">
                                                          <w:marLeft w:val="0"/>
                                                          <w:marRight w:val="0"/>
                                                          <w:marTop w:val="0"/>
                                                          <w:marBottom w:val="0"/>
                                                          <w:divBdr>
                                                            <w:top w:val="none" w:sz="0" w:space="0" w:color="auto"/>
                                                            <w:left w:val="none" w:sz="0" w:space="0" w:color="auto"/>
                                                            <w:bottom w:val="none" w:sz="0" w:space="0" w:color="auto"/>
                                                            <w:right w:val="none" w:sz="0" w:space="0" w:color="auto"/>
                                                          </w:divBdr>
                                                          <w:divsChild>
                                                            <w:div w:id="1740133914">
                                                              <w:marLeft w:val="0"/>
                                                              <w:marRight w:val="0"/>
                                                              <w:marTop w:val="0"/>
                                                              <w:marBottom w:val="0"/>
                                                              <w:divBdr>
                                                                <w:top w:val="none" w:sz="0" w:space="0" w:color="auto"/>
                                                                <w:left w:val="none" w:sz="0" w:space="0" w:color="auto"/>
                                                                <w:bottom w:val="none" w:sz="0" w:space="0" w:color="auto"/>
                                                                <w:right w:val="none" w:sz="0" w:space="0" w:color="auto"/>
                                                              </w:divBdr>
                                                              <w:divsChild>
                                                                <w:div w:id="2075200232">
                                                                  <w:marLeft w:val="0"/>
                                                                  <w:marRight w:val="0"/>
                                                                  <w:marTop w:val="0"/>
                                                                  <w:marBottom w:val="0"/>
                                                                  <w:divBdr>
                                                                    <w:top w:val="none" w:sz="0" w:space="0" w:color="auto"/>
                                                                    <w:left w:val="none" w:sz="0" w:space="0" w:color="auto"/>
                                                                    <w:bottom w:val="none" w:sz="0" w:space="0" w:color="auto"/>
                                                                    <w:right w:val="none" w:sz="0" w:space="0" w:color="auto"/>
                                                                  </w:divBdr>
                                                                  <w:divsChild>
                                                                    <w:div w:id="1673987636">
                                                                      <w:marLeft w:val="0"/>
                                                                      <w:marRight w:val="0"/>
                                                                      <w:marTop w:val="96"/>
                                                                      <w:marBottom w:val="0"/>
                                                                      <w:divBdr>
                                                                        <w:top w:val="none" w:sz="0" w:space="0" w:color="auto"/>
                                                                        <w:left w:val="none" w:sz="0" w:space="0" w:color="auto"/>
                                                                        <w:bottom w:val="none" w:sz="0" w:space="0" w:color="auto"/>
                                                                        <w:right w:val="none" w:sz="0" w:space="0" w:color="auto"/>
                                                                      </w:divBdr>
                                                                      <w:divsChild>
                                                                        <w:div w:id="1641381152">
                                                                          <w:marLeft w:val="0"/>
                                                                          <w:marRight w:val="0"/>
                                                                          <w:marTop w:val="72"/>
                                                                          <w:marBottom w:val="0"/>
                                                                          <w:divBdr>
                                                                            <w:top w:val="none" w:sz="0" w:space="0" w:color="auto"/>
                                                                            <w:left w:val="none" w:sz="0" w:space="0" w:color="auto"/>
                                                                            <w:bottom w:val="none" w:sz="0" w:space="0" w:color="auto"/>
                                                                            <w:right w:val="none" w:sz="0" w:space="0" w:color="auto"/>
                                                                          </w:divBdr>
                                                                          <w:divsChild>
                                                                            <w:div w:id="92673411">
                                                                              <w:marLeft w:val="0"/>
                                                                              <w:marRight w:val="0"/>
                                                                              <w:marTop w:val="0"/>
                                                                              <w:marBottom w:val="0"/>
                                                                              <w:divBdr>
                                                                                <w:top w:val="none" w:sz="0" w:space="0" w:color="auto"/>
                                                                                <w:left w:val="none" w:sz="0" w:space="0" w:color="auto"/>
                                                                                <w:bottom w:val="none" w:sz="0" w:space="0" w:color="auto"/>
                                                                                <w:right w:val="none" w:sz="0" w:space="0" w:color="auto"/>
                                                                              </w:divBdr>
                                                                              <w:divsChild>
                                                                                <w:div w:id="12343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JE6N4JFJXNNF-9-70029</_dlc_DocId>
    <_dlc_DocIdUrl xmlns="8b66ae41-1ec6-402e-b662-35d1932ca064">
      <Url>http://rkdhs-sb/enhet/EUKansli/_layouts/DocIdRedir.aspx?ID=JE6N4JFJXNNF-9-70029</Url>
      <Description>JE6N4JFJXNNF-9-70029</Description>
    </_dlc_DocIdUrl>
  </documentManagement>
</p:properti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5F3EE-D161-4C0E-B3BA-2F488D07DA3A}">
  <ds:schemaRefs>
    <ds:schemaRef ds:uri="http://schemas.microsoft.com/sharepoint/v3/contenttype/forms"/>
  </ds:schemaRefs>
</ds:datastoreItem>
</file>

<file path=customXml/itemProps2.xml><?xml version="1.0" encoding="utf-8"?>
<ds:datastoreItem xmlns:ds="http://schemas.openxmlformats.org/officeDocument/2006/customXml" ds:itemID="{B8AC4D5F-0F0F-4BB1-A643-E265E9609082}">
  <ds:schemaRefs>
    <ds:schemaRef ds:uri="http://schemas.microsoft.com/office/2006/metadata/properties"/>
    <ds:schemaRef ds:uri="http://schemas.microsoft.com/office/infopath/2007/PartnerControls"/>
    <ds:schemaRef ds:uri="8b66ae41-1ec6-402e-b662-35d1932ca064"/>
    <ds:schemaRef ds:uri="e4c0beb7-0294-4d25-9600-346807c0961e"/>
  </ds:schemaRefs>
</ds:datastoreItem>
</file>

<file path=customXml/itemProps3.xml><?xml version="1.0" encoding="utf-8"?>
<ds:datastoreItem xmlns:ds="http://schemas.openxmlformats.org/officeDocument/2006/customXml" ds:itemID="{8EAE7D48-FF7F-4543-A0AC-A517858E365D}">
  <ds:schemaRefs>
    <ds:schemaRef ds:uri="http://schemas.microsoft.com/sharepoint/v3/contenttype/forms/url"/>
  </ds:schemaRefs>
</ds:datastoreItem>
</file>

<file path=customXml/itemProps4.xml><?xml version="1.0" encoding="utf-8"?>
<ds:datastoreItem xmlns:ds="http://schemas.openxmlformats.org/officeDocument/2006/customXml" ds:itemID="{F771070D-453D-40BD-8C9F-E023B1196AED}">
  <ds:schemaRefs>
    <ds:schemaRef ds:uri="http://schemas.microsoft.com/office/2006/metadata/customXsn"/>
  </ds:schemaRefs>
</ds:datastoreItem>
</file>

<file path=customXml/itemProps5.xml><?xml version="1.0" encoding="utf-8"?>
<ds:datastoreItem xmlns:ds="http://schemas.openxmlformats.org/officeDocument/2006/customXml" ds:itemID="{09ED5E8C-A911-4BC4-B568-D1A1446530F2}">
  <ds:schemaRefs>
    <ds:schemaRef ds:uri="http://schemas.microsoft.com/sharepoint/events"/>
  </ds:schemaRefs>
</ds:datastoreItem>
</file>

<file path=customXml/itemProps6.xml><?xml version="1.0" encoding="utf-8"?>
<ds:datastoreItem xmlns:ds="http://schemas.openxmlformats.org/officeDocument/2006/customXml" ds:itemID="{9F7F3B82-7DC3-439E-8C72-AD0C0B098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2A8C928-181C-4485-BFCF-60949E841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2856</Words>
  <Characters>15137</Characters>
  <Application>Microsoft Office Word</Application>
  <DocSecurity>0</DocSecurity>
  <Lines>126</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Lindberg</cp:lastModifiedBy>
  <cp:revision>2</cp:revision>
  <cp:lastPrinted>2015-11-19T08:11:00Z</cp:lastPrinted>
  <dcterms:created xsi:type="dcterms:W3CDTF">2015-11-19T10:29:00Z</dcterms:created>
  <dcterms:modified xsi:type="dcterms:W3CDTF">2015-11-19T10:29:00Z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9ebce216-b196-4877-9835-5b04eec225db</vt:lpwstr>
  </property>
</Properties>
</file>