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043CC" w:rsidRPr="00E21C34">
        <w:tblPrEx>
          <w:tblCellMar>
            <w:top w:w="0" w:type="dxa"/>
            <w:bottom w:w="0" w:type="dxa"/>
          </w:tblCellMar>
        </w:tblPrEx>
        <w:tc>
          <w:tcPr>
            <w:tcW w:w="2268" w:type="dxa"/>
          </w:tcPr>
          <w:p w:rsidR="00B043CC" w:rsidRPr="00E21C34" w:rsidRDefault="00B043CC">
            <w:pPr>
              <w:framePr w:w="4400" w:h="1644" w:wrap="notBeside" w:vAnchor="page" w:hAnchor="page" w:x="6573" w:y="721"/>
              <w:rPr>
                <w:rFonts w:ascii="TradeGothic" w:hAnsi="TradeGothic"/>
                <w:i/>
                <w:sz w:val="18"/>
              </w:rPr>
            </w:pPr>
          </w:p>
        </w:tc>
        <w:tc>
          <w:tcPr>
            <w:tcW w:w="2347" w:type="dxa"/>
            <w:gridSpan w:val="2"/>
          </w:tcPr>
          <w:p w:rsidR="00B043CC" w:rsidRPr="00E21C34" w:rsidRDefault="00B043CC">
            <w:pPr>
              <w:framePr w:w="4400" w:h="1644" w:wrap="notBeside" w:vAnchor="page" w:hAnchor="page" w:x="6573" w:y="721"/>
              <w:rPr>
                <w:rFonts w:ascii="TradeGothic" w:hAnsi="TradeGothic"/>
                <w:i/>
                <w:sz w:val="18"/>
              </w:rPr>
            </w:pPr>
          </w:p>
        </w:tc>
      </w:tr>
      <w:tr w:rsidR="00B043CC" w:rsidRPr="00E21C34">
        <w:tblPrEx>
          <w:tblCellMar>
            <w:top w:w="0" w:type="dxa"/>
            <w:bottom w:w="0" w:type="dxa"/>
          </w:tblCellMar>
        </w:tblPrEx>
        <w:trPr>
          <w:cantSplit/>
        </w:trPr>
        <w:tc>
          <w:tcPr>
            <w:tcW w:w="4615" w:type="dxa"/>
            <w:gridSpan w:val="3"/>
          </w:tcPr>
          <w:p w:rsidR="00B043CC" w:rsidRPr="00E21C34" w:rsidRDefault="00B043CC">
            <w:pPr>
              <w:framePr w:w="4400" w:h="1644" w:wrap="notBeside" w:vAnchor="page" w:hAnchor="page" w:x="6573" w:y="721"/>
              <w:rPr>
                <w:rFonts w:ascii="TradeGothic" w:hAnsi="TradeGothic"/>
                <w:b/>
                <w:sz w:val="22"/>
              </w:rPr>
            </w:pPr>
            <w:r w:rsidRPr="00E21C34">
              <w:rPr>
                <w:rFonts w:ascii="TradeGothic" w:hAnsi="TradeGothic"/>
                <w:b/>
                <w:sz w:val="22"/>
              </w:rPr>
              <w:t>Rådspromemoria</w:t>
            </w:r>
          </w:p>
        </w:tc>
      </w:tr>
      <w:tr w:rsidR="00B043CC" w:rsidRPr="00E21C34">
        <w:tblPrEx>
          <w:tblCellMar>
            <w:top w:w="0" w:type="dxa"/>
            <w:bottom w:w="0" w:type="dxa"/>
          </w:tblCellMar>
        </w:tblPrEx>
        <w:tc>
          <w:tcPr>
            <w:tcW w:w="3402" w:type="dxa"/>
            <w:gridSpan w:val="2"/>
          </w:tcPr>
          <w:p w:rsidR="00B043CC" w:rsidRPr="00E21C34" w:rsidRDefault="00B043CC">
            <w:pPr>
              <w:framePr w:w="4400" w:h="1644" w:wrap="notBeside" w:vAnchor="page" w:hAnchor="page" w:x="6573" w:y="721"/>
            </w:pPr>
          </w:p>
        </w:tc>
        <w:tc>
          <w:tcPr>
            <w:tcW w:w="1213" w:type="dxa"/>
          </w:tcPr>
          <w:p w:rsidR="00B043CC" w:rsidRPr="00E21C34" w:rsidRDefault="00B043CC">
            <w:pPr>
              <w:framePr w:w="4400" w:h="1644" w:wrap="notBeside" w:vAnchor="page" w:hAnchor="page" w:x="6573" w:y="721"/>
            </w:pPr>
          </w:p>
        </w:tc>
      </w:tr>
      <w:tr w:rsidR="00B043CC" w:rsidRPr="00E21C34">
        <w:tblPrEx>
          <w:tblCellMar>
            <w:top w:w="0" w:type="dxa"/>
            <w:bottom w:w="0" w:type="dxa"/>
          </w:tblCellMar>
        </w:tblPrEx>
        <w:tc>
          <w:tcPr>
            <w:tcW w:w="2268" w:type="dxa"/>
          </w:tcPr>
          <w:p w:rsidR="00B043CC" w:rsidRPr="00E21C34" w:rsidRDefault="00183EA2">
            <w:pPr>
              <w:framePr w:w="4400" w:h="1644" w:wrap="notBeside" w:vAnchor="page" w:hAnchor="page" w:x="6573" w:y="721"/>
            </w:pPr>
            <w:r w:rsidRPr="00E21C34">
              <w:t>2007-01-31</w:t>
            </w:r>
          </w:p>
        </w:tc>
        <w:tc>
          <w:tcPr>
            <w:tcW w:w="2347" w:type="dxa"/>
            <w:gridSpan w:val="2"/>
          </w:tcPr>
          <w:p w:rsidR="00B043CC" w:rsidRPr="00E21C34" w:rsidRDefault="00B043CC">
            <w:pPr>
              <w:framePr w:w="4400" w:h="1644" w:wrap="notBeside" w:vAnchor="page" w:hAnchor="page" w:x="6573" w:y="721"/>
            </w:pPr>
          </w:p>
        </w:tc>
      </w:tr>
      <w:tr w:rsidR="00B043CC" w:rsidRPr="00E21C34">
        <w:tblPrEx>
          <w:tblCellMar>
            <w:top w:w="0" w:type="dxa"/>
            <w:bottom w:w="0" w:type="dxa"/>
          </w:tblCellMar>
        </w:tblPrEx>
        <w:tc>
          <w:tcPr>
            <w:tcW w:w="2268" w:type="dxa"/>
          </w:tcPr>
          <w:p w:rsidR="00B043CC" w:rsidRPr="00E21C34" w:rsidRDefault="00B043CC">
            <w:pPr>
              <w:framePr w:w="4400" w:h="1644" w:wrap="notBeside" w:vAnchor="page" w:hAnchor="page" w:x="6573" w:y="721"/>
            </w:pPr>
          </w:p>
        </w:tc>
        <w:tc>
          <w:tcPr>
            <w:tcW w:w="2347" w:type="dxa"/>
            <w:gridSpan w:val="2"/>
          </w:tcPr>
          <w:p w:rsidR="00B043CC" w:rsidRPr="00E21C34" w:rsidRDefault="00B043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B043CC" w:rsidRPr="00E21C34">
        <w:tblPrEx>
          <w:tblCellMar>
            <w:top w:w="0" w:type="dxa"/>
            <w:bottom w:w="0" w:type="dxa"/>
          </w:tblCellMar>
        </w:tblPrEx>
        <w:trPr>
          <w:trHeight w:val="284"/>
        </w:trPr>
        <w:tc>
          <w:tcPr>
            <w:tcW w:w="4911" w:type="dxa"/>
          </w:tcPr>
          <w:p w:rsidR="00B043CC" w:rsidRPr="00E21C34" w:rsidRDefault="00B043CC">
            <w:pPr>
              <w:pStyle w:val="Avsndare"/>
              <w:framePr w:h="2483" w:wrap="notBeside" w:x="1504"/>
              <w:rPr>
                <w:b/>
                <w:i w:val="0"/>
                <w:sz w:val="22"/>
              </w:rPr>
            </w:pPr>
            <w:r w:rsidRPr="00E21C34">
              <w:rPr>
                <w:b/>
                <w:i w:val="0"/>
                <w:sz w:val="22"/>
              </w:rPr>
              <w:t>Justitiedepartementet</w:t>
            </w:r>
          </w:p>
        </w:tc>
      </w:tr>
      <w:tr w:rsidR="00B043CC" w:rsidRPr="00E21C34">
        <w:tblPrEx>
          <w:tblCellMar>
            <w:top w:w="0" w:type="dxa"/>
            <w:bottom w:w="0" w:type="dxa"/>
          </w:tblCellMar>
        </w:tblPrEx>
        <w:trPr>
          <w:trHeight w:val="284"/>
        </w:trPr>
        <w:tc>
          <w:tcPr>
            <w:tcW w:w="4911" w:type="dxa"/>
          </w:tcPr>
          <w:p w:rsidR="00B043CC" w:rsidRPr="00E21C34" w:rsidRDefault="00B043CC">
            <w:pPr>
              <w:pStyle w:val="Avsndare"/>
              <w:framePr w:h="2483" w:wrap="notBeside" w:x="1504"/>
              <w:rPr>
                <w:bCs/>
                <w:iCs/>
              </w:rPr>
            </w:pPr>
          </w:p>
        </w:tc>
      </w:tr>
      <w:tr w:rsidR="00B043CC" w:rsidRPr="00E21C34">
        <w:tblPrEx>
          <w:tblCellMar>
            <w:top w:w="0" w:type="dxa"/>
            <w:bottom w:w="0" w:type="dxa"/>
          </w:tblCellMar>
        </w:tblPrEx>
        <w:trPr>
          <w:trHeight w:val="284"/>
        </w:trPr>
        <w:tc>
          <w:tcPr>
            <w:tcW w:w="4911" w:type="dxa"/>
          </w:tcPr>
          <w:p w:rsidR="00B043CC" w:rsidRPr="00E21C34" w:rsidRDefault="00B043CC">
            <w:pPr>
              <w:pStyle w:val="Avsndare"/>
              <w:framePr w:h="2483" w:wrap="notBeside" w:x="1504"/>
              <w:rPr>
                <w:bCs/>
                <w:iCs/>
              </w:rPr>
            </w:pPr>
            <w:r w:rsidRPr="00E21C34">
              <w:rPr>
                <w:bCs/>
                <w:iCs/>
              </w:rPr>
              <w:t>Enheten för brottmålsärenden och</w:t>
            </w:r>
          </w:p>
          <w:p w:rsidR="00B043CC" w:rsidRPr="00E21C34" w:rsidRDefault="00B043CC">
            <w:pPr>
              <w:pStyle w:val="Avsndare"/>
              <w:framePr w:h="2483" w:wrap="notBeside" w:x="1504"/>
              <w:rPr>
                <w:bCs/>
                <w:iCs/>
              </w:rPr>
            </w:pPr>
            <w:r w:rsidRPr="00E21C34">
              <w:rPr>
                <w:bCs/>
                <w:iCs/>
              </w:rPr>
              <w:t>internationellt rättsligt samarbete (BIRS)</w:t>
            </w:r>
          </w:p>
        </w:tc>
      </w:tr>
      <w:tr w:rsidR="00B043CC" w:rsidRPr="00E21C34">
        <w:tblPrEx>
          <w:tblCellMar>
            <w:top w:w="0" w:type="dxa"/>
            <w:bottom w:w="0" w:type="dxa"/>
          </w:tblCellMar>
        </w:tblPrEx>
        <w:trPr>
          <w:trHeight w:val="284"/>
        </w:trPr>
        <w:tc>
          <w:tcPr>
            <w:tcW w:w="4911" w:type="dxa"/>
          </w:tcPr>
          <w:p w:rsidR="00B043CC" w:rsidRPr="00E21C34" w:rsidRDefault="00B043CC">
            <w:pPr>
              <w:pStyle w:val="Avsndare"/>
              <w:framePr w:h="2483" w:wrap="notBeside" w:x="1504"/>
              <w:rPr>
                <w:bCs/>
                <w:iCs/>
              </w:rPr>
            </w:pPr>
          </w:p>
        </w:tc>
      </w:tr>
      <w:tr w:rsidR="00B043CC" w:rsidRPr="00E21C34">
        <w:tblPrEx>
          <w:tblCellMar>
            <w:top w:w="0" w:type="dxa"/>
            <w:bottom w:w="0" w:type="dxa"/>
          </w:tblCellMar>
        </w:tblPrEx>
        <w:trPr>
          <w:trHeight w:val="284"/>
        </w:trPr>
        <w:tc>
          <w:tcPr>
            <w:tcW w:w="4911" w:type="dxa"/>
          </w:tcPr>
          <w:p w:rsidR="00B043CC" w:rsidRPr="00E21C34" w:rsidRDefault="00B043CC">
            <w:pPr>
              <w:pStyle w:val="Avsndare"/>
              <w:framePr w:h="2483" w:wrap="notBeside" w:x="1504"/>
              <w:rPr>
                <w:bCs/>
                <w:iCs/>
              </w:rPr>
            </w:pPr>
          </w:p>
        </w:tc>
      </w:tr>
    </w:tbl>
    <w:p w:rsidR="00B043CC" w:rsidRPr="00E21C34" w:rsidRDefault="00B043CC">
      <w:pPr>
        <w:framePr w:w="4400" w:h="2523" w:wrap="notBeside" w:vAnchor="page" w:hAnchor="page" w:x="6453" w:y="2445"/>
        <w:ind w:left="142"/>
        <w:rPr>
          <w:b/>
        </w:rPr>
      </w:pPr>
    </w:p>
    <w:p w:rsidR="00B043CC" w:rsidRPr="00E21C34" w:rsidRDefault="00B043CC">
      <w:pPr>
        <w:pStyle w:val="RKrubrik"/>
        <w:pBdr>
          <w:bottom w:val="single" w:sz="6" w:space="1" w:color="auto"/>
        </w:pBdr>
      </w:pPr>
      <w:bookmarkStart w:id="0" w:name="bRubrik"/>
      <w:bookmarkEnd w:id="0"/>
      <w:r w:rsidRPr="00E21C34">
        <w:t>Rådets möte (rätts</w:t>
      </w:r>
      <w:r w:rsidR="00183EA2" w:rsidRPr="00E21C34">
        <w:t>liga och inrikes frågor) den 15 februari 2007</w:t>
      </w:r>
    </w:p>
    <w:p w:rsidR="00B043CC" w:rsidRPr="00E21C34" w:rsidRDefault="00B043CC">
      <w:pPr>
        <w:pStyle w:val="RKnormal"/>
      </w:pPr>
    </w:p>
    <w:p w:rsidR="00B043CC" w:rsidRPr="00E21C34" w:rsidRDefault="00B043CC">
      <w:pPr>
        <w:pStyle w:val="RKnormal"/>
        <w:rPr>
          <w:b/>
          <w:bCs/>
        </w:rPr>
      </w:pPr>
      <w:r w:rsidRPr="00E21C34">
        <w:rPr>
          <w:b/>
          <w:bCs/>
        </w:rPr>
        <w:t>Dagordningspunkt 6</w:t>
      </w:r>
    </w:p>
    <w:p w:rsidR="00B043CC" w:rsidRPr="00E21C34" w:rsidRDefault="00B043CC">
      <w:pPr>
        <w:pStyle w:val="RKnormal"/>
      </w:pPr>
    </w:p>
    <w:p w:rsidR="00B043CC" w:rsidRPr="00E21C34" w:rsidRDefault="00B043CC">
      <w:pPr>
        <w:pStyle w:val="RKnormal"/>
        <w:rPr>
          <w:b/>
          <w:bCs/>
        </w:rPr>
      </w:pPr>
      <w:r w:rsidRPr="00E21C34">
        <w:rPr>
          <w:b/>
          <w:bCs/>
        </w:rPr>
        <w:t>Förslag till rambeslut om överförande av dömda personer mellan EU:s medlemsstater</w:t>
      </w:r>
    </w:p>
    <w:p w:rsidR="00B043CC" w:rsidRPr="00E21C34" w:rsidRDefault="00B043CC">
      <w:pPr>
        <w:pStyle w:val="RKnormal"/>
      </w:pPr>
    </w:p>
    <w:p w:rsidR="00B043CC" w:rsidRPr="00E21C34" w:rsidRDefault="00B043CC">
      <w:pPr>
        <w:pStyle w:val="RKnormal"/>
        <w:rPr>
          <w:i/>
          <w:iCs/>
        </w:rPr>
      </w:pPr>
      <w:r w:rsidRPr="00E21C34">
        <w:rPr>
          <w:b/>
          <w:bCs/>
        </w:rPr>
        <w:t>Dokument:</w:t>
      </w:r>
      <w:r w:rsidRPr="00E21C34">
        <w:t xml:space="preserve"> Har ännu inte distribuerats. </w:t>
      </w:r>
    </w:p>
    <w:p w:rsidR="00B043CC" w:rsidRPr="00E21C34" w:rsidRDefault="00B043CC">
      <w:pPr>
        <w:pStyle w:val="RKnormal"/>
      </w:pPr>
    </w:p>
    <w:p w:rsidR="00B043CC" w:rsidRPr="00E21C34" w:rsidRDefault="00B043CC">
      <w:pPr>
        <w:pStyle w:val="RKnormal"/>
      </w:pPr>
      <w:r w:rsidRPr="00E21C34">
        <w:rPr>
          <w:b/>
          <w:bCs/>
        </w:rPr>
        <w:t>Tidigare dokument:</w:t>
      </w:r>
      <w:r w:rsidR="00183EA2" w:rsidRPr="00E21C34">
        <w:t xml:space="preserve">  </w:t>
      </w:r>
      <w:r w:rsidR="003D13DC" w:rsidRPr="00E21C34">
        <w:t xml:space="preserve">16269/06 </w:t>
      </w:r>
      <w:r w:rsidR="003A3F8E" w:rsidRPr="00E21C34">
        <w:rPr>
          <w:rFonts w:cs="Helv"/>
          <w:color w:val="000000"/>
          <w:szCs w:val="24"/>
          <w:lang w:eastAsia="sv-SE"/>
        </w:rPr>
        <w:t xml:space="preserve">COPEN 124 </w:t>
      </w:r>
      <w:r w:rsidR="003D13DC" w:rsidRPr="00E21C34">
        <w:rPr>
          <w:rFonts w:cs="Helv"/>
          <w:color w:val="000000"/>
          <w:szCs w:val="24"/>
          <w:lang w:eastAsia="sv-SE"/>
        </w:rPr>
        <w:t xml:space="preserve">(bifogas) </w:t>
      </w:r>
      <w:r w:rsidR="003A3F8E" w:rsidRPr="00E21C34">
        <w:rPr>
          <w:rFonts w:cs="Helv"/>
          <w:color w:val="000000"/>
          <w:szCs w:val="24"/>
          <w:lang w:eastAsia="sv-SE"/>
        </w:rPr>
        <w:t xml:space="preserve">och </w:t>
      </w:r>
      <w:r w:rsidR="005224A9" w:rsidRPr="00E21C34">
        <w:rPr>
          <w:rFonts w:cs="Helv"/>
          <w:color w:val="000000"/>
          <w:szCs w:val="24"/>
          <w:lang w:eastAsia="sv-SE"/>
        </w:rPr>
        <w:t xml:space="preserve">15875/1/06 </w:t>
      </w:r>
      <w:r w:rsidR="003A3F8E" w:rsidRPr="00E21C34">
        <w:rPr>
          <w:rFonts w:cs="Helv"/>
          <w:color w:val="000000"/>
          <w:szCs w:val="24"/>
          <w:lang w:eastAsia="sv-SE"/>
        </w:rPr>
        <w:t>COPEN 121</w:t>
      </w:r>
      <w:r w:rsidR="005224A9" w:rsidRPr="00E21C34">
        <w:rPr>
          <w:rFonts w:cs="Helv"/>
          <w:color w:val="000000"/>
          <w:szCs w:val="24"/>
          <w:lang w:eastAsia="sv-SE"/>
        </w:rPr>
        <w:t xml:space="preserve"> REV1</w:t>
      </w:r>
      <w:r w:rsidR="003A3F8E" w:rsidRPr="00E21C34">
        <w:rPr>
          <w:rFonts w:ascii="Helv" w:hAnsi="Helv" w:cs="Helv"/>
          <w:color w:val="000000"/>
          <w:sz w:val="20"/>
          <w:lang w:eastAsia="sv-SE"/>
        </w:rPr>
        <w:t xml:space="preserve"> </w:t>
      </w:r>
      <w:r w:rsidRPr="00E21C34">
        <w:t>(senaste lydelse av hela rambeslutet)</w:t>
      </w:r>
      <w:r w:rsidR="0027390D" w:rsidRPr="00E21C34">
        <w:t>(bifogas)</w:t>
      </w:r>
      <w:r w:rsidRPr="00E21C34">
        <w:t>, Fakta-PM Justiti</w:t>
      </w:r>
      <w:r w:rsidR="00017EF9" w:rsidRPr="00E21C34">
        <w:t>e</w:t>
      </w:r>
      <w:r w:rsidRPr="00E21C34">
        <w:t>departementet</w:t>
      </w:r>
      <w:r w:rsidRPr="00E21C34">
        <w:rPr>
          <w:b/>
        </w:rPr>
        <w:t xml:space="preserve"> </w:t>
      </w:r>
      <w:r w:rsidRPr="00E21C34">
        <w:fldChar w:fldCharType="begin" w:fldLock="1"/>
      </w:r>
      <w:r w:rsidRPr="00E21C34">
        <w:instrText xml:space="preserve"> DOCPROPERTY Ar</w:instrText>
      </w:r>
      <w:r w:rsidRPr="00E21C34">
        <w:fldChar w:fldCharType="separate"/>
      </w:r>
      <w:r w:rsidRPr="00E21C34">
        <w:t>2004/05</w:t>
      </w:r>
      <w:r w:rsidRPr="00E21C34">
        <w:fldChar w:fldCharType="end"/>
      </w:r>
      <w:r w:rsidRPr="00E21C34">
        <w:t>:</w:t>
      </w:r>
      <w:r w:rsidRPr="00E21C34">
        <w:fldChar w:fldCharType="begin" w:fldLock="1"/>
      </w:r>
      <w:r w:rsidRPr="00E21C34">
        <w:instrText xml:space="preserve"> DOCPROPERTY Typ</w:instrText>
      </w:r>
      <w:r w:rsidRPr="00E21C34">
        <w:fldChar w:fldCharType="separate"/>
      </w:r>
      <w:r w:rsidRPr="00E21C34">
        <w:t>FPM</w:t>
      </w:r>
      <w:r w:rsidRPr="00E21C34">
        <w:fldChar w:fldCharType="end"/>
      </w:r>
      <w:r w:rsidRPr="00E21C34">
        <w:fldChar w:fldCharType="begin" w:fldLock="1"/>
      </w:r>
      <w:r w:rsidRPr="00E21C34">
        <w:instrText xml:space="preserve"> DOCPROPERTY Nr</w:instrText>
      </w:r>
      <w:r w:rsidRPr="00E21C34">
        <w:fldChar w:fldCharType="separate"/>
      </w:r>
      <w:r w:rsidRPr="00E21C34">
        <w:t>58</w:t>
      </w:r>
      <w:r w:rsidRPr="00E21C34">
        <w:fldChar w:fldCharType="end"/>
      </w:r>
    </w:p>
    <w:p w:rsidR="00B043CC" w:rsidRPr="00E21C34" w:rsidRDefault="00B043CC">
      <w:pPr>
        <w:pStyle w:val="RKnormal"/>
      </w:pPr>
      <w:r w:rsidRPr="00E21C34">
        <w:t xml:space="preserve"> </w:t>
      </w:r>
    </w:p>
    <w:p w:rsidR="00B043CC" w:rsidRPr="00E21C34" w:rsidRDefault="00B043CC">
      <w:pPr>
        <w:pStyle w:val="RKnormal"/>
      </w:pPr>
      <w:r w:rsidRPr="00E21C34">
        <w:t>Rambeslutet har t</w:t>
      </w:r>
      <w:r w:rsidR="004067E5" w:rsidRPr="00E21C34">
        <w:t xml:space="preserve">idigare behandlats i EU-nämnden - den 21 april, </w:t>
      </w:r>
      <w:r w:rsidRPr="00E21C34">
        <w:t>den 31 maj</w:t>
      </w:r>
      <w:r w:rsidR="004067E5" w:rsidRPr="00E21C34">
        <w:t xml:space="preserve">, den 2 oktober samt den 1 december 2006. </w:t>
      </w:r>
      <w:r w:rsidRPr="00E21C34">
        <w:t>Rambeslutet har därutöver berörts vid flera möten med justitieutskottets EU-grupp.</w:t>
      </w:r>
    </w:p>
    <w:p w:rsidR="00B043CC" w:rsidRPr="00E21C34" w:rsidRDefault="00B043CC">
      <w:pPr>
        <w:pStyle w:val="RKrubrik"/>
      </w:pPr>
      <w:r w:rsidRPr="00E21C34">
        <w:t>Bakgrund</w:t>
      </w:r>
    </w:p>
    <w:p w:rsidR="00B043CC" w:rsidRPr="00E21C34" w:rsidRDefault="00B043CC">
      <w:pPr>
        <w:pStyle w:val="RKnormal"/>
      </w:pPr>
      <w:r w:rsidRPr="00E21C34">
        <w:t>Österrike, Finland och Sverige presenterade i januari 2005 ett förslag till rambeslut om överförande av dömda personer mellan EU:s medlems</w:t>
      </w:r>
      <w:r w:rsidRPr="00E21C34">
        <w:softHyphen/>
        <w:t>stater. Förslaget syftar till att underlätta och effektivisera dagens sam</w:t>
      </w:r>
      <w:r w:rsidRPr="00E21C34">
        <w:softHyphen/>
        <w:t>arbete enligt 1983 års Europarådskonvention när det gäller överförande av dömda personer. Rambeslutet bygger på principen om ömsesidigt erkännande och innebär att en dom med ett frihetsberövande straff (för svensk del fängelse, rättspsykiatri</w:t>
      </w:r>
      <w:r w:rsidR="0099773F" w:rsidRPr="00E21C34">
        <w:t xml:space="preserve">sk vård och sluten ungdomsvård) </w:t>
      </w:r>
      <w:r w:rsidRPr="00E21C34">
        <w:t xml:space="preserve">skall erkännas och verkställas i den dömdes hemland. </w:t>
      </w:r>
    </w:p>
    <w:p w:rsidR="00B043CC" w:rsidRPr="00E21C34" w:rsidRDefault="00B043CC">
      <w:pPr>
        <w:pStyle w:val="RKnormal"/>
      </w:pPr>
    </w:p>
    <w:p w:rsidR="00B043CC" w:rsidRPr="00E21C34" w:rsidRDefault="00437078">
      <w:pPr>
        <w:pStyle w:val="RKnormal"/>
      </w:pPr>
      <w:r w:rsidRPr="00E21C34">
        <w:t>Om f</w:t>
      </w:r>
      <w:r w:rsidR="00B043CC" w:rsidRPr="00E21C34">
        <w:t xml:space="preserve">örslaget </w:t>
      </w:r>
      <w:r w:rsidRPr="00E21C34">
        <w:t xml:space="preserve">genomförs </w:t>
      </w:r>
      <w:r w:rsidR="00B043CC" w:rsidRPr="00E21C34">
        <w:t>kan det förväntas effektivisera handläggningen av överförandeärenden. I förslaget finns bestämmelser om bl.a. ett begränsat antal vägransgrunder, införande av tidsfrister för beslut om överförande och själva transporten av den dömde samt begränsad möjlig</w:t>
      </w:r>
      <w:r w:rsidR="00B043CC" w:rsidRPr="00E21C34">
        <w:softHyphen/>
        <w:t>het för den verkställande staten att ändra den utdömda påföljd</w:t>
      </w:r>
      <w:r w:rsidR="00B043CC" w:rsidRPr="00E21C34">
        <w:softHyphen/>
        <w:t xml:space="preserve">ens natur eller längd. </w:t>
      </w:r>
    </w:p>
    <w:p w:rsidR="00437078" w:rsidRPr="00E21C34" w:rsidRDefault="00437078">
      <w:pPr>
        <w:pStyle w:val="RKnormal"/>
      </w:pPr>
    </w:p>
    <w:p w:rsidR="00674284" w:rsidRPr="00E21C34" w:rsidRDefault="00437078">
      <w:pPr>
        <w:pStyle w:val="RKnormal"/>
      </w:pPr>
      <w:r w:rsidRPr="00E21C34">
        <w:lastRenderedPageBreak/>
        <w:t xml:space="preserve">Vid rådets möte den 4-5 december 2006 kunde samtliga medlemsländer förutom Polen godta det föreliggande utkastet till rambeslut, under förutsättning att genomförandeperioden förlängdes från två till tre år. </w:t>
      </w:r>
    </w:p>
    <w:p w:rsidR="00674284" w:rsidRPr="00E21C34" w:rsidRDefault="00674284">
      <w:pPr>
        <w:pStyle w:val="RKnormal"/>
      </w:pPr>
    </w:p>
    <w:p w:rsidR="00674284" w:rsidRPr="00E21C34" w:rsidRDefault="00674284">
      <w:pPr>
        <w:pStyle w:val="RKnormal"/>
      </w:pPr>
      <w:r w:rsidRPr="00E21C34">
        <w:t xml:space="preserve">Polen motsatte sig </w:t>
      </w:r>
      <w:r w:rsidR="0099773F" w:rsidRPr="00E21C34">
        <w:t xml:space="preserve">utkastet till rambeslut </w:t>
      </w:r>
      <w:r w:rsidRPr="00E21C34">
        <w:t xml:space="preserve">med hänvisning </w:t>
      </w:r>
      <w:r w:rsidR="00833569" w:rsidRPr="00E21C34">
        <w:t xml:space="preserve">till </w:t>
      </w:r>
      <w:r w:rsidRPr="00E21C34">
        <w:t>hur syfte</w:t>
      </w:r>
      <w:r w:rsidR="0099773F" w:rsidRPr="00E21C34">
        <w:t>t om social återanpassning tas</w:t>
      </w:r>
      <w:r w:rsidRPr="00E21C34">
        <w:t xml:space="preserve"> om hand i förslaget. Polen menade att den verkställande staten bör ha mer utrymme att själv pröva om återan</w:t>
      </w:r>
      <w:r w:rsidR="00833569" w:rsidRPr="00E21C34">
        <w:softHyphen/>
      </w:r>
      <w:r w:rsidRPr="00E21C34">
        <w:t>pass</w:t>
      </w:r>
      <w:r w:rsidR="00833569" w:rsidRPr="00E21C34">
        <w:softHyphen/>
      </w:r>
      <w:r w:rsidRPr="00E21C34">
        <w:t>ningen gynnas av ett överförande</w:t>
      </w:r>
      <w:r w:rsidR="0099773F" w:rsidRPr="00E21C34">
        <w:t xml:space="preserve"> och inte, som i förslaget, låta </w:t>
      </w:r>
      <w:r w:rsidRPr="00E21C34">
        <w:t xml:space="preserve">den bedömningen vara förbehållen den utfärdande staten.  </w:t>
      </w:r>
    </w:p>
    <w:p w:rsidR="00674284" w:rsidRPr="00E21C34" w:rsidRDefault="00674284">
      <w:pPr>
        <w:pStyle w:val="RKnormal"/>
      </w:pPr>
    </w:p>
    <w:p w:rsidR="00B043CC" w:rsidRPr="00E21C34" w:rsidRDefault="00B043CC">
      <w:pPr>
        <w:pStyle w:val="RKnormal"/>
      </w:pPr>
      <w:r w:rsidRPr="00E21C34">
        <w:t xml:space="preserve">ORDF:s syfte vid rådsmötet är att </w:t>
      </w:r>
      <w:r w:rsidR="00437078" w:rsidRPr="00E21C34">
        <w:t>även få Polen a</w:t>
      </w:r>
      <w:r w:rsidR="0099773F" w:rsidRPr="00E21C34">
        <w:t xml:space="preserve">tt godta rambeslutet, dvs. nå </w:t>
      </w:r>
      <w:r w:rsidR="00437078" w:rsidRPr="00E21C34">
        <w:t xml:space="preserve">politisk enighet, utan att för den skull i övrigt öppna upp överenskommelsen mellan övriga medlemsländer vid föregående </w:t>
      </w:r>
      <w:r w:rsidR="0099773F" w:rsidRPr="00E21C34">
        <w:t>råds</w:t>
      </w:r>
      <w:r w:rsidR="00437078" w:rsidRPr="00E21C34">
        <w:t xml:space="preserve">möte. </w:t>
      </w:r>
    </w:p>
    <w:p w:rsidR="00B043CC" w:rsidRPr="00E21C34" w:rsidRDefault="00B043CC">
      <w:pPr>
        <w:pStyle w:val="RKrubrik"/>
      </w:pPr>
      <w:r w:rsidRPr="00E21C34">
        <w:t>Rättslig grund och beslutsförfarande</w:t>
      </w:r>
    </w:p>
    <w:p w:rsidR="00B043CC" w:rsidRPr="00E21C34" w:rsidRDefault="00B043CC">
      <w:pPr>
        <w:pStyle w:val="normal0"/>
        <w:rPr>
          <w:rFonts w:ascii="OrigGarmnd BT" w:hAnsi="OrigGarmnd BT"/>
          <w:sz w:val="24"/>
          <w:lang w:val="sv-SE"/>
        </w:rPr>
      </w:pPr>
      <w:r w:rsidRPr="00E21C34">
        <w:rPr>
          <w:rFonts w:ascii="OrigGarmnd BT" w:hAnsi="OrigGarmnd BT"/>
          <w:sz w:val="24"/>
          <w:lang w:val="sv-SE"/>
        </w:rPr>
        <w:t>Som rättslig grund för förslaget till rambeslut har angetts artikel 31.1 a och artikel 34.2 b i EU-fördraget. Rambeslutet antas med enhällighet efter att ha konsulterat Europaparlamentet.</w:t>
      </w:r>
    </w:p>
    <w:p w:rsidR="00B043CC" w:rsidRPr="00E21C34" w:rsidRDefault="00B043CC">
      <w:pPr>
        <w:pStyle w:val="RKrubrik"/>
        <w:rPr>
          <w:i/>
          <w:iCs/>
        </w:rPr>
      </w:pPr>
      <w:r w:rsidRPr="00E21C34">
        <w:rPr>
          <w:i/>
          <w:iCs/>
        </w:rPr>
        <w:t>Svensk ståndpunkt</w:t>
      </w:r>
    </w:p>
    <w:p w:rsidR="00B043CC" w:rsidRPr="00E21C34" w:rsidRDefault="00B043CC">
      <w:pPr>
        <w:rPr>
          <w:bCs/>
          <w:i/>
          <w:iCs/>
        </w:rPr>
      </w:pPr>
      <w:r w:rsidRPr="00E21C34">
        <w:rPr>
          <w:bCs/>
          <w:i/>
          <w:iCs/>
        </w:rPr>
        <w:t>Sveriges inställning allmänt till förslaget till rambeslut</w:t>
      </w:r>
    </w:p>
    <w:p w:rsidR="00B043CC" w:rsidRPr="00E21C34" w:rsidRDefault="00B043CC">
      <w:pPr>
        <w:rPr>
          <w:bCs/>
        </w:rPr>
      </w:pPr>
      <w:r w:rsidRPr="00E21C34">
        <w:rPr>
          <w:bCs/>
        </w:rPr>
        <w:t xml:space="preserve">Sverige stödjer både innehåll och syfte med rambeslutet. Sverige </w:t>
      </w:r>
      <w:r w:rsidR="00674284" w:rsidRPr="00E21C34">
        <w:rPr>
          <w:bCs/>
        </w:rPr>
        <w:t xml:space="preserve">har </w:t>
      </w:r>
      <w:r w:rsidRPr="00E21C34">
        <w:rPr>
          <w:bCs/>
        </w:rPr>
        <w:t>i förhand</w:t>
      </w:r>
      <w:r w:rsidRPr="00E21C34">
        <w:rPr>
          <w:bCs/>
        </w:rPr>
        <w:softHyphen/>
        <w:t>ling</w:t>
      </w:r>
      <w:r w:rsidRPr="00E21C34">
        <w:rPr>
          <w:bCs/>
        </w:rPr>
        <w:softHyphen/>
        <w:t xml:space="preserve">arna </w:t>
      </w:r>
      <w:r w:rsidR="00674284" w:rsidRPr="00E21C34">
        <w:rPr>
          <w:bCs/>
        </w:rPr>
        <w:t xml:space="preserve">verkat </w:t>
      </w:r>
      <w:r w:rsidRPr="00E21C34">
        <w:rPr>
          <w:bCs/>
        </w:rPr>
        <w:t>för ett så stort mervärde som möjligt i förhåll</w:t>
      </w:r>
      <w:r w:rsidR="00674284" w:rsidRPr="00E21C34">
        <w:rPr>
          <w:bCs/>
        </w:rPr>
        <w:softHyphen/>
      </w:r>
      <w:r w:rsidRPr="00E21C34">
        <w:rPr>
          <w:bCs/>
        </w:rPr>
        <w:t>ande till dagens tämligen tungrodda system om överförande av dömda personer mellan EU:s medlemsstater (enligt 1983 års Europaråds</w:t>
      </w:r>
      <w:r w:rsidR="00674284" w:rsidRPr="00E21C34">
        <w:rPr>
          <w:bCs/>
        </w:rPr>
        <w:softHyphen/>
      </w:r>
      <w:r w:rsidRPr="00E21C34">
        <w:rPr>
          <w:bCs/>
        </w:rPr>
        <w:t>konvention och dess tilläggsprotokoll från 1997). Mervärdet ligger i en förenkling och effektivisering i hanteringen av överförande</w:t>
      </w:r>
      <w:r w:rsidR="001331BE" w:rsidRPr="00E21C34">
        <w:rPr>
          <w:bCs/>
        </w:rPr>
        <w:softHyphen/>
      </w:r>
      <w:r w:rsidRPr="00E21C34">
        <w:rPr>
          <w:bCs/>
        </w:rPr>
        <w:t>ärendena.</w:t>
      </w:r>
    </w:p>
    <w:p w:rsidR="00833569" w:rsidRPr="00E21C34" w:rsidRDefault="00833569">
      <w:pPr>
        <w:rPr>
          <w:bCs/>
        </w:rPr>
      </w:pPr>
    </w:p>
    <w:p w:rsidR="00833569" w:rsidRPr="00E21C34" w:rsidRDefault="00833569">
      <w:pPr>
        <w:rPr>
          <w:bCs/>
          <w:i/>
        </w:rPr>
      </w:pPr>
      <w:r w:rsidRPr="00E21C34">
        <w:rPr>
          <w:bCs/>
          <w:i/>
        </w:rPr>
        <w:t>Sveriges inställning till en särlösning för Polen</w:t>
      </w:r>
    </w:p>
    <w:p w:rsidR="00833569" w:rsidRPr="00E21C34" w:rsidRDefault="003D0648">
      <w:pPr>
        <w:rPr>
          <w:bCs/>
        </w:rPr>
      </w:pPr>
      <w:r w:rsidRPr="00E21C34">
        <w:rPr>
          <w:bCs/>
        </w:rPr>
        <w:t xml:space="preserve">Som utgångspunkt bör det inte skapas någon särlösning för något land. </w:t>
      </w:r>
      <w:r w:rsidR="002E4AB8" w:rsidRPr="00E21C34">
        <w:rPr>
          <w:bCs/>
        </w:rPr>
        <w:t>Samtidigt är Sverige angeläge</w:t>
      </w:r>
      <w:r w:rsidRPr="00E21C34">
        <w:rPr>
          <w:bCs/>
        </w:rPr>
        <w:t>t</w:t>
      </w:r>
      <w:r w:rsidR="002E4AB8" w:rsidRPr="00E21C34">
        <w:rPr>
          <w:bCs/>
        </w:rPr>
        <w:t xml:space="preserve"> om att ikraftträdandet av rambeslutet inte fördröjs. </w:t>
      </w:r>
      <w:r w:rsidR="00715AB2" w:rsidRPr="00E21C34">
        <w:rPr>
          <w:bCs/>
        </w:rPr>
        <w:t xml:space="preserve">Sverige kan i det syftet godta exempelvis  </w:t>
      </w:r>
      <w:r w:rsidR="009071B2" w:rsidRPr="00E21C34">
        <w:rPr>
          <w:bCs/>
        </w:rPr>
        <w:t xml:space="preserve">en särlösning som ger Polen </w:t>
      </w:r>
      <w:r w:rsidR="00715AB2" w:rsidRPr="00E21C34">
        <w:rPr>
          <w:bCs/>
        </w:rPr>
        <w:t xml:space="preserve">generösare övergångsregler genom </w:t>
      </w:r>
      <w:r w:rsidR="009071B2" w:rsidRPr="00E21C34">
        <w:rPr>
          <w:bCs/>
        </w:rPr>
        <w:t xml:space="preserve">en något längre genomförandetid än de tre år som nu gäller. </w:t>
      </w:r>
    </w:p>
    <w:p w:rsidR="00B043CC" w:rsidRPr="00E21C34" w:rsidRDefault="00B043CC">
      <w:pPr>
        <w:pStyle w:val="RKrubrik"/>
      </w:pPr>
      <w:r w:rsidRPr="00E21C34">
        <w:t>Europaparlamentets inställning</w:t>
      </w:r>
    </w:p>
    <w:p w:rsidR="00B043CC" w:rsidRPr="00E21C34" w:rsidRDefault="00B043CC">
      <w:pPr>
        <w:pStyle w:val="RKnormal"/>
      </w:pPr>
      <w:r w:rsidRPr="00E21C34">
        <w:t>Europaparlamentet yttrade sig över förslaget i maj 2006. Parlamentet stödde förslaget och hade för egen del ett antal förslag till ändringar av förslagstexterna.</w:t>
      </w:r>
    </w:p>
    <w:p w:rsidR="00B043CC" w:rsidRPr="00E21C34" w:rsidRDefault="00B043CC">
      <w:pPr>
        <w:pStyle w:val="RKrubrik"/>
        <w:rPr>
          <w:i/>
          <w:iCs/>
        </w:rPr>
      </w:pPr>
      <w:r w:rsidRPr="00E21C34">
        <w:rPr>
          <w:i/>
          <w:iCs/>
        </w:rPr>
        <w:t>Förslaget</w:t>
      </w:r>
    </w:p>
    <w:p w:rsidR="00B043CC" w:rsidRPr="00E21C34" w:rsidRDefault="00743DD9">
      <w:pPr>
        <w:pStyle w:val="RKnormal"/>
      </w:pPr>
      <w:r w:rsidRPr="00E21C34">
        <w:t>Följande utestående fråga</w:t>
      </w:r>
      <w:r w:rsidR="00B043CC" w:rsidRPr="00E21C34">
        <w:t xml:space="preserve"> skall diskuteras vid ministermötet. </w:t>
      </w:r>
    </w:p>
    <w:p w:rsidR="00833569" w:rsidRPr="00E21C34" w:rsidRDefault="00833569">
      <w:pPr>
        <w:pStyle w:val="RKnormal"/>
      </w:pPr>
    </w:p>
    <w:p w:rsidR="00674284" w:rsidRPr="00E21C34" w:rsidRDefault="00833569">
      <w:pPr>
        <w:pStyle w:val="RKnormal"/>
      </w:pPr>
      <w:r w:rsidRPr="00E21C34">
        <w:rPr>
          <w:i/>
        </w:rPr>
        <w:t>Eventuell särlösning för Polen</w:t>
      </w:r>
    </w:p>
    <w:p w:rsidR="00833569" w:rsidRPr="00E21C34" w:rsidRDefault="00674284">
      <w:pPr>
        <w:pStyle w:val="RKnormal"/>
      </w:pPr>
      <w:r w:rsidRPr="00E21C34">
        <w:t>ORDF avser att få Polen att godta förslaget till rambeslut. Det är sannolikt att någon form av särlösning kommer att föreslås. ORDF för bilaterala diskussioner med Polen och det är för närvarande oklart vad som kommer att föreslås.</w:t>
      </w:r>
      <w:r w:rsidR="00833569" w:rsidRPr="00E21C34">
        <w:t xml:space="preserve"> På tjänste</w:t>
      </w:r>
      <w:r w:rsidR="00833569" w:rsidRPr="00E21C34">
        <w:softHyphen/>
        <w:t>manna</w:t>
      </w:r>
      <w:r w:rsidR="00833569" w:rsidRPr="00E21C34">
        <w:softHyphen/>
        <w:t>nivå har ORDF</w:t>
      </w:r>
      <w:r w:rsidR="0099773F" w:rsidRPr="00E21C34">
        <w:t xml:space="preserve"> tidigare </w:t>
      </w:r>
      <w:r w:rsidR="00833569" w:rsidRPr="00E21C34">
        <w:t>föreslagit generösare övergångs</w:t>
      </w:r>
      <w:r w:rsidR="00833569" w:rsidRPr="00E21C34">
        <w:softHyphen/>
        <w:t>bestämmelser för Polen</w:t>
      </w:r>
      <w:r w:rsidR="00541D47" w:rsidRPr="00E21C34">
        <w:t>,</w:t>
      </w:r>
      <w:r w:rsidR="00833569" w:rsidRPr="00E21C34">
        <w:t xml:space="preserve"> men utan framgång. </w:t>
      </w:r>
    </w:p>
    <w:p w:rsidR="00B043CC" w:rsidRPr="00E21C34" w:rsidRDefault="00B043CC">
      <w:pPr>
        <w:pStyle w:val="RKrubrik"/>
        <w:rPr>
          <w:i/>
          <w:iCs/>
        </w:rPr>
      </w:pPr>
      <w:r w:rsidRPr="00E21C34">
        <w:rPr>
          <w:i/>
          <w:iCs/>
        </w:rPr>
        <w:t>Gällande svenska regler och förslagets effekter på dessa</w:t>
      </w:r>
    </w:p>
    <w:p w:rsidR="00B043CC" w:rsidRPr="00E21C34" w:rsidRDefault="00B043CC">
      <w:pPr>
        <w:rPr>
          <w:i/>
        </w:rPr>
      </w:pPr>
      <w:r w:rsidRPr="00E21C34">
        <w:t>Lagen (1972:260) om internationellt samarbete rörande verkställighet av brottmålsdom (internationella verkställighetslagen) som implementerar bl.a. 1983 års Europakonvention om överförande av dömda personer och dess tilläggs</w:t>
      </w:r>
      <w:r w:rsidRPr="00E21C34">
        <w:softHyphen/>
        <w:t xml:space="preserve">protokoll förutsätter samtycke från verkställighetslandet (dvs. ett frivilligt system). Enligt 1983 års konvention skall den </w:t>
      </w:r>
      <w:r w:rsidR="00AC4C0D" w:rsidRPr="00E21C34">
        <w:t>dömdes sam</w:t>
      </w:r>
      <w:r w:rsidR="00AC4C0D" w:rsidRPr="00E21C34">
        <w:softHyphen/>
        <w:t xml:space="preserve">tycke alltid krävas </w:t>
      </w:r>
      <w:r w:rsidRPr="00E21C34">
        <w:t>medan tilläggsprotokollet medger avsteg från denna huvudregel i två fall, utvisnings- och flyktfallet. Samtliga med</w:t>
      </w:r>
      <w:r w:rsidRPr="00E21C34">
        <w:softHyphen/>
        <w:t>lems</w:t>
      </w:r>
      <w:r w:rsidRPr="00E21C34">
        <w:softHyphen/>
        <w:t xml:space="preserve">stater har tillträtt 1983 års konvention och 17 av dessa stater har dessutom anslutit sig till tilläggsprotokollet. </w:t>
      </w:r>
    </w:p>
    <w:p w:rsidR="00B043CC" w:rsidRPr="00E21C34" w:rsidRDefault="00B043CC">
      <w:pPr>
        <w:pStyle w:val="RKrubrik"/>
      </w:pPr>
      <w:r w:rsidRPr="00E21C34">
        <w:t>Ekonomiska konsekvenser</w:t>
      </w:r>
    </w:p>
    <w:p w:rsidR="00B043CC" w:rsidRPr="00E21C34" w:rsidRDefault="00B043CC">
      <w:r w:rsidRPr="00E21C34">
        <w:t>De ekonomiska konsekvenserna av förslaget till rambeslut är svåra att förutse, och beror naturligtvis på hur långtgående rambeslutet blir. En viss ökad arbetsbelastning för berörda myndigheter kan inte uteslutas. Emellertid innebär ram</w:t>
      </w:r>
      <w:r w:rsidRPr="00E21C34">
        <w:softHyphen/>
        <w:t>beslutet en (i bästa fall inte obetydlig) besparing genom att fler dömda personer kommer att kunna överföras från</w:t>
      </w:r>
      <w:r w:rsidR="00AC4C0D" w:rsidRPr="00E21C34">
        <w:t xml:space="preserve"> Sverige till sina hemländer, i synnerhet s</w:t>
      </w:r>
      <w:r w:rsidRPr="00E21C34">
        <w:t>om samtycket från den verk</w:t>
      </w:r>
      <w:r w:rsidRPr="00E21C34">
        <w:softHyphen/>
        <w:t>ställande staten och den dömde personen tas bort i flertalet fall. Likaså kommer hand</w:t>
      </w:r>
      <w:r w:rsidRPr="00E21C34">
        <w:softHyphen/>
        <w:t>läggningstiderna att kortas - i bästa fall avsevärt och då med kortare verk</w:t>
      </w:r>
      <w:r w:rsidRPr="00E21C34">
        <w:softHyphen/>
        <w:t>ställighetstider i Sverige som följd. Genomförandet av ram</w:t>
      </w:r>
      <w:r w:rsidRPr="00E21C34">
        <w:softHyphen/>
        <w:t>beslutet bör därför inte medföra några ökade kostnader för de berörda myndig</w:t>
      </w:r>
      <w:r w:rsidRPr="00E21C34">
        <w:softHyphen/>
        <w:t>heterna. Eventuella budgetära konsekvenser skall finansieras inom berörda myndigheters befintliga anslag.</w:t>
      </w:r>
    </w:p>
    <w:p w:rsidR="00B043CC" w:rsidRPr="00E21C34" w:rsidRDefault="00B043CC">
      <w:pPr>
        <w:rPr>
          <w:sz w:val="18"/>
        </w:rPr>
      </w:pPr>
    </w:p>
    <w:p w:rsidR="00B043CC" w:rsidRPr="00E21C34" w:rsidRDefault="00B043CC">
      <w:pPr>
        <w:pStyle w:val="RKnormal"/>
      </w:pPr>
    </w:p>
    <w:sectPr w:rsidR="00B043CC" w:rsidRPr="00E21C3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F0D" w:rsidRPr="00E21C34" w:rsidRDefault="00402F0D">
      <w:r w:rsidRPr="00E21C34">
        <w:separator/>
      </w:r>
    </w:p>
  </w:endnote>
  <w:endnote w:type="continuationSeparator" w:id="0">
    <w:p w:rsidR="00402F0D" w:rsidRPr="00E21C34" w:rsidRDefault="00402F0D">
      <w:r w:rsidRPr="00E21C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F0D" w:rsidRPr="00E21C34" w:rsidRDefault="00402F0D">
      <w:r w:rsidRPr="00E21C34">
        <w:separator/>
      </w:r>
    </w:p>
  </w:footnote>
  <w:footnote w:type="continuationSeparator" w:id="0">
    <w:p w:rsidR="00402F0D" w:rsidRPr="00E21C34" w:rsidRDefault="00402F0D">
      <w:r w:rsidRPr="00E21C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4A9" w:rsidRPr="00E21C34" w:rsidRDefault="005224A9">
    <w:pPr>
      <w:pStyle w:val="Sidhuvud"/>
      <w:framePr w:wrap="around" w:vAnchor="text" w:hAnchor="margin" w:xAlign="right" w:y="1"/>
      <w:rPr>
        <w:rStyle w:val="Sidnummer"/>
      </w:rPr>
    </w:pPr>
    <w:r w:rsidRPr="00E21C34">
      <w:rPr>
        <w:rStyle w:val="Sidnummer"/>
      </w:rPr>
      <w:fldChar w:fldCharType="begin" w:fldLock="1"/>
    </w:r>
    <w:r w:rsidRPr="00E21C34">
      <w:rPr>
        <w:rStyle w:val="Sidnummer"/>
      </w:rPr>
      <w:instrText xml:space="preserve">PAGE  </w:instrText>
    </w:r>
    <w:r w:rsidRPr="00E21C34">
      <w:rPr>
        <w:rStyle w:val="Sidnummer"/>
      </w:rPr>
      <w:fldChar w:fldCharType="separate"/>
    </w:r>
    <w:r w:rsidR="00DC61F6" w:rsidRPr="00E21C34">
      <w:rPr>
        <w:rStyle w:val="Sidnummer"/>
      </w:rPr>
      <w:t>2</w:t>
    </w:r>
    <w:r w:rsidRPr="00E21C3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224A9" w:rsidRPr="00E21C34">
      <w:tblPrEx>
        <w:tblCellMar>
          <w:top w:w="0" w:type="dxa"/>
          <w:bottom w:w="0" w:type="dxa"/>
        </w:tblCellMar>
      </w:tblPrEx>
      <w:trPr>
        <w:cantSplit/>
      </w:trPr>
      <w:tc>
        <w:tcPr>
          <w:tcW w:w="3119" w:type="dxa"/>
        </w:tcPr>
        <w:p w:rsidR="005224A9" w:rsidRPr="00E21C34" w:rsidRDefault="005224A9">
          <w:pPr>
            <w:pStyle w:val="Sidhuvud"/>
            <w:spacing w:line="200" w:lineRule="atLeast"/>
            <w:ind w:right="357"/>
            <w:rPr>
              <w:rFonts w:ascii="TradeGothic" w:hAnsi="TradeGothic"/>
              <w:b/>
              <w:bCs/>
              <w:sz w:val="16"/>
            </w:rPr>
          </w:pPr>
        </w:p>
      </w:tc>
      <w:tc>
        <w:tcPr>
          <w:tcW w:w="4111" w:type="dxa"/>
          <w:tcMar>
            <w:left w:w="567" w:type="dxa"/>
          </w:tcMar>
        </w:tcPr>
        <w:p w:rsidR="005224A9" w:rsidRPr="00E21C34" w:rsidRDefault="005224A9">
          <w:pPr>
            <w:pStyle w:val="Sidhuvud"/>
            <w:ind w:right="360"/>
          </w:pPr>
        </w:p>
      </w:tc>
      <w:tc>
        <w:tcPr>
          <w:tcW w:w="1525" w:type="dxa"/>
        </w:tcPr>
        <w:p w:rsidR="005224A9" w:rsidRPr="00E21C34" w:rsidRDefault="005224A9">
          <w:pPr>
            <w:pStyle w:val="Sidhuvud"/>
            <w:ind w:right="360"/>
          </w:pPr>
        </w:p>
      </w:tc>
    </w:tr>
  </w:tbl>
  <w:p w:rsidR="005224A9" w:rsidRPr="00E21C34" w:rsidRDefault="005224A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4A9" w:rsidRPr="00E21C34" w:rsidRDefault="005224A9">
    <w:pPr>
      <w:pStyle w:val="Sidhuvud"/>
      <w:framePr w:wrap="around" w:vAnchor="text" w:hAnchor="margin" w:xAlign="right" w:y="1"/>
      <w:rPr>
        <w:rStyle w:val="Sidnummer"/>
      </w:rPr>
    </w:pPr>
    <w:r w:rsidRPr="00E21C34">
      <w:rPr>
        <w:rStyle w:val="Sidnummer"/>
      </w:rPr>
      <w:fldChar w:fldCharType="begin" w:fldLock="1"/>
    </w:r>
    <w:r w:rsidRPr="00E21C34">
      <w:rPr>
        <w:rStyle w:val="Sidnummer"/>
      </w:rPr>
      <w:instrText xml:space="preserve">PAGE  </w:instrText>
    </w:r>
    <w:r w:rsidRPr="00E21C34">
      <w:rPr>
        <w:rStyle w:val="Sidnummer"/>
      </w:rPr>
      <w:fldChar w:fldCharType="separate"/>
    </w:r>
    <w:r w:rsidR="00DC61F6" w:rsidRPr="00E21C34">
      <w:rPr>
        <w:rStyle w:val="Sidnummer"/>
      </w:rPr>
      <w:t>3</w:t>
    </w:r>
    <w:r w:rsidRPr="00E21C3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224A9" w:rsidRPr="00E21C34">
      <w:tblPrEx>
        <w:tblCellMar>
          <w:top w:w="0" w:type="dxa"/>
          <w:bottom w:w="0" w:type="dxa"/>
        </w:tblCellMar>
      </w:tblPrEx>
      <w:trPr>
        <w:cantSplit/>
      </w:trPr>
      <w:tc>
        <w:tcPr>
          <w:tcW w:w="3119" w:type="dxa"/>
        </w:tcPr>
        <w:p w:rsidR="005224A9" w:rsidRPr="00E21C34" w:rsidRDefault="005224A9">
          <w:pPr>
            <w:pStyle w:val="Sidhuvud"/>
            <w:spacing w:line="200" w:lineRule="atLeast"/>
            <w:ind w:right="357"/>
            <w:rPr>
              <w:rFonts w:ascii="TradeGothic" w:hAnsi="TradeGothic"/>
              <w:b/>
              <w:bCs/>
              <w:sz w:val="16"/>
            </w:rPr>
          </w:pPr>
        </w:p>
      </w:tc>
      <w:tc>
        <w:tcPr>
          <w:tcW w:w="4111" w:type="dxa"/>
          <w:tcMar>
            <w:left w:w="567" w:type="dxa"/>
          </w:tcMar>
        </w:tcPr>
        <w:p w:rsidR="005224A9" w:rsidRPr="00E21C34" w:rsidRDefault="005224A9">
          <w:pPr>
            <w:pStyle w:val="Sidhuvud"/>
            <w:ind w:right="360"/>
          </w:pPr>
        </w:p>
      </w:tc>
      <w:tc>
        <w:tcPr>
          <w:tcW w:w="1525" w:type="dxa"/>
        </w:tcPr>
        <w:p w:rsidR="005224A9" w:rsidRPr="00E21C34" w:rsidRDefault="005224A9">
          <w:pPr>
            <w:pStyle w:val="Sidhuvud"/>
            <w:ind w:right="360"/>
          </w:pPr>
        </w:p>
      </w:tc>
    </w:tr>
  </w:tbl>
  <w:p w:rsidR="005224A9" w:rsidRPr="00E21C34" w:rsidRDefault="005224A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4A9" w:rsidRPr="00E21C34" w:rsidRDefault="00E21C34">
    <w:pPr>
      <w:framePr w:w="2948" w:h="1321" w:hRule="exact" w:wrap="notBeside" w:vAnchor="page" w:hAnchor="page" w:x="1362" w:y="653"/>
    </w:pPr>
    <w:r w:rsidRPr="00E21C3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224A9" w:rsidRPr="00E21C34" w:rsidRDefault="005224A9">
    <w:pPr>
      <w:pStyle w:val="RKrubrik"/>
      <w:keepNext w:val="0"/>
      <w:tabs>
        <w:tab w:val="clear" w:pos="1134"/>
        <w:tab w:val="clear" w:pos="2835"/>
      </w:tabs>
      <w:spacing w:before="0" w:after="0" w:line="320" w:lineRule="atLeast"/>
      <w:rPr>
        <w:bCs/>
      </w:rPr>
    </w:pPr>
  </w:p>
  <w:p w:rsidR="005224A9" w:rsidRPr="00E21C34" w:rsidRDefault="005224A9">
    <w:pPr>
      <w:rPr>
        <w:rFonts w:ascii="TradeGothic" w:hAnsi="TradeGothic"/>
        <w:b/>
        <w:bCs/>
        <w:spacing w:val="12"/>
        <w:sz w:val="22"/>
      </w:rPr>
    </w:pPr>
  </w:p>
  <w:p w:rsidR="005224A9" w:rsidRPr="00E21C34" w:rsidRDefault="005224A9">
    <w:pPr>
      <w:pStyle w:val="RKrubrik"/>
      <w:keepNext w:val="0"/>
      <w:tabs>
        <w:tab w:val="clear" w:pos="1134"/>
        <w:tab w:val="clear" w:pos="2835"/>
      </w:tabs>
      <w:spacing w:before="0" w:after="0" w:line="320" w:lineRule="atLeast"/>
      <w:rPr>
        <w:bCs/>
      </w:rPr>
    </w:pPr>
  </w:p>
  <w:p w:rsidR="005224A9" w:rsidRPr="00E21C34" w:rsidRDefault="005224A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AC3A28"/>
    <w:rsid w:val="00002638"/>
    <w:rsid w:val="00017EF9"/>
    <w:rsid w:val="00022BBB"/>
    <w:rsid w:val="000812FB"/>
    <w:rsid w:val="001331BE"/>
    <w:rsid w:val="00140CE7"/>
    <w:rsid w:val="00175280"/>
    <w:rsid w:val="00183EA2"/>
    <w:rsid w:val="001D4C75"/>
    <w:rsid w:val="001E2533"/>
    <w:rsid w:val="0027390D"/>
    <w:rsid w:val="002E4AB8"/>
    <w:rsid w:val="003A3F8E"/>
    <w:rsid w:val="003D0648"/>
    <w:rsid w:val="003D13DC"/>
    <w:rsid w:val="00402F0D"/>
    <w:rsid w:val="004067E5"/>
    <w:rsid w:val="00437078"/>
    <w:rsid w:val="005224A9"/>
    <w:rsid w:val="00541D47"/>
    <w:rsid w:val="005E0B5E"/>
    <w:rsid w:val="005E0E6C"/>
    <w:rsid w:val="00674284"/>
    <w:rsid w:val="00715AB2"/>
    <w:rsid w:val="00743DD9"/>
    <w:rsid w:val="00783AFD"/>
    <w:rsid w:val="008140D6"/>
    <w:rsid w:val="00833569"/>
    <w:rsid w:val="00847C8D"/>
    <w:rsid w:val="008D4ACF"/>
    <w:rsid w:val="009071B2"/>
    <w:rsid w:val="0099773F"/>
    <w:rsid w:val="009A7CF1"/>
    <w:rsid w:val="00AC3A28"/>
    <w:rsid w:val="00AC4C0D"/>
    <w:rsid w:val="00B043CC"/>
    <w:rsid w:val="00C33D64"/>
    <w:rsid w:val="00D82AA7"/>
    <w:rsid w:val="00DC61F6"/>
    <w:rsid w:val="00E21C3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114E73-DC1D-46B3-B7A7-1F23DF70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normal0">
    <w:name w:val="normal"/>
    <w:basedOn w:val="Normal"/>
    <w:pPr>
      <w:overflowPunct/>
      <w:autoSpaceDE/>
      <w:autoSpaceDN/>
      <w:adjustRightInd/>
      <w:spacing w:before="100" w:after="20" w:line="240" w:lineRule="auto"/>
      <w:textAlignment w:val="auto"/>
    </w:pPr>
    <w:rPr>
      <w:rFonts w:ascii="Arial Unicode MS" w:eastAsia="Arial Unicode MS" w:hAnsi="Arial Unicode MS" w:cs="Arial Unicode MS"/>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774</Words>
  <Characters>4944</Characters>
  <Application>Microsoft Office Word</Application>
  <DocSecurity>4</DocSecurity>
  <Lines>123</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2007-02-02T08:12:00Z</cp:lastPrinted>
  <dcterms:created xsi:type="dcterms:W3CDTF">2025-12-17T04:02:00Z</dcterms:created>
  <dcterms:modified xsi:type="dcterms:W3CDTF">2025-12-17T04:02:00Z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