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B1C" w:rsidRPr="00162084" w:rsidRDefault="00162B1C">
      <w:pPr>
        <w:pStyle w:val="Rubrik1"/>
        <w:shd w:val="clear" w:color="000000" w:fill="auto"/>
        <w:spacing w:before="600"/>
      </w:pPr>
      <w:r w:rsidRPr="00162084">
        <w:t>Sammanfattning</w:t>
      </w:r>
    </w:p>
    <w:p w:rsidR="00162B1C" w:rsidRPr="00162084" w:rsidRDefault="00162B1C">
      <w:pPr>
        <w:shd w:val="clear" w:color="000000" w:fill="auto"/>
      </w:pPr>
      <w:r w:rsidRPr="00162084">
        <w:t>Vänsterpartiet är kritiskt till regeringens inriktning på integrationspolitiken eftersom den främst handlar om tvångsåtgärder riktade mot personer med utländsk bakgrund snarare än om att skapa de förutsättningar som är nödvä</w:t>
      </w:r>
      <w:r w:rsidRPr="00162084">
        <w:t>n</w:t>
      </w:r>
      <w:r w:rsidRPr="00162084">
        <w:t>diga för lika rättigheter på arbetsmarknaden, bostadsmarknaden, i skolan och så vidare. Vi föreslår att en lagstiftning ska införas som gör samtliga komm</w:t>
      </w:r>
      <w:r w:rsidRPr="00162084">
        <w:t>u</w:t>
      </w:r>
      <w:r w:rsidRPr="00162084">
        <w:t>ner skyldiga att ta emot flyktingar. Vi förstärker dessutom anslaget för att höja schablonersättningen med avsikt att höja kvaliteten och ambitionsnivån på flyktingmottagandet samt för en förlängning av ansökningstiden för anh</w:t>
      </w:r>
      <w:r w:rsidRPr="00162084">
        <w:t>ö</w:t>
      </w:r>
      <w:r w:rsidRPr="00162084">
        <w:t>riginvandrare att omfattas av den kommunala introduktionen. Vi avvisar r</w:t>
      </w:r>
      <w:r w:rsidRPr="00162084">
        <w:t>e</w:t>
      </w:r>
      <w:r w:rsidRPr="00162084">
        <w:t>geringens satsning på lotsar i etableringsprocessen. Vi a</w:t>
      </w:r>
      <w:r w:rsidRPr="00162084">
        <w:t>vvisar också rege</w:t>
      </w:r>
      <w:r w:rsidRPr="00162084">
        <w:t>r</w:t>
      </w:r>
      <w:r w:rsidRPr="00162084">
        <w:t>ingens sfi-bonus.</w:t>
      </w:r>
    </w:p>
    <w:p w:rsidR="00162B1C" w:rsidRPr="00162084" w:rsidRDefault="00162B1C">
      <w:pPr>
        <w:pStyle w:val="Frslagsrubrik"/>
        <w:shd w:val="clear" w:color="000000" w:fill="auto"/>
        <w:spacing w:before="600"/>
      </w:pPr>
      <w:r w:rsidRPr="00162084">
        <w:t>Förslag till riksdagsbeslut</w:t>
      </w:r>
    </w:p>
    <w:p w:rsidR="00162B1C" w:rsidRPr="00162084" w:rsidRDefault="00162B1C">
      <w:pPr>
        <w:pStyle w:val="Hemstlatt"/>
        <w:shd w:val="clear" w:color="000000" w:fill="auto"/>
        <w:ind w:left="0"/>
      </w:pPr>
      <w:r w:rsidRPr="00162084">
        <w:t>Riksdagen anvisar med följande ändringar i förhålla</w:t>
      </w:r>
      <w:r w:rsidRPr="00162084">
        <w:t>n</w:t>
      </w:r>
      <w:r w:rsidRPr="00162084">
        <w:t>de till regeringens förslag anslagen under utgiftsområde 13 Integration och jämställdhet enligt uppställning:</w:t>
      </w:r>
    </w:p>
    <w:tbl>
      <w:tblPr>
        <w:tblW w:w="6427"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11"/>
        <w:gridCol w:w="2664"/>
        <w:gridCol w:w="1440"/>
        <w:gridCol w:w="1612"/>
      </w:tblGrid>
      <w:tr w:rsidR="00000000" w:rsidRPr="00162084">
        <w:tc>
          <w:tcPr>
            <w:tcW w:w="711" w:type="dxa"/>
            <w:tcBorders>
              <w:top w:val="single" w:sz="4" w:space="0" w:color="auto"/>
              <w:bottom w:val="single" w:sz="4" w:space="0" w:color="auto"/>
            </w:tcBorders>
          </w:tcPr>
          <w:p w:rsidR="00162B1C" w:rsidRPr="00162084" w:rsidRDefault="00162B1C">
            <w:pPr>
              <w:shd w:val="clear" w:color="000000" w:fill="auto"/>
              <w:spacing w:before="60" w:line="200" w:lineRule="exact"/>
              <w:rPr>
                <w:b/>
                <w:bCs/>
                <w:color w:val="000000"/>
                <w:sz w:val="16"/>
                <w:szCs w:val="16"/>
              </w:rPr>
            </w:pPr>
            <w:r w:rsidRPr="00162084">
              <w:rPr>
                <w:b/>
                <w:bCs/>
                <w:color w:val="000000"/>
                <w:sz w:val="16"/>
                <w:szCs w:val="16"/>
              </w:rPr>
              <w:t>Anslag</w:t>
            </w:r>
          </w:p>
        </w:tc>
        <w:tc>
          <w:tcPr>
            <w:tcW w:w="2664" w:type="dxa"/>
            <w:tcBorders>
              <w:top w:val="single" w:sz="4" w:space="0" w:color="auto"/>
              <w:bottom w:val="single" w:sz="4" w:space="0" w:color="auto"/>
            </w:tcBorders>
          </w:tcPr>
          <w:p w:rsidR="00162B1C" w:rsidRPr="00162084" w:rsidRDefault="00162B1C">
            <w:pPr>
              <w:shd w:val="clear" w:color="000000" w:fill="auto"/>
              <w:spacing w:before="60" w:line="200" w:lineRule="exact"/>
              <w:rPr>
                <w:b/>
                <w:bCs/>
                <w:color w:val="000000"/>
                <w:sz w:val="16"/>
                <w:szCs w:val="16"/>
              </w:rPr>
            </w:pPr>
          </w:p>
        </w:tc>
        <w:tc>
          <w:tcPr>
            <w:tcW w:w="1440" w:type="dxa"/>
            <w:tcBorders>
              <w:top w:val="single" w:sz="4" w:space="0" w:color="auto"/>
              <w:bottom w:val="single" w:sz="4" w:space="0" w:color="auto"/>
            </w:tcBorders>
          </w:tcPr>
          <w:p w:rsidR="00162B1C" w:rsidRPr="00162084" w:rsidRDefault="00162B1C">
            <w:pPr>
              <w:shd w:val="clear" w:color="000000" w:fill="auto"/>
              <w:spacing w:before="60" w:line="200" w:lineRule="exact"/>
              <w:jc w:val="right"/>
              <w:rPr>
                <w:b/>
                <w:bCs/>
                <w:color w:val="000000"/>
                <w:sz w:val="16"/>
                <w:szCs w:val="16"/>
              </w:rPr>
            </w:pPr>
            <w:r w:rsidRPr="00162084">
              <w:rPr>
                <w:b/>
                <w:bCs/>
                <w:color w:val="000000"/>
                <w:sz w:val="16"/>
                <w:szCs w:val="16"/>
              </w:rPr>
              <w:t>Regeringens fö</w:t>
            </w:r>
            <w:r w:rsidRPr="00162084">
              <w:rPr>
                <w:b/>
                <w:bCs/>
                <w:color w:val="000000"/>
                <w:sz w:val="16"/>
                <w:szCs w:val="16"/>
              </w:rPr>
              <w:t>r</w:t>
            </w:r>
            <w:r w:rsidRPr="00162084">
              <w:rPr>
                <w:b/>
                <w:bCs/>
                <w:color w:val="000000"/>
                <w:sz w:val="16"/>
                <w:szCs w:val="16"/>
              </w:rPr>
              <w:t>slag (tkr)</w:t>
            </w:r>
          </w:p>
        </w:tc>
        <w:tc>
          <w:tcPr>
            <w:tcW w:w="1612" w:type="dxa"/>
            <w:tcBorders>
              <w:top w:val="single" w:sz="4" w:space="0" w:color="auto"/>
              <w:bottom w:val="single" w:sz="4" w:space="0" w:color="auto"/>
            </w:tcBorders>
          </w:tcPr>
          <w:p w:rsidR="00162B1C" w:rsidRPr="00162084" w:rsidRDefault="00162B1C">
            <w:pPr>
              <w:shd w:val="clear" w:color="000000" w:fill="auto"/>
              <w:spacing w:before="60" w:line="200" w:lineRule="exact"/>
              <w:jc w:val="right"/>
              <w:rPr>
                <w:b/>
                <w:bCs/>
                <w:color w:val="000000"/>
                <w:sz w:val="16"/>
                <w:szCs w:val="16"/>
              </w:rPr>
            </w:pPr>
            <w:r w:rsidRPr="00162084">
              <w:rPr>
                <w:b/>
                <w:bCs/>
                <w:color w:val="000000"/>
                <w:sz w:val="16"/>
                <w:szCs w:val="16"/>
              </w:rPr>
              <w:t>Anslagsförändring (tkr)</w:t>
            </w:r>
          </w:p>
        </w:tc>
      </w:tr>
      <w:tr w:rsidR="00000000" w:rsidRPr="00162084">
        <w:tc>
          <w:tcPr>
            <w:tcW w:w="711" w:type="dxa"/>
            <w:tcBorders>
              <w:top w:val="single" w:sz="4" w:space="0" w:color="auto"/>
            </w:tcBorders>
          </w:tcPr>
          <w:p w:rsidR="00162B1C" w:rsidRPr="00162084" w:rsidRDefault="00162B1C">
            <w:pPr>
              <w:shd w:val="clear" w:color="000000" w:fill="auto"/>
              <w:spacing w:before="60" w:line="200" w:lineRule="exact"/>
              <w:rPr>
                <w:color w:val="000000"/>
                <w:sz w:val="16"/>
                <w:szCs w:val="16"/>
              </w:rPr>
            </w:pPr>
            <w:r w:rsidRPr="00162084">
              <w:rPr>
                <w:color w:val="000000"/>
                <w:sz w:val="16"/>
                <w:szCs w:val="16"/>
              </w:rPr>
              <w:t>1:1</w:t>
            </w:r>
          </w:p>
        </w:tc>
        <w:tc>
          <w:tcPr>
            <w:tcW w:w="2664" w:type="dxa"/>
            <w:tcBorders>
              <w:top w:val="single" w:sz="4" w:space="0" w:color="auto"/>
            </w:tcBorders>
          </w:tcPr>
          <w:p w:rsidR="00162B1C" w:rsidRPr="00162084" w:rsidRDefault="00162B1C">
            <w:pPr>
              <w:shd w:val="clear" w:color="000000" w:fill="auto"/>
              <w:spacing w:before="60" w:line="200" w:lineRule="exact"/>
              <w:rPr>
                <w:color w:val="000000"/>
                <w:sz w:val="16"/>
                <w:szCs w:val="16"/>
              </w:rPr>
            </w:pPr>
            <w:r w:rsidRPr="00162084">
              <w:rPr>
                <w:color w:val="000000"/>
                <w:sz w:val="16"/>
                <w:szCs w:val="16"/>
              </w:rPr>
              <w:t>Integrationsåtgärder</w:t>
            </w:r>
          </w:p>
        </w:tc>
        <w:tc>
          <w:tcPr>
            <w:tcW w:w="1440" w:type="dxa"/>
            <w:tcBorders>
              <w:top w:val="single" w:sz="4" w:space="0" w:color="auto"/>
            </w:tcBorders>
          </w:tcPr>
          <w:p w:rsidR="00162B1C" w:rsidRPr="00162084" w:rsidRDefault="00162B1C">
            <w:pPr>
              <w:shd w:val="clear" w:color="000000" w:fill="auto"/>
              <w:spacing w:before="60" w:line="200" w:lineRule="exact"/>
              <w:jc w:val="right"/>
              <w:rPr>
                <w:color w:val="000000"/>
                <w:sz w:val="16"/>
                <w:szCs w:val="16"/>
              </w:rPr>
            </w:pPr>
            <w:r w:rsidRPr="00162084">
              <w:rPr>
                <w:color w:val="000000"/>
                <w:sz w:val="16"/>
                <w:szCs w:val="16"/>
              </w:rPr>
              <w:t>131 000</w:t>
            </w:r>
          </w:p>
        </w:tc>
        <w:tc>
          <w:tcPr>
            <w:tcW w:w="1612" w:type="dxa"/>
            <w:tcBorders>
              <w:top w:val="single" w:sz="4" w:space="0" w:color="auto"/>
            </w:tcBorders>
          </w:tcPr>
          <w:p w:rsidR="00162B1C" w:rsidRPr="00162084" w:rsidRDefault="00162B1C">
            <w:pPr>
              <w:shd w:val="clear" w:color="000000" w:fill="auto"/>
              <w:spacing w:before="60" w:line="200" w:lineRule="exact"/>
              <w:jc w:val="right"/>
              <w:rPr>
                <w:color w:val="000000"/>
                <w:sz w:val="16"/>
                <w:szCs w:val="16"/>
              </w:rPr>
            </w:pPr>
            <w:r w:rsidRPr="00162084">
              <w:rPr>
                <w:color w:val="000000"/>
                <w:sz w:val="16"/>
                <w:szCs w:val="16"/>
              </w:rPr>
              <w:t>–85 000</w:t>
            </w:r>
          </w:p>
        </w:tc>
      </w:tr>
      <w:tr w:rsidR="00000000" w:rsidRPr="00162084">
        <w:tc>
          <w:tcPr>
            <w:tcW w:w="711" w:type="dxa"/>
          </w:tcPr>
          <w:p w:rsidR="00162B1C" w:rsidRPr="00162084" w:rsidRDefault="00162B1C">
            <w:pPr>
              <w:shd w:val="clear" w:color="000000" w:fill="auto"/>
              <w:spacing w:before="60" w:line="200" w:lineRule="exact"/>
              <w:rPr>
                <w:color w:val="000000"/>
                <w:sz w:val="16"/>
                <w:szCs w:val="16"/>
              </w:rPr>
            </w:pPr>
            <w:r w:rsidRPr="00162084">
              <w:rPr>
                <w:color w:val="000000"/>
                <w:sz w:val="16"/>
                <w:szCs w:val="16"/>
              </w:rPr>
              <w:t>1:2</w:t>
            </w:r>
          </w:p>
        </w:tc>
        <w:tc>
          <w:tcPr>
            <w:tcW w:w="2664" w:type="dxa"/>
          </w:tcPr>
          <w:p w:rsidR="00162B1C" w:rsidRPr="00162084" w:rsidRDefault="00162B1C">
            <w:pPr>
              <w:shd w:val="clear" w:color="000000" w:fill="auto"/>
              <w:spacing w:before="60" w:line="200" w:lineRule="exact"/>
              <w:rPr>
                <w:color w:val="000000"/>
                <w:sz w:val="16"/>
                <w:szCs w:val="16"/>
              </w:rPr>
            </w:pPr>
            <w:r w:rsidRPr="00162084">
              <w:rPr>
                <w:color w:val="000000"/>
                <w:sz w:val="16"/>
                <w:szCs w:val="16"/>
              </w:rPr>
              <w:t>Kommunersättningar vid flyktingmo</w:t>
            </w:r>
            <w:r w:rsidRPr="00162084">
              <w:rPr>
                <w:color w:val="000000"/>
                <w:sz w:val="16"/>
                <w:szCs w:val="16"/>
              </w:rPr>
              <w:t>t</w:t>
            </w:r>
            <w:r w:rsidRPr="00162084">
              <w:rPr>
                <w:color w:val="000000"/>
                <w:sz w:val="16"/>
                <w:szCs w:val="16"/>
              </w:rPr>
              <w:t>tagande</w:t>
            </w:r>
          </w:p>
        </w:tc>
        <w:tc>
          <w:tcPr>
            <w:tcW w:w="1440" w:type="dxa"/>
            <w:vAlign w:val="bottom"/>
          </w:tcPr>
          <w:p w:rsidR="00162B1C" w:rsidRPr="00162084" w:rsidRDefault="00162B1C">
            <w:pPr>
              <w:shd w:val="clear" w:color="000000" w:fill="auto"/>
              <w:spacing w:before="60" w:line="200" w:lineRule="exact"/>
              <w:jc w:val="right"/>
              <w:rPr>
                <w:color w:val="000000"/>
                <w:sz w:val="16"/>
                <w:szCs w:val="16"/>
              </w:rPr>
            </w:pPr>
            <w:r w:rsidRPr="00162084">
              <w:rPr>
                <w:color w:val="000000"/>
                <w:sz w:val="16"/>
                <w:szCs w:val="16"/>
              </w:rPr>
              <w:t>4 755 000</w:t>
            </w:r>
          </w:p>
        </w:tc>
        <w:tc>
          <w:tcPr>
            <w:tcW w:w="1612" w:type="dxa"/>
            <w:vAlign w:val="bottom"/>
          </w:tcPr>
          <w:p w:rsidR="00162B1C" w:rsidRPr="00162084" w:rsidRDefault="00162B1C">
            <w:pPr>
              <w:shd w:val="clear" w:color="000000" w:fill="auto"/>
              <w:spacing w:before="60" w:line="200" w:lineRule="exact"/>
              <w:jc w:val="right"/>
              <w:rPr>
                <w:color w:val="000000"/>
                <w:sz w:val="16"/>
                <w:szCs w:val="16"/>
              </w:rPr>
            </w:pPr>
            <w:r w:rsidRPr="00162084">
              <w:rPr>
                <w:color w:val="000000"/>
                <w:sz w:val="16"/>
                <w:szCs w:val="16"/>
              </w:rPr>
              <w:t>+500 000</w:t>
            </w:r>
          </w:p>
        </w:tc>
      </w:tr>
      <w:tr w:rsidR="00000000" w:rsidRPr="00162084">
        <w:tc>
          <w:tcPr>
            <w:tcW w:w="711" w:type="dxa"/>
          </w:tcPr>
          <w:p w:rsidR="00162B1C" w:rsidRPr="00162084" w:rsidRDefault="00162B1C">
            <w:pPr>
              <w:shd w:val="clear" w:color="000000" w:fill="auto"/>
              <w:spacing w:before="60" w:line="200" w:lineRule="exact"/>
              <w:rPr>
                <w:color w:val="000000"/>
                <w:sz w:val="16"/>
                <w:szCs w:val="16"/>
              </w:rPr>
            </w:pPr>
            <w:r w:rsidRPr="00162084">
              <w:rPr>
                <w:color w:val="000000"/>
                <w:sz w:val="16"/>
                <w:szCs w:val="16"/>
              </w:rPr>
              <w:t>1:3</w:t>
            </w:r>
          </w:p>
        </w:tc>
        <w:tc>
          <w:tcPr>
            <w:tcW w:w="2664" w:type="dxa"/>
          </w:tcPr>
          <w:p w:rsidR="00162B1C" w:rsidRPr="00162084" w:rsidRDefault="00162B1C">
            <w:pPr>
              <w:shd w:val="clear" w:color="000000" w:fill="auto"/>
              <w:spacing w:before="60" w:line="200" w:lineRule="exact"/>
              <w:rPr>
                <w:color w:val="000000"/>
                <w:sz w:val="16"/>
                <w:szCs w:val="16"/>
              </w:rPr>
            </w:pPr>
            <w:r w:rsidRPr="00162084">
              <w:rPr>
                <w:color w:val="000000"/>
                <w:sz w:val="16"/>
                <w:szCs w:val="16"/>
              </w:rPr>
              <w:t>Etableringsersättning till vissa nya</w:t>
            </w:r>
            <w:r w:rsidRPr="00162084">
              <w:rPr>
                <w:color w:val="000000"/>
                <w:sz w:val="16"/>
                <w:szCs w:val="16"/>
              </w:rPr>
              <w:t>n</w:t>
            </w:r>
            <w:r w:rsidRPr="00162084">
              <w:rPr>
                <w:color w:val="000000"/>
                <w:sz w:val="16"/>
                <w:szCs w:val="16"/>
              </w:rPr>
              <w:t>lända invandrare</w:t>
            </w:r>
          </w:p>
        </w:tc>
        <w:tc>
          <w:tcPr>
            <w:tcW w:w="1440" w:type="dxa"/>
            <w:vAlign w:val="bottom"/>
          </w:tcPr>
          <w:p w:rsidR="00162B1C" w:rsidRPr="00162084" w:rsidRDefault="00162B1C">
            <w:pPr>
              <w:shd w:val="clear" w:color="000000" w:fill="auto"/>
              <w:spacing w:before="60" w:line="200" w:lineRule="exact"/>
              <w:jc w:val="right"/>
              <w:rPr>
                <w:color w:val="000000"/>
                <w:sz w:val="16"/>
                <w:szCs w:val="16"/>
              </w:rPr>
            </w:pPr>
            <w:r w:rsidRPr="00162084">
              <w:rPr>
                <w:color w:val="000000"/>
                <w:sz w:val="16"/>
                <w:szCs w:val="16"/>
              </w:rPr>
              <w:t>997 000</w:t>
            </w:r>
          </w:p>
        </w:tc>
        <w:tc>
          <w:tcPr>
            <w:tcW w:w="1612" w:type="dxa"/>
            <w:vAlign w:val="bottom"/>
          </w:tcPr>
          <w:p w:rsidR="00162B1C" w:rsidRPr="00162084" w:rsidRDefault="00162B1C">
            <w:pPr>
              <w:shd w:val="clear" w:color="000000" w:fill="auto"/>
              <w:spacing w:before="60" w:line="200" w:lineRule="exact"/>
              <w:jc w:val="right"/>
              <w:rPr>
                <w:color w:val="000000"/>
                <w:sz w:val="16"/>
                <w:szCs w:val="16"/>
              </w:rPr>
            </w:pPr>
            <w:r w:rsidRPr="00162084">
              <w:rPr>
                <w:color w:val="000000"/>
                <w:sz w:val="16"/>
                <w:szCs w:val="16"/>
              </w:rPr>
              <w:t>+30 000</w:t>
            </w:r>
          </w:p>
        </w:tc>
      </w:tr>
      <w:tr w:rsidR="00000000" w:rsidRPr="00162084">
        <w:tc>
          <w:tcPr>
            <w:tcW w:w="711" w:type="dxa"/>
          </w:tcPr>
          <w:p w:rsidR="00162B1C" w:rsidRPr="00162084" w:rsidRDefault="00162B1C">
            <w:pPr>
              <w:shd w:val="clear" w:color="000000" w:fill="auto"/>
              <w:spacing w:before="60" w:line="200" w:lineRule="exact"/>
              <w:rPr>
                <w:color w:val="000000"/>
                <w:sz w:val="16"/>
                <w:szCs w:val="16"/>
              </w:rPr>
            </w:pPr>
            <w:r w:rsidRPr="00162084">
              <w:rPr>
                <w:color w:val="000000"/>
                <w:sz w:val="16"/>
                <w:szCs w:val="16"/>
              </w:rPr>
              <w:t>1:4</w:t>
            </w:r>
          </w:p>
        </w:tc>
        <w:tc>
          <w:tcPr>
            <w:tcW w:w="2664" w:type="dxa"/>
          </w:tcPr>
          <w:p w:rsidR="00162B1C" w:rsidRPr="00162084" w:rsidRDefault="00162B1C">
            <w:pPr>
              <w:shd w:val="clear" w:color="000000" w:fill="auto"/>
              <w:spacing w:before="60" w:line="200" w:lineRule="exact"/>
              <w:rPr>
                <w:color w:val="000000"/>
                <w:sz w:val="16"/>
                <w:szCs w:val="16"/>
              </w:rPr>
            </w:pPr>
            <w:r w:rsidRPr="00162084">
              <w:rPr>
                <w:color w:val="000000"/>
                <w:sz w:val="16"/>
                <w:szCs w:val="16"/>
              </w:rPr>
              <w:t>Ersättning till etableringslotsar och insatser för vissa nyanlända invandrare</w:t>
            </w:r>
          </w:p>
        </w:tc>
        <w:tc>
          <w:tcPr>
            <w:tcW w:w="1440" w:type="dxa"/>
            <w:vAlign w:val="bottom"/>
          </w:tcPr>
          <w:p w:rsidR="00162B1C" w:rsidRPr="00162084" w:rsidRDefault="00162B1C">
            <w:pPr>
              <w:shd w:val="clear" w:color="000000" w:fill="auto"/>
              <w:spacing w:before="60" w:line="200" w:lineRule="exact"/>
              <w:jc w:val="right"/>
              <w:rPr>
                <w:color w:val="000000"/>
                <w:sz w:val="16"/>
                <w:szCs w:val="16"/>
              </w:rPr>
            </w:pPr>
            <w:r w:rsidRPr="00162084">
              <w:rPr>
                <w:color w:val="000000"/>
                <w:sz w:val="16"/>
                <w:szCs w:val="16"/>
              </w:rPr>
              <w:t>900 000</w:t>
            </w:r>
          </w:p>
        </w:tc>
        <w:tc>
          <w:tcPr>
            <w:tcW w:w="1612" w:type="dxa"/>
            <w:vAlign w:val="bottom"/>
          </w:tcPr>
          <w:p w:rsidR="00162B1C" w:rsidRPr="00162084" w:rsidRDefault="00162B1C">
            <w:pPr>
              <w:shd w:val="clear" w:color="000000" w:fill="auto"/>
              <w:spacing w:before="60" w:line="200" w:lineRule="exact"/>
              <w:jc w:val="right"/>
              <w:rPr>
                <w:color w:val="000000"/>
                <w:sz w:val="16"/>
                <w:szCs w:val="16"/>
              </w:rPr>
            </w:pPr>
            <w:r w:rsidRPr="00162084">
              <w:rPr>
                <w:color w:val="000000"/>
                <w:sz w:val="16"/>
                <w:szCs w:val="16"/>
              </w:rPr>
              <w:t>–900 000</w:t>
            </w:r>
          </w:p>
        </w:tc>
      </w:tr>
      <w:tr w:rsidR="00000000" w:rsidRPr="00162084">
        <w:tc>
          <w:tcPr>
            <w:tcW w:w="711" w:type="dxa"/>
          </w:tcPr>
          <w:p w:rsidR="00162B1C" w:rsidRPr="00162084" w:rsidRDefault="00162B1C">
            <w:pPr>
              <w:shd w:val="clear" w:color="000000" w:fill="auto"/>
              <w:spacing w:before="60" w:line="200" w:lineRule="exact"/>
              <w:rPr>
                <w:color w:val="000000"/>
                <w:sz w:val="16"/>
                <w:szCs w:val="16"/>
              </w:rPr>
            </w:pPr>
            <w:r w:rsidRPr="00162084">
              <w:rPr>
                <w:color w:val="000000"/>
                <w:sz w:val="16"/>
                <w:szCs w:val="16"/>
              </w:rPr>
              <w:t>2:1</w:t>
            </w:r>
          </w:p>
        </w:tc>
        <w:tc>
          <w:tcPr>
            <w:tcW w:w="2664" w:type="dxa"/>
          </w:tcPr>
          <w:p w:rsidR="00162B1C" w:rsidRPr="00162084" w:rsidRDefault="00162B1C">
            <w:pPr>
              <w:shd w:val="clear" w:color="000000" w:fill="auto"/>
              <w:spacing w:before="60" w:line="200" w:lineRule="exact"/>
              <w:rPr>
                <w:color w:val="000000"/>
                <w:sz w:val="16"/>
                <w:szCs w:val="16"/>
              </w:rPr>
            </w:pPr>
            <w:r w:rsidRPr="00162084">
              <w:rPr>
                <w:color w:val="000000"/>
                <w:sz w:val="16"/>
                <w:szCs w:val="16"/>
              </w:rPr>
              <w:t>Diskrimineringsombudsmannen</w:t>
            </w:r>
          </w:p>
        </w:tc>
        <w:tc>
          <w:tcPr>
            <w:tcW w:w="1440" w:type="dxa"/>
            <w:vAlign w:val="bottom"/>
          </w:tcPr>
          <w:p w:rsidR="00162B1C" w:rsidRPr="00162084" w:rsidRDefault="00162B1C">
            <w:pPr>
              <w:shd w:val="clear" w:color="000000" w:fill="auto"/>
              <w:spacing w:before="60" w:line="200" w:lineRule="exact"/>
              <w:jc w:val="right"/>
              <w:rPr>
                <w:color w:val="000000"/>
                <w:sz w:val="16"/>
                <w:szCs w:val="16"/>
              </w:rPr>
            </w:pPr>
            <w:r w:rsidRPr="00162084">
              <w:rPr>
                <w:color w:val="000000"/>
                <w:sz w:val="16"/>
                <w:szCs w:val="16"/>
              </w:rPr>
              <w:t>94 000</w:t>
            </w:r>
          </w:p>
        </w:tc>
        <w:tc>
          <w:tcPr>
            <w:tcW w:w="1612" w:type="dxa"/>
            <w:vAlign w:val="bottom"/>
          </w:tcPr>
          <w:p w:rsidR="00162B1C" w:rsidRPr="00162084" w:rsidRDefault="00162B1C">
            <w:pPr>
              <w:shd w:val="clear" w:color="000000" w:fill="auto"/>
              <w:spacing w:before="60" w:line="200" w:lineRule="exact"/>
              <w:jc w:val="right"/>
              <w:rPr>
                <w:color w:val="000000"/>
                <w:sz w:val="16"/>
                <w:szCs w:val="16"/>
              </w:rPr>
            </w:pPr>
            <w:r w:rsidRPr="00162084">
              <w:rPr>
                <w:color w:val="000000"/>
                <w:sz w:val="16"/>
                <w:szCs w:val="16"/>
              </w:rPr>
              <w:t>+10 000</w:t>
            </w:r>
          </w:p>
        </w:tc>
      </w:tr>
      <w:tr w:rsidR="00000000" w:rsidRPr="00162084">
        <w:tc>
          <w:tcPr>
            <w:tcW w:w="711" w:type="dxa"/>
          </w:tcPr>
          <w:p w:rsidR="00162B1C" w:rsidRPr="00162084" w:rsidRDefault="00162B1C">
            <w:pPr>
              <w:shd w:val="clear" w:color="000000" w:fill="auto"/>
              <w:spacing w:before="60" w:line="200" w:lineRule="exact"/>
              <w:rPr>
                <w:b/>
                <w:bCs/>
                <w:color w:val="000000"/>
                <w:sz w:val="16"/>
                <w:szCs w:val="16"/>
              </w:rPr>
            </w:pPr>
          </w:p>
        </w:tc>
        <w:tc>
          <w:tcPr>
            <w:tcW w:w="2664" w:type="dxa"/>
          </w:tcPr>
          <w:p w:rsidR="00162B1C" w:rsidRPr="00162084" w:rsidRDefault="00162B1C">
            <w:pPr>
              <w:shd w:val="clear" w:color="000000" w:fill="auto"/>
              <w:spacing w:before="60" w:line="200" w:lineRule="exact"/>
              <w:rPr>
                <w:b/>
                <w:bCs/>
                <w:color w:val="000000"/>
                <w:sz w:val="16"/>
                <w:szCs w:val="16"/>
              </w:rPr>
            </w:pPr>
            <w:r w:rsidRPr="00162084">
              <w:rPr>
                <w:b/>
                <w:bCs/>
                <w:color w:val="000000"/>
                <w:sz w:val="16"/>
                <w:szCs w:val="16"/>
              </w:rPr>
              <w:t>Summa</w:t>
            </w:r>
          </w:p>
        </w:tc>
        <w:tc>
          <w:tcPr>
            <w:tcW w:w="1440" w:type="dxa"/>
          </w:tcPr>
          <w:p w:rsidR="00162B1C" w:rsidRPr="00162084" w:rsidRDefault="00162B1C">
            <w:pPr>
              <w:shd w:val="clear" w:color="000000" w:fill="auto"/>
              <w:spacing w:before="60" w:line="200" w:lineRule="exact"/>
              <w:jc w:val="right"/>
              <w:rPr>
                <w:b/>
                <w:bCs/>
                <w:color w:val="000000"/>
                <w:sz w:val="16"/>
                <w:szCs w:val="16"/>
              </w:rPr>
            </w:pPr>
          </w:p>
        </w:tc>
        <w:tc>
          <w:tcPr>
            <w:tcW w:w="1612" w:type="dxa"/>
          </w:tcPr>
          <w:p w:rsidR="00162B1C" w:rsidRPr="00162084" w:rsidRDefault="00162B1C">
            <w:pPr>
              <w:shd w:val="clear" w:color="000000" w:fill="auto"/>
              <w:spacing w:before="60" w:line="200" w:lineRule="exact"/>
              <w:jc w:val="right"/>
              <w:rPr>
                <w:b/>
                <w:bCs/>
                <w:color w:val="000000"/>
                <w:sz w:val="16"/>
                <w:szCs w:val="16"/>
              </w:rPr>
            </w:pPr>
            <w:r w:rsidRPr="00162084">
              <w:rPr>
                <w:b/>
                <w:color w:val="000000"/>
                <w:sz w:val="16"/>
                <w:szCs w:val="16"/>
              </w:rPr>
              <w:t>–445 000</w:t>
            </w:r>
          </w:p>
        </w:tc>
      </w:tr>
    </w:tbl>
    <w:p w:rsidR="00162B1C" w:rsidRPr="00162084" w:rsidRDefault="00162B1C">
      <w:pPr>
        <w:shd w:val="clear" w:color="000000" w:fill="auto"/>
      </w:pPr>
    </w:p>
    <w:p w:rsidR="00162B1C" w:rsidRPr="00162084" w:rsidRDefault="00162B1C">
      <w:pPr>
        <w:pStyle w:val="Rubrik1"/>
        <w:shd w:val="clear" w:color="000000" w:fill="auto"/>
      </w:pPr>
      <w:r w:rsidRPr="00162084">
        <w:t>1:1 Integrationsåtgärder</w:t>
      </w:r>
    </w:p>
    <w:p w:rsidR="00162B1C" w:rsidRPr="00162084" w:rsidRDefault="00162B1C">
      <w:pPr>
        <w:shd w:val="clear" w:color="000000" w:fill="auto"/>
      </w:pPr>
      <w:r w:rsidRPr="00162084">
        <w:t>Inom detta anslag föreslår Vänsterpartiet att medlen för riksorganisationer bildade på etnisk grund, det vill säga invandrades egna riksförbund, får en permanent förstärkning med 15 miljoner kronor. Det statsbidrag som går till dessa organisationer är inte anpassat till det faktum att de ökat stort både i antal organisationer och i antal medlemmar. För att garantera riksförbundens fortlevnad och verksamhet och för att dessa ska fortsätta att utgöra en nö</w:t>
      </w:r>
      <w:r w:rsidRPr="00162084">
        <w:t>d</w:t>
      </w:r>
      <w:r w:rsidRPr="00162084">
        <w:t>vändig part i ett ömsesidigt utformande av integrationspolitiken behöver rik</w:t>
      </w:r>
      <w:r w:rsidRPr="00162084">
        <w:t>s</w:t>
      </w:r>
      <w:r w:rsidRPr="00162084">
        <w:t>förbunden ges ökade resurser.</w:t>
      </w:r>
    </w:p>
    <w:p w:rsidR="00162B1C" w:rsidRPr="00162084" w:rsidRDefault="00162B1C">
      <w:pPr>
        <w:pStyle w:val="Normaltindrag"/>
        <w:shd w:val="clear" w:color="000000" w:fill="auto"/>
      </w:pPr>
      <w:r w:rsidRPr="00162084">
        <w:t>Vidare vill vi slopa regeringens sfi-bonus och minskar därmed anslaget med 100 miljoner kronor. Sammantaget föreslår Vänsterpartiet en minskning av anslaget 1:1 Integrationsåtgärder med 85 miljoner kronor 2012 jämfört med regeringens förslag.</w:t>
      </w:r>
    </w:p>
    <w:p w:rsidR="00162B1C" w:rsidRPr="00162084" w:rsidRDefault="00162B1C">
      <w:pPr>
        <w:pStyle w:val="Rubrik1"/>
        <w:shd w:val="clear" w:color="000000" w:fill="auto"/>
      </w:pPr>
      <w:r w:rsidRPr="00162084">
        <w:t>1:2 Kommunersättningar vid flyktingmottagande</w:t>
      </w:r>
    </w:p>
    <w:p w:rsidR="00162B1C" w:rsidRPr="00162084" w:rsidRDefault="00162B1C">
      <w:pPr>
        <w:shd w:val="clear" w:color="000000" w:fill="auto"/>
        <w:rPr>
          <w:color w:val="000000"/>
        </w:rPr>
      </w:pPr>
      <w:r w:rsidRPr="00162084">
        <w:rPr>
          <w:color w:val="000000"/>
        </w:rPr>
        <w:t>Vänsterpartiet lämnar i vår särskilda motion Flyktingmottagande (2011/12:Sf325) förslag om hur utformandet och ansvarsfördelningen när det gäller flyktingmottagandet bör förändras.</w:t>
      </w:r>
    </w:p>
    <w:p w:rsidR="00162B1C" w:rsidRPr="00162084" w:rsidRDefault="00162B1C">
      <w:pPr>
        <w:pStyle w:val="Normaltindrag"/>
        <w:shd w:val="clear" w:color="000000" w:fill="auto"/>
      </w:pPr>
      <w:r w:rsidRPr="00162084">
        <w:t>Vi föreslår att en lagstiftning ska införas som gör samtliga kommuner skyldiga att ta emot flyktingar. Vidare föreslår vi en förstärkning av anslaget för en höjning av schablonersättningen i syfte att höja kvaliteten och amb</w:t>
      </w:r>
      <w:r w:rsidRPr="00162084">
        <w:t>i</w:t>
      </w:r>
      <w:r w:rsidRPr="00162084">
        <w:t>tionsnivån på flyktingmottagandet. Vi föreslår därmed en ökning av anslaget med 500 miljoner kronor.</w:t>
      </w:r>
    </w:p>
    <w:p w:rsidR="00162B1C" w:rsidRPr="00162084" w:rsidRDefault="00162B1C">
      <w:pPr>
        <w:pStyle w:val="Normaltindrag"/>
        <w:shd w:val="clear" w:color="000000" w:fill="auto"/>
      </w:pPr>
      <w:r w:rsidRPr="00162084">
        <w:t>Sammantaget föreslår Vänsterpartiet en ökning av anslaget 1:2 Kommu</w:t>
      </w:r>
      <w:r w:rsidRPr="00162084">
        <w:t>n</w:t>
      </w:r>
      <w:r w:rsidRPr="00162084">
        <w:t>ersättningar för flyktingmottagande med 500 miljoner kronor 2012 jämfört med regeringens förslag.</w:t>
      </w:r>
    </w:p>
    <w:p w:rsidR="00162B1C" w:rsidRPr="00162084" w:rsidRDefault="00162B1C">
      <w:pPr>
        <w:pStyle w:val="Rubrik1"/>
        <w:shd w:val="clear" w:color="000000" w:fill="auto"/>
      </w:pPr>
      <w:r w:rsidRPr="00162084">
        <w:t>1:3 Etableringsersättning till vissa nyanlända invandrare</w:t>
      </w:r>
    </w:p>
    <w:p w:rsidR="00162B1C" w:rsidRPr="00162084" w:rsidRDefault="00162B1C">
      <w:pPr>
        <w:shd w:val="clear" w:color="000000" w:fill="auto"/>
      </w:pPr>
      <w:r w:rsidRPr="00162084">
        <w:t>Vänsterpartiet vill förlänga ansökningstiden för anhöriginvandrade att få rätt till introduktion och att de därmed omfattas av den statliga ersättningen till kommunerna för flyktingmottagandet. Vi föreslår en ändring från två till sex år efter det att anknytningspersonen fått uppehållstillstånd. Vi föreslår därmed en ökning av anslaget med 30 miljoner kronor.</w:t>
      </w:r>
    </w:p>
    <w:p w:rsidR="00162B1C" w:rsidRPr="00162084" w:rsidRDefault="00162B1C">
      <w:pPr>
        <w:pStyle w:val="Rubrik1"/>
        <w:shd w:val="clear" w:color="000000" w:fill="auto"/>
      </w:pPr>
      <w:r w:rsidRPr="00162084">
        <w:t>1:4 Ersättning till etableringslotsar och insatser för vissa nyanlända invandrare</w:t>
      </w:r>
    </w:p>
    <w:p w:rsidR="00162B1C" w:rsidRPr="00162084" w:rsidRDefault="00162B1C">
      <w:pPr>
        <w:shd w:val="clear" w:color="000000" w:fill="auto"/>
      </w:pPr>
      <w:r w:rsidRPr="00162084">
        <w:t>Vänsterpartiet är skarpt kritiskt till att privatisera delar av introduktionen av nyanlända och avvisar därmed regeringens modell om att lotsar ska skaffa fram jobb mot en prestationsbaserad ersättning. Människors möjligheter att få en bra start och kunna etablera sig på arbetsmarknaden och i samhället i stort ska inte vara beroende av privata vinstintressen. Mot denna bakgrund avvisar vi de 900 miljoner som regeringen anvisar på anslaget. Sammantaget minskar Vänsterpartiet anslaget 1:4 Ersättning till eta</w:t>
      </w:r>
      <w:r w:rsidRPr="00162084">
        <w:t>bleringslotsar och insatser för vissa nyanlända invandrare med 900 miljoner kronor 2012 jämfört med rege</w:t>
      </w:r>
      <w:r w:rsidRPr="00162084">
        <w:t>r</w:t>
      </w:r>
      <w:r w:rsidRPr="00162084">
        <w:t>ingens förslag.</w:t>
      </w:r>
    </w:p>
    <w:p w:rsidR="00162B1C" w:rsidRPr="00162084" w:rsidRDefault="00162B1C">
      <w:pPr>
        <w:pStyle w:val="Rubrik1"/>
        <w:shd w:val="clear" w:color="000000" w:fill="auto"/>
      </w:pPr>
      <w:r w:rsidRPr="00162084">
        <w:t>2.1 Diskrimineringsombudsmannen</w:t>
      </w:r>
    </w:p>
    <w:p w:rsidR="00162B1C" w:rsidRPr="00162084" w:rsidRDefault="00162B1C">
      <w:pPr>
        <w:shd w:val="clear" w:color="000000" w:fill="auto"/>
      </w:pPr>
      <w:r w:rsidRPr="00162084">
        <w:t xml:space="preserve">Vänsterpartiet vill förstärka Diskrimineringsombudsmannens arbete med aktiva åtgärder i arbetslivet och ökar i detta syfte anslaget med 10 miljoner 2012.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2084">
        <w:trPr>
          <w:cantSplit/>
        </w:trPr>
        <w:tc>
          <w:tcPr>
            <w:tcW w:w="3046" w:type="dxa"/>
          </w:tcPr>
          <w:p w:rsidR="00162B1C" w:rsidRPr="00162084" w:rsidRDefault="00162B1C">
            <w:pPr>
              <w:pStyle w:val="UnderskriftDatum"/>
              <w:shd w:val="clear" w:color="000000" w:fill="auto"/>
              <w:spacing w:before="240"/>
            </w:pPr>
            <w:r w:rsidRPr="00162084">
              <w:t>Stockholm den 4 oktober 2011</w:t>
            </w:r>
          </w:p>
        </w:tc>
        <w:tc>
          <w:tcPr>
            <w:tcW w:w="3047" w:type="dxa"/>
          </w:tcPr>
          <w:p w:rsidR="00162B1C" w:rsidRPr="00162084" w:rsidRDefault="00162B1C">
            <w:pPr>
              <w:pStyle w:val="Underskrifter"/>
              <w:shd w:val="clear" w:color="000000" w:fill="auto"/>
              <w:spacing w:before="240"/>
            </w:pPr>
          </w:p>
        </w:tc>
      </w:tr>
      <w:tr w:rsidR="00000000" w:rsidRPr="00162084">
        <w:trPr>
          <w:cantSplit/>
        </w:trPr>
        <w:tc>
          <w:tcPr>
            <w:tcW w:w="3046" w:type="dxa"/>
          </w:tcPr>
          <w:p w:rsidR="00162B1C" w:rsidRPr="00162084" w:rsidRDefault="00162B1C">
            <w:pPr>
              <w:pStyle w:val="Underskrifter"/>
              <w:shd w:val="clear" w:color="000000" w:fill="auto"/>
            </w:pPr>
            <w:r w:rsidRPr="00162084">
              <w:t>Lars Ohly (V)</w:t>
            </w:r>
          </w:p>
        </w:tc>
        <w:tc>
          <w:tcPr>
            <w:tcW w:w="3046" w:type="dxa"/>
          </w:tcPr>
          <w:p w:rsidR="00162B1C" w:rsidRPr="00162084" w:rsidRDefault="00162B1C">
            <w:pPr>
              <w:pStyle w:val="Underskrifter"/>
              <w:shd w:val="clear" w:color="000000" w:fill="auto"/>
            </w:pPr>
          </w:p>
        </w:tc>
      </w:tr>
      <w:tr w:rsidR="00000000" w:rsidRPr="00162084">
        <w:trPr>
          <w:cantSplit/>
        </w:trPr>
        <w:tc>
          <w:tcPr>
            <w:tcW w:w="3046" w:type="dxa"/>
          </w:tcPr>
          <w:p w:rsidR="00162B1C" w:rsidRPr="00162084" w:rsidRDefault="00162B1C">
            <w:pPr>
              <w:pStyle w:val="Underskrifter"/>
              <w:shd w:val="clear" w:color="000000" w:fill="auto"/>
            </w:pPr>
            <w:r w:rsidRPr="00162084">
              <w:t>Ulla Andersson (V)</w:t>
            </w:r>
          </w:p>
        </w:tc>
        <w:tc>
          <w:tcPr>
            <w:tcW w:w="3046" w:type="dxa"/>
          </w:tcPr>
          <w:p w:rsidR="00162B1C" w:rsidRPr="00162084" w:rsidRDefault="00162B1C">
            <w:pPr>
              <w:pStyle w:val="Underskrifter"/>
              <w:shd w:val="clear" w:color="000000" w:fill="auto"/>
            </w:pPr>
            <w:r w:rsidRPr="00162084">
              <w:t>Hans Linde (V)</w:t>
            </w:r>
          </w:p>
        </w:tc>
      </w:tr>
      <w:tr w:rsidR="00000000" w:rsidRPr="00162084">
        <w:trPr>
          <w:cantSplit/>
        </w:trPr>
        <w:tc>
          <w:tcPr>
            <w:tcW w:w="3046" w:type="dxa"/>
          </w:tcPr>
          <w:p w:rsidR="00162B1C" w:rsidRPr="00162084" w:rsidRDefault="00162B1C">
            <w:pPr>
              <w:pStyle w:val="Underskrifter"/>
              <w:shd w:val="clear" w:color="000000" w:fill="auto"/>
            </w:pPr>
            <w:r w:rsidRPr="00162084">
              <w:t>Eva Olofsson (V)</w:t>
            </w:r>
          </w:p>
        </w:tc>
        <w:tc>
          <w:tcPr>
            <w:tcW w:w="3046" w:type="dxa"/>
          </w:tcPr>
          <w:p w:rsidR="00162B1C" w:rsidRPr="00162084" w:rsidRDefault="00162B1C">
            <w:pPr>
              <w:pStyle w:val="Underskrifter"/>
              <w:shd w:val="clear" w:color="000000" w:fill="auto"/>
            </w:pPr>
            <w:r w:rsidRPr="00162084">
              <w:t>Jonas Sjöstedt (V)</w:t>
            </w:r>
          </w:p>
        </w:tc>
      </w:tr>
      <w:tr w:rsidR="00000000" w:rsidRPr="00162084">
        <w:trPr>
          <w:cantSplit/>
        </w:trPr>
        <w:tc>
          <w:tcPr>
            <w:tcW w:w="3046" w:type="dxa"/>
          </w:tcPr>
          <w:p w:rsidR="00162B1C" w:rsidRPr="00162084" w:rsidRDefault="00162B1C">
            <w:pPr>
              <w:pStyle w:val="Underskrifter"/>
              <w:shd w:val="clear" w:color="000000" w:fill="auto"/>
            </w:pPr>
            <w:r w:rsidRPr="00162084">
              <w:t>Mia Sydow Mölleby (V)</w:t>
            </w:r>
          </w:p>
        </w:tc>
        <w:tc>
          <w:tcPr>
            <w:tcW w:w="3046" w:type="dxa"/>
          </w:tcPr>
          <w:p w:rsidR="00162B1C" w:rsidRPr="00162084" w:rsidRDefault="00162B1C">
            <w:pPr>
              <w:pStyle w:val="Underskrifter"/>
              <w:shd w:val="clear" w:color="000000" w:fill="auto"/>
            </w:pPr>
            <w:r w:rsidRPr="00162084">
              <w:t>Christina Höj Larsen (V)</w:t>
            </w:r>
          </w:p>
        </w:tc>
      </w:tr>
    </w:tbl>
    <w:p w:rsidR="00162B1C" w:rsidRPr="00162084" w:rsidRDefault="00162B1C">
      <w:pPr>
        <w:pStyle w:val="Normaltindrag"/>
        <w:shd w:val="clear" w:color="000000" w:fill="auto"/>
      </w:pPr>
    </w:p>
    <w:sectPr w:rsidR="00162B1C" w:rsidRPr="001620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B1C" w:rsidRPr="00162084" w:rsidRDefault="00162B1C">
      <w:r w:rsidRPr="00162084">
        <w:separator/>
      </w:r>
    </w:p>
  </w:endnote>
  <w:endnote w:type="continuationSeparator" w:id="0">
    <w:p w:rsidR="00162B1C" w:rsidRPr="00162084" w:rsidRDefault="00162B1C">
      <w:r w:rsidRPr="001620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B1C" w:rsidRPr="00162084" w:rsidRDefault="00162084">
    <w:pPr>
      <w:pStyle w:val="Sidfot"/>
    </w:pPr>
    <w:r w:rsidRPr="001620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8280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B1C" w:rsidRDefault="00162B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2B1C" w:rsidRDefault="00162B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B1C" w:rsidRPr="00162084" w:rsidRDefault="00162084">
    <w:pPr>
      <w:pStyle w:val="Sidfot"/>
    </w:pPr>
    <w:r w:rsidRPr="001620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176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B1C" w:rsidRDefault="00162B1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2B1C" w:rsidRDefault="00162B1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B1C" w:rsidRPr="00162084" w:rsidRDefault="00162084">
    <w:pPr>
      <w:pStyle w:val="Sidfot"/>
    </w:pPr>
    <w:r w:rsidRPr="001620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420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B1C" w:rsidRDefault="00162B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2B1C" w:rsidRDefault="00162B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B1C" w:rsidRPr="00162084" w:rsidRDefault="00162B1C">
      <w:r w:rsidRPr="00162084">
        <w:separator/>
      </w:r>
    </w:p>
  </w:footnote>
  <w:footnote w:type="continuationSeparator" w:id="0">
    <w:p w:rsidR="00162B1C" w:rsidRPr="00162084" w:rsidRDefault="00162B1C">
      <w:r w:rsidRPr="001620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B1C" w:rsidRPr="00162084" w:rsidRDefault="00162084">
    <w:pPr>
      <w:pStyle w:val="Sidhuvud"/>
    </w:pPr>
    <w:r w:rsidRPr="001620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3795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B1C" w:rsidRDefault="00162B1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2B1C" w:rsidRDefault="00162B1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B1C" w:rsidRPr="00162084" w:rsidRDefault="00162084">
    <w:pPr>
      <w:pStyle w:val="Sidhuvud"/>
    </w:pPr>
    <w:r w:rsidRPr="001620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02142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B1C" w:rsidRDefault="00162B1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2B1C" w:rsidRDefault="00162B1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B1C" w:rsidRPr="00162084" w:rsidRDefault="00162B1C">
    <w:pPr>
      <w:pStyle w:val="FSHNormal"/>
      <w:tabs>
        <w:tab w:val="right" w:pos="5840"/>
      </w:tabs>
    </w:pPr>
    <w:r w:rsidRPr="00162084">
      <w:br/>
    </w:r>
    <w:r w:rsidRPr="00162084">
      <w:fldChar w:fldCharType="begin" w:fldLock="1"/>
    </w:r>
    <w:r w:rsidRPr="00162084">
      <w:instrText xml:space="preserve"> DOCPROPERTY</w:instrText>
    </w:r>
    <w:r w:rsidRPr="00162084">
      <w:rPr>
        <w:sz w:val="18"/>
      </w:rPr>
      <w:instrText xml:space="preserve"> "YearUser" *\charformat </w:instrText>
    </w:r>
    <w:r w:rsidRPr="00162084">
      <w:fldChar w:fldCharType="separate"/>
    </w:r>
    <w:r w:rsidRPr="00162084">
      <w:t>2011/12</w:t>
    </w:r>
    <w:r w:rsidRPr="00162084">
      <w:fldChar w:fldCharType="end"/>
    </w:r>
    <w:r w:rsidRPr="00162084">
      <w:t xml:space="preserve"> </w:t>
    </w:r>
    <w:r w:rsidRPr="00162084">
      <w:tab/>
      <w:t xml:space="preserve">mnr: </w:t>
    </w:r>
    <w:r w:rsidRPr="00162084">
      <w:fldChar w:fldCharType="begin" w:fldLock="1"/>
    </w:r>
    <w:r w:rsidRPr="00162084">
      <w:instrText xml:space="preserve"> DOCPROPERTY</w:instrText>
    </w:r>
    <w:r w:rsidRPr="00162084">
      <w:rPr>
        <w:sz w:val="18"/>
      </w:rPr>
      <w:instrText xml:space="preserve"> "Motionsnummer" *\charformat </w:instrText>
    </w:r>
    <w:r w:rsidRPr="00162084">
      <w:fldChar w:fldCharType="separate"/>
    </w:r>
    <w:r w:rsidRPr="00162084">
      <w:t>A362</w:t>
    </w:r>
    <w:r w:rsidRPr="00162084">
      <w:fldChar w:fldCharType="end"/>
    </w:r>
    <w:r w:rsidRPr="00162084">
      <w:br/>
    </w:r>
    <w:r w:rsidRPr="00162084">
      <w:fldChar w:fldCharType="begin" w:fldLock="1"/>
    </w:r>
    <w:r w:rsidRPr="00162084">
      <w:instrText xml:space="preserve"> DOCPROPERTY</w:instrText>
    </w:r>
    <w:r w:rsidRPr="00162084">
      <w:rPr>
        <w:sz w:val="18"/>
      </w:rPr>
      <w:instrText xml:space="preserve"> "Samling" *\charformat </w:instrText>
    </w:r>
    <w:r w:rsidRPr="00162084">
      <w:fldChar w:fldCharType="end"/>
    </w:r>
    <w:r w:rsidRPr="00162084">
      <w:tab/>
      <w:t xml:space="preserve">pnr: </w:t>
    </w:r>
    <w:r w:rsidRPr="00162084">
      <w:fldChar w:fldCharType="begin" w:fldLock="1"/>
    </w:r>
    <w:r w:rsidRPr="00162084">
      <w:instrText xml:space="preserve"> DOCPROPERTY</w:instrText>
    </w:r>
    <w:r w:rsidRPr="00162084">
      <w:rPr>
        <w:sz w:val="18"/>
      </w:rPr>
      <w:instrText xml:space="preserve"> "Partinummer" *\charformat </w:instrText>
    </w:r>
    <w:r w:rsidRPr="00162084">
      <w:fldChar w:fldCharType="separate"/>
    </w:r>
    <w:r w:rsidRPr="00162084">
      <w:t>V233</w:t>
    </w:r>
    <w:r w:rsidRPr="00162084">
      <w:fldChar w:fldCharType="end"/>
    </w:r>
  </w:p>
  <w:p w:rsidR="00162B1C" w:rsidRPr="00162084" w:rsidRDefault="00162B1C">
    <w:pPr>
      <w:pStyle w:val="FSHRub1"/>
    </w:pPr>
    <w:r w:rsidRPr="00162084">
      <w:t>Motion till riksdagen</w:t>
    </w:r>
    <w:r w:rsidRPr="00162084">
      <w:br/>
    </w:r>
    <w:r w:rsidRPr="00162084">
      <w:fldChar w:fldCharType="begin" w:fldLock="1"/>
    </w:r>
    <w:r w:rsidRPr="00162084">
      <w:instrText xml:space="preserve"> DOCPROPERTY "YearUser" *\charformat </w:instrText>
    </w:r>
    <w:r w:rsidRPr="00162084">
      <w:fldChar w:fldCharType="separate"/>
    </w:r>
    <w:r w:rsidRPr="00162084">
      <w:t>2011/12</w:t>
    </w:r>
    <w:r w:rsidRPr="00162084">
      <w:fldChar w:fldCharType="end"/>
    </w:r>
    <w:r w:rsidRPr="00162084">
      <w:t>:</w:t>
    </w:r>
    <w:r w:rsidRPr="00162084">
      <w:fldChar w:fldCharType="begin" w:fldLock="1"/>
    </w:r>
    <w:r w:rsidRPr="00162084">
      <w:instrText xml:space="preserve"> DOCPROPERTY "Motionsnummer" *\charformat </w:instrText>
    </w:r>
    <w:r w:rsidRPr="00162084">
      <w:fldChar w:fldCharType="separate"/>
    </w:r>
    <w:r w:rsidRPr="00162084">
      <w:t>A362</w:t>
    </w:r>
    <w:r w:rsidRPr="00162084">
      <w:fldChar w:fldCharType="end"/>
    </w:r>
  </w:p>
  <w:p w:rsidR="00162B1C" w:rsidRPr="00162084" w:rsidRDefault="00162B1C">
    <w:pPr>
      <w:pStyle w:val="FSHNormalS5"/>
    </w:pPr>
    <w:r w:rsidRPr="00162084">
      <w:fldChar w:fldCharType="begin" w:fldLock="1"/>
    </w:r>
    <w:r w:rsidRPr="00162084">
      <w:instrText xml:space="preserve"> DOCPROPERTY "MotionarText" *\charformat </w:instrText>
    </w:r>
    <w:r w:rsidRPr="00162084">
      <w:fldChar w:fldCharType="separate"/>
    </w:r>
    <w:r w:rsidRPr="00162084">
      <w:t>av Lars Ohly m.fl. (V)</w:t>
    </w:r>
    <w:r w:rsidRPr="00162084">
      <w:fldChar w:fldCharType="end"/>
    </w:r>
    <w:r w:rsidRPr="00162084">
      <w:br/>
    </w:r>
    <w:r w:rsidRPr="00162084">
      <w:fldChar w:fldCharType="begin" w:fldLock="1"/>
    </w:r>
    <w:r w:rsidRPr="00162084">
      <w:instrText xml:space="preserve"> DOCPROPERTY "SvarFrasKort" *\charformat </w:instrText>
    </w:r>
    <w:r w:rsidRPr="00162084">
      <w:fldChar w:fldCharType="end"/>
    </w:r>
  </w:p>
  <w:p w:rsidR="00162B1C" w:rsidRPr="00162084" w:rsidRDefault="00162B1C">
    <w:pPr>
      <w:pStyle w:val="FSHTitel"/>
    </w:pPr>
    <w:r w:rsidRPr="00162084">
      <w:fldChar w:fldCharType="begin" w:fldLock="1"/>
    </w:r>
    <w:r w:rsidRPr="00162084">
      <w:instrText xml:space="preserve"> DOCPROPERTY</w:instrText>
    </w:r>
    <w:r w:rsidRPr="00162084">
      <w:rPr>
        <w:sz w:val="18"/>
      </w:rPr>
      <w:instrText xml:space="preserve"> "RubrikSvar" *\charformat </w:instrText>
    </w:r>
    <w:r w:rsidRPr="00162084">
      <w:fldChar w:fldCharType="separate"/>
    </w:r>
    <w:r w:rsidRPr="00162084">
      <w:t>Utgiftsområde 13 Integration och jämställdhet</w:t>
    </w:r>
    <w:r w:rsidRPr="00162084">
      <w:fldChar w:fldCharType="end"/>
    </w:r>
  </w:p>
  <w:p w:rsidR="00162B1C" w:rsidRPr="00162084" w:rsidRDefault="00162B1C">
    <w:pPr>
      <w:pStyle w:val="Normal00"/>
    </w:pPr>
  </w:p>
  <w:p w:rsidR="00162B1C" w:rsidRPr="00162084" w:rsidRDefault="00162B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55E78B0"/>
    <w:multiLevelType w:val="multilevel"/>
    <w:tmpl w:val="7A3CE65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3553486">
    <w:abstractNumId w:val="3"/>
  </w:num>
  <w:num w:numId="2" w16cid:durableId="243153764">
    <w:abstractNumId w:val="2"/>
  </w:num>
  <w:num w:numId="3" w16cid:durableId="751467278">
    <w:abstractNumId w:val="1"/>
  </w:num>
  <w:num w:numId="4" w16cid:durableId="174198522">
    <w:abstractNumId w:val="0"/>
  </w:num>
  <w:num w:numId="5" w16cid:durableId="825897201">
    <w:abstractNumId w:val="7"/>
  </w:num>
  <w:num w:numId="6" w16cid:durableId="1425954185">
    <w:abstractNumId w:val="6"/>
  </w:num>
  <w:num w:numId="7" w16cid:durableId="583997507">
    <w:abstractNumId w:val="5"/>
  </w:num>
  <w:num w:numId="8" w16cid:durableId="2092386437">
    <w:abstractNumId w:val="4"/>
  </w:num>
  <w:num w:numId="9" w16cid:durableId="1534420497">
    <w:abstractNumId w:val="8"/>
  </w:num>
  <w:num w:numId="10" w16cid:durableId="1501580000">
    <w:abstractNumId w:val="9"/>
  </w:num>
  <w:num w:numId="11" w16cid:durableId="902369796">
    <w:abstractNumId w:val="10"/>
  </w:num>
  <w:num w:numId="12" w16cid:durableId="1178425616">
    <w:abstractNumId w:val="13"/>
  </w:num>
  <w:num w:numId="13" w16cid:durableId="367222912">
    <w:abstractNumId w:val="15"/>
  </w:num>
  <w:num w:numId="14" w16cid:durableId="1572622639">
    <w:abstractNumId w:val="16"/>
  </w:num>
  <w:num w:numId="15" w16cid:durableId="1044408160">
    <w:abstractNumId w:val="11"/>
  </w:num>
  <w:num w:numId="16" w16cid:durableId="421534789">
    <w:abstractNumId w:val="19"/>
  </w:num>
  <w:num w:numId="17" w16cid:durableId="885068307">
    <w:abstractNumId w:val="17"/>
  </w:num>
  <w:num w:numId="18" w16cid:durableId="589436800">
    <w:abstractNumId w:val="14"/>
  </w:num>
  <w:num w:numId="19" w16cid:durableId="973869702">
    <w:abstractNumId w:val="12"/>
  </w:num>
  <w:num w:numId="20" w16cid:durableId="16639733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53F0F50-6F1F-4A36-9FEB-9B3CE8CAF153},{9757EBE9-5352-471C-B04A-E35C112BD16A},{00468181-7122-42C5-877E-69489063FE94},{A3B7BC79-15BA-4C82-9CD3-12632F50DBA0},{DA248C4D-AFF6-4AC5-94CA-AED252C8C8C8},{A7313DCE-0B34-4C27-86F8-BEBB9AB9F316},{655152DA-9738-498E-8F40-529248027960}"/>
  </w:docVars>
  <w:rsids>
    <w:rsidRoot w:val="009709DE"/>
    <w:rsid w:val="00162084"/>
    <w:rsid w:val="00162B1C"/>
    <w:rsid w:val="009709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6F0D92-6D18-4BC0-9808-8D0EE0E9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3836</Characters>
  <Application>Microsoft Office Word</Application>
  <DocSecurity>4</DocSecurity>
  <Lines>109</Lines>
  <Paragraphs>57</Paragraphs>
  <ScaleCrop>false</ScaleCrop>
  <HeadingPairs>
    <vt:vector size="2" baseType="variant">
      <vt:variant>
        <vt:lpstr>Rubrik</vt:lpstr>
      </vt:variant>
      <vt:variant>
        <vt:i4>1</vt:i4>
      </vt:variant>
    </vt:vector>
  </HeadingPairs>
  <TitlesOfParts>
    <vt:vector size="1" baseType="lpstr">
      <vt:lpstr>V233</vt:lpstr>
    </vt:vector>
  </TitlesOfParts>
  <Company>Riksdagen</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V233</dc:title>
  <dc:subject>V233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2011-10-30T07:30:00Z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13 Integration och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13 Integration och jämställdhet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V233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(V)\Höj Larsen, Christina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Christina Höj Larsen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20112012000000000086000002330080</vt:lpwstr>
  </property>
  <property fmtid="{D5CDD505-2E9C-101B-9397-08002B2CF9AE}" pid="47" name="datum">
    <vt:lpwstr>111004</vt:lpwstr>
  </property>
  <property fmtid="{D5CDD505-2E9C-101B-9397-08002B2CF9AE}" pid="48" name="avsändar-e-post">
    <vt:lpwstr>kristina.bostrom.carlback@riksdagen.se</vt:lpwstr>
  </property>
  <property fmtid="{D5CDD505-2E9C-101B-9397-08002B2CF9AE}" pid="49" name="id">
    <vt:lpwstr>20112012000000000086000002330080</vt:lpwstr>
  </property>
  <property fmtid="{D5CDD505-2E9C-101B-9397-08002B2CF9AE}" pid="50" name="nummer">
    <vt:lpwstr>362</vt:lpwstr>
  </property>
  <property fmtid="{D5CDD505-2E9C-101B-9397-08002B2CF9AE}" pid="51" name="utskottsbeteckning">
    <vt:lpwstr>A</vt:lpwstr>
  </property>
  <property fmtid="{D5CDD505-2E9C-101B-9397-08002B2CF9AE}" pid="52" name="GlobalUID">
    <vt:lpwstr>{ED09F26F-1530-4C08-9CC3-5667BAF75C46}</vt:lpwstr>
  </property>
  <property fmtid="{D5CDD505-2E9C-101B-9397-08002B2CF9AE}" pid="53" name="Överföringar">
    <vt:i4>0</vt:i4>
  </property>
  <property fmtid="{D5CDD505-2E9C-101B-9397-08002B2CF9AE}" pid="54" name="Checksum">
    <vt:lpwstr>*0007652246411*</vt:lpwstr>
  </property>
  <property fmtid="{D5CDD505-2E9C-101B-9397-08002B2CF9AE}" pid="55" name="skuggnummer">
    <vt:lpwstr>2700</vt:lpwstr>
  </property>
  <property fmtid="{D5CDD505-2E9C-101B-9397-08002B2CF9AE}" pid="56" name="urixVersion">
    <vt:lpwstr>4.5.0.25</vt:lpwstr>
  </property>
  <property fmtid="{D5CDD505-2E9C-101B-9397-08002B2CF9AE}" pid="57" name="urixOrigin">
    <vt:lpwstr>111101 13:26:44.256</vt:lpwstr>
  </property>
  <property fmtid="{D5CDD505-2E9C-101B-9397-08002B2CF9AE}" pid="58" name="urixGuid">
    <vt:lpwstr>{90723498-9272-4ED8-A98A-DD9E3D793823}</vt:lpwstr>
  </property>
</Properties>
</file>