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6D1" w:rsidRPr="00181714" w:rsidRDefault="00181714">
      <w:pPr>
        <w:framePr w:w="3119" w:h="1406" w:hRule="exact" w:wrap="auto" w:vAnchor="page" w:hAnchor="page" w:x="1305" w:y="766"/>
        <w:tabs>
          <w:tab w:val="left" w:pos="142"/>
        </w:tabs>
      </w:pPr>
      <w:bookmarkStart w:id="0" w:name="logga"/>
      <w:bookmarkStart w:id="1" w:name="webtabort"/>
      <w:r w:rsidRPr="00181714">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1476D1" w:rsidRPr="00181714" w:rsidRDefault="001476D1">
      <w:pPr>
        <w:framePr w:w="3119" w:h="1406" w:hRule="exact" w:wrap="around" w:vAnchor="page" w:hAnchor="page" w:x="1441" w:y="781"/>
        <w:tabs>
          <w:tab w:val="left" w:pos="142"/>
        </w:tabs>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1476D1" w:rsidRPr="00181714">
        <w:tblPrEx>
          <w:tblCellMar>
            <w:top w:w="0" w:type="dxa"/>
            <w:left w:w="0" w:type="dxa"/>
            <w:bottom w:w="0" w:type="dxa"/>
            <w:right w:w="0" w:type="dxa"/>
          </w:tblCellMar>
        </w:tblPrEx>
        <w:trPr>
          <w:trHeight w:val="433"/>
        </w:trPr>
        <w:tc>
          <w:tcPr>
            <w:tcW w:w="3380" w:type="dxa"/>
          </w:tcPr>
          <w:p w:rsidR="001476D1" w:rsidRPr="00181714" w:rsidRDefault="001476D1">
            <w:pPr>
              <w:pStyle w:val="Brdtexthuvud"/>
              <w:framePr w:hSpace="0" w:wrap="around" w:x="6601" w:y="852"/>
            </w:pPr>
            <w:bookmarkStart w:id="2" w:name="UDkoncept"/>
            <w:bookmarkEnd w:id="2"/>
          </w:p>
        </w:tc>
        <w:tc>
          <w:tcPr>
            <w:tcW w:w="1893" w:type="dxa"/>
          </w:tcPr>
          <w:p w:rsidR="001476D1" w:rsidRPr="00181714" w:rsidRDefault="001476D1">
            <w:pPr>
              <w:pStyle w:val="Brdtexthuvud"/>
              <w:framePr w:hSpace="0" w:wrap="around" w:x="6601" w:y="852"/>
            </w:pPr>
            <w:bookmarkStart w:id="3" w:name="UDsidan"/>
            <w:bookmarkEnd w:id="3"/>
          </w:p>
        </w:tc>
      </w:tr>
      <w:tr w:rsidR="001476D1" w:rsidRPr="00181714">
        <w:tblPrEx>
          <w:tblCellMar>
            <w:top w:w="0" w:type="dxa"/>
            <w:left w:w="0" w:type="dxa"/>
            <w:bottom w:w="0" w:type="dxa"/>
            <w:right w:w="0" w:type="dxa"/>
          </w:tblCellMar>
        </w:tblPrEx>
        <w:trPr>
          <w:cantSplit/>
        </w:trPr>
        <w:tc>
          <w:tcPr>
            <w:tcW w:w="5273" w:type="dxa"/>
            <w:gridSpan w:val="2"/>
          </w:tcPr>
          <w:p w:rsidR="001476D1" w:rsidRPr="00181714" w:rsidRDefault="001476D1">
            <w:pPr>
              <w:pStyle w:val="Brdtexthuvud"/>
              <w:framePr w:hSpace="0" w:wrap="around" w:x="6601" w:y="852"/>
            </w:pPr>
            <w:bookmarkStart w:id="4" w:name="UDdokname"/>
            <w:bookmarkStart w:id="5" w:name="UDnr"/>
            <w:bookmarkEnd w:id="4"/>
            <w:bookmarkEnd w:id="5"/>
            <w:r w:rsidRPr="00181714">
              <w:rPr>
                <w:rFonts w:ascii="Courier New" w:hAnsi="Courier New"/>
                <w:b/>
                <w:spacing w:val="80"/>
                <w:sz w:val="28"/>
              </w:rPr>
              <w:t>E-POST</w:t>
            </w:r>
          </w:p>
        </w:tc>
      </w:tr>
      <w:tr w:rsidR="001476D1" w:rsidRPr="00181714">
        <w:tblPrEx>
          <w:tblCellMar>
            <w:top w:w="0" w:type="dxa"/>
            <w:left w:w="0" w:type="dxa"/>
            <w:bottom w:w="0" w:type="dxa"/>
            <w:right w:w="0" w:type="dxa"/>
          </w:tblCellMar>
        </w:tblPrEx>
        <w:tc>
          <w:tcPr>
            <w:tcW w:w="3380" w:type="dxa"/>
          </w:tcPr>
          <w:p w:rsidR="001476D1" w:rsidRPr="00181714" w:rsidRDefault="001476D1">
            <w:pPr>
              <w:pStyle w:val="Brdtexthuvud"/>
              <w:framePr w:hSpace="0" w:wrap="around" w:x="6601" w:y="852"/>
            </w:pPr>
          </w:p>
        </w:tc>
        <w:tc>
          <w:tcPr>
            <w:tcW w:w="1893" w:type="dxa"/>
          </w:tcPr>
          <w:p w:rsidR="001476D1" w:rsidRPr="00181714" w:rsidRDefault="001476D1">
            <w:pPr>
              <w:pStyle w:val="Brdtexthuvud"/>
              <w:framePr w:hSpace="0" w:wrap="around" w:x="6601" w:y="852"/>
            </w:pPr>
          </w:p>
        </w:tc>
      </w:tr>
      <w:tr w:rsidR="001476D1" w:rsidRPr="00181714">
        <w:tblPrEx>
          <w:tblCellMar>
            <w:top w:w="0" w:type="dxa"/>
            <w:left w:w="0" w:type="dxa"/>
            <w:bottom w:w="0" w:type="dxa"/>
            <w:right w:w="0" w:type="dxa"/>
          </w:tblCellMar>
        </w:tblPrEx>
        <w:tc>
          <w:tcPr>
            <w:tcW w:w="3380" w:type="dxa"/>
          </w:tcPr>
          <w:p w:rsidR="001476D1" w:rsidRPr="00181714" w:rsidRDefault="00457B53">
            <w:pPr>
              <w:pStyle w:val="Brdtexthuvud"/>
              <w:framePr w:hSpace="0" w:wrap="around" w:x="6601" w:y="852"/>
              <w:rPr>
                <w:rFonts w:ascii="Garamond" w:hAnsi="Garamond"/>
              </w:rPr>
            </w:pPr>
            <w:bookmarkStart w:id="6" w:name="UDdatum"/>
            <w:bookmarkStart w:id="7" w:name="datum"/>
            <w:bookmarkEnd w:id="6"/>
            <w:bookmarkEnd w:id="7"/>
            <w:r w:rsidRPr="00181714">
              <w:rPr>
                <w:rFonts w:ascii="Garamond" w:hAnsi="Garamond"/>
              </w:rPr>
              <w:t>3 juni</w:t>
            </w:r>
            <w:r w:rsidR="003108C5" w:rsidRPr="00181714">
              <w:rPr>
                <w:rFonts w:ascii="Garamond" w:hAnsi="Garamond"/>
              </w:rPr>
              <w:t xml:space="preserve"> 2009</w:t>
            </w:r>
          </w:p>
        </w:tc>
        <w:tc>
          <w:tcPr>
            <w:tcW w:w="1893" w:type="dxa"/>
          </w:tcPr>
          <w:p w:rsidR="001476D1" w:rsidRPr="00181714" w:rsidRDefault="001476D1">
            <w:pPr>
              <w:pStyle w:val="Brdtexthuvud"/>
              <w:framePr w:hSpace="0" w:wrap="around" w:x="6601" w:y="852"/>
            </w:pPr>
            <w:bookmarkStart w:id="8" w:name="UDdnr"/>
            <w:bookmarkEnd w:id="8"/>
          </w:p>
          <w:p w:rsidR="001476D1" w:rsidRPr="00181714" w:rsidRDefault="001476D1">
            <w:pPr>
              <w:pStyle w:val="Brdtexthuvud"/>
              <w:framePr w:hSpace="0" w:wrap="around" w:x="6601" w:y="852"/>
            </w:pPr>
            <w:bookmarkStart w:id="9" w:name="UDskrivnr"/>
            <w:bookmarkEnd w:id="9"/>
          </w:p>
          <w:p w:rsidR="001476D1" w:rsidRPr="00181714" w:rsidRDefault="001476D1">
            <w:pPr>
              <w:pStyle w:val="Brdtexthuvud"/>
              <w:framePr w:hSpace="0" w:wrap="around" w:x="6601" w:y="852"/>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1476D1" w:rsidRPr="00181714">
        <w:tblPrEx>
          <w:tblCellMar>
            <w:top w:w="0" w:type="dxa"/>
            <w:left w:w="0" w:type="dxa"/>
            <w:bottom w:w="0" w:type="dxa"/>
            <w:right w:w="0" w:type="dxa"/>
          </w:tblCellMar>
        </w:tblPrEx>
        <w:trPr>
          <w:cantSplit/>
          <w:trHeight w:val="597"/>
        </w:trPr>
        <w:tc>
          <w:tcPr>
            <w:tcW w:w="5165" w:type="dxa"/>
          </w:tcPr>
          <w:p w:rsidR="001476D1" w:rsidRPr="00181714" w:rsidRDefault="001476D1" w:rsidP="00204AC0">
            <w:pPr>
              <w:pStyle w:val="Depnamn"/>
              <w:framePr w:h="2183" w:wrap="notBeside" w:vAnchor="page" w:hAnchor="page" w:x="1441" w:y="2530"/>
              <w:spacing w:before="40"/>
              <w:rPr>
                <w:rFonts w:ascii="Arial" w:hAnsi="Arial"/>
              </w:rPr>
            </w:pPr>
            <w:bookmarkStart w:id="10" w:name="UDdepartement"/>
            <w:bookmarkEnd w:id="10"/>
          </w:p>
          <w:p w:rsidR="001476D1" w:rsidRPr="00181714" w:rsidRDefault="001476D1" w:rsidP="00204AC0">
            <w:pPr>
              <w:pStyle w:val="Namnenhet"/>
              <w:framePr w:wrap="notBeside" w:vAnchor="page" w:x="1441" w:y="2530"/>
            </w:pPr>
            <w:bookmarkStart w:id="11" w:name="UDminister"/>
            <w:bookmarkStart w:id="12" w:name="UDStad"/>
            <w:bookmarkStart w:id="13" w:name="enhet"/>
            <w:bookmarkStart w:id="14" w:name="UDenhet"/>
            <w:bookmarkStart w:id="15" w:name="UDchefenhet"/>
            <w:bookmarkStart w:id="16" w:name="namn"/>
            <w:bookmarkEnd w:id="11"/>
            <w:bookmarkEnd w:id="12"/>
            <w:bookmarkEnd w:id="13"/>
            <w:bookmarkEnd w:id="14"/>
            <w:bookmarkEnd w:id="15"/>
            <w:bookmarkEnd w:id="16"/>
          </w:p>
          <w:p w:rsidR="001476D1" w:rsidRPr="00181714" w:rsidRDefault="001476D1" w:rsidP="00204AC0">
            <w:pPr>
              <w:pStyle w:val="Namnenhet"/>
              <w:framePr w:wrap="notBeside" w:vAnchor="page" w:x="1441" w:y="2530"/>
            </w:pPr>
            <w:bookmarkStart w:id="17" w:name="UDendruta"/>
            <w:bookmarkStart w:id="18" w:name="DelgesInternt"/>
            <w:bookmarkEnd w:id="17"/>
            <w:bookmarkEnd w:id="18"/>
          </w:p>
          <w:p w:rsidR="001476D1" w:rsidRPr="00181714" w:rsidRDefault="001476D1" w:rsidP="00204AC0">
            <w:pPr>
              <w:pStyle w:val="Namnenhet"/>
              <w:framePr w:wrap="notBeside" w:vAnchor="page" w:x="1441" w:y="2530"/>
            </w:pPr>
          </w:p>
          <w:p w:rsidR="001476D1" w:rsidRPr="00181714" w:rsidRDefault="001476D1" w:rsidP="00204AC0">
            <w:pPr>
              <w:pStyle w:val="Namnenhet"/>
              <w:framePr w:wrap="notBeside" w:vAnchor="page" w:x="1441" w:y="2530"/>
            </w:pPr>
          </w:p>
        </w:tc>
        <w:tc>
          <w:tcPr>
            <w:tcW w:w="4908" w:type="dxa"/>
          </w:tcPr>
          <w:p w:rsidR="001476D1" w:rsidRPr="00181714" w:rsidRDefault="001476D1" w:rsidP="00E97CEC">
            <w:pPr>
              <w:pStyle w:val="Brdtext"/>
              <w:framePr w:h="2183" w:wrap="notBeside" w:vAnchor="page" w:hAnchor="page" w:x="1441" w:y="2530"/>
              <w:ind w:right="284"/>
            </w:pPr>
            <w:bookmarkStart w:id="19" w:name="UDmottagare"/>
            <w:bookmarkEnd w:id="19"/>
          </w:p>
        </w:tc>
      </w:tr>
      <w:tr w:rsidR="001476D1" w:rsidRPr="00181714">
        <w:tblPrEx>
          <w:tblCellMar>
            <w:top w:w="0" w:type="dxa"/>
            <w:left w:w="0" w:type="dxa"/>
            <w:bottom w:w="0" w:type="dxa"/>
            <w:right w:w="0" w:type="dxa"/>
          </w:tblCellMar>
        </w:tblPrEx>
        <w:tc>
          <w:tcPr>
            <w:tcW w:w="5165" w:type="dxa"/>
          </w:tcPr>
          <w:p w:rsidR="001476D1" w:rsidRPr="00181714" w:rsidRDefault="001476D1" w:rsidP="00204AC0">
            <w:pPr>
              <w:pStyle w:val="Depnamn"/>
              <w:framePr w:h="2183" w:wrap="notBeside" w:vAnchor="page" w:hAnchor="page" w:x="1441" w:y="2530"/>
              <w:spacing w:before="40"/>
              <w:rPr>
                <w:rFonts w:ascii="Arial" w:hAnsi="Arial"/>
              </w:rPr>
            </w:pPr>
          </w:p>
        </w:tc>
        <w:tc>
          <w:tcPr>
            <w:tcW w:w="4908" w:type="dxa"/>
          </w:tcPr>
          <w:p w:rsidR="001476D1" w:rsidRPr="00181714" w:rsidRDefault="001476D1" w:rsidP="00204AC0">
            <w:pPr>
              <w:pStyle w:val="Brdtext1"/>
              <w:framePr w:h="2183" w:wrap="notBeside" w:vAnchor="page" w:hAnchor="page" w:x="1441" w:y="2530"/>
              <w:rPr>
                <w:rFonts w:ascii="Garamond" w:hAnsi="Garamond"/>
              </w:rPr>
            </w:pPr>
            <w:bookmarkStart w:id="20" w:name="prioritet"/>
            <w:bookmarkEnd w:id="20"/>
          </w:p>
        </w:tc>
      </w:tr>
      <w:tr w:rsidR="00E82D80" w:rsidRPr="00181714">
        <w:tblPrEx>
          <w:tblCellMar>
            <w:top w:w="0" w:type="dxa"/>
            <w:left w:w="0" w:type="dxa"/>
            <w:bottom w:w="0" w:type="dxa"/>
            <w:right w:w="0" w:type="dxa"/>
          </w:tblCellMar>
        </w:tblPrEx>
        <w:tc>
          <w:tcPr>
            <w:tcW w:w="5165" w:type="dxa"/>
          </w:tcPr>
          <w:p w:rsidR="00E82D80" w:rsidRPr="00181714" w:rsidRDefault="00E82D80" w:rsidP="00204AC0">
            <w:pPr>
              <w:pStyle w:val="Depnamn"/>
              <w:framePr w:h="2183" w:wrap="notBeside" w:vAnchor="page" w:hAnchor="page" w:x="1441" w:y="2530"/>
              <w:spacing w:before="40"/>
              <w:rPr>
                <w:rFonts w:ascii="Arial" w:hAnsi="Arial"/>
              </w:rPr>
            </w:pPr>
          </w:p>
        </w:tc>
        <w:tc>
          <w:tcPr>
            <w:tcW w:w="4908" w:type="dxa"/>
          </w:tcPr>
          <w:p w:rsidR="00E82D80" w:rsidRPr="00181714" w:rsidRDefault="00E82D80" w:rsidP="00204AC0">
            <w:pPr>
              <w:pStyle w:val="Brdtext1"/>
              <w:framePr w:h="2183" w:wrap="notBeside" w:vAnchor="page" w:hAnchor="page" w:x="1441" w:y="2530"/>
              <w:rPr>
                <w:rFonts w:ascii="Garamond" w:hAnsi="Garamond"/>
              </w:rPr>
            </w:pPr>
            <w:r w:rsidRPr="00181714">
              <w:rPr>
                <w:rFonts w:ascii="Garamond" w:hAnsi="Garamond"/>
              </w:rPr>
              <w:t xml:space="preserve"> </w:t>
            </w:r>
          </w:p>
        </w:tc>
      </w:tr>
    </w:tbl>
    <w:p w:rsidR="001476D1" w:rsidRPr="00181714" w:rsidRDefault="00204AC0">
      <w:pPr>
        <w:pStyle w:val="UDrubrik"/>
        <w:pBdr>
          <w:bottom w:val="single" w:sz="6" w:space="1" w:color="auto"/>
        </w:pBdr>
        <w:rPr>
          <w:rFonts w:ascii="Arial" w:hAnsi="Arial"/>
        </w:rPr>
      </w:pPr>
      <w:bookmarkStart w:id="21" w:name="UDfaxmottagare"/>
      <w:bookmarkStart w:id="22" w:name="UDrubrik"/>
      <w:bookmarkStart w:id="23" w:name="UDtext"/>
      <w:bookmarkStart w:id="24" w:name="UDArendemening"/>
      <w:bookmarkStart w:id="25" w:name="Subject"/>
      <w:bookmarkEnd w:id="21"/>
      <w:bookmarkEnd w:id="22"/>
      <w:bookmarkEnd w:id="23"/>
      <w:bookmarkEnd w:id="24"/>
      <w:bookmarkEnd w:id="25"/>
      <w:r w:rsidRPr="00181714">
        <w:rPr>
          <w:rFonts w:ascii="Arial" w:hAnsi="Arial"/>
        </w:rPr>
        <w:t>Rapport från</w:t>
      </w:r>
      <w:r w:rsidR="00457B53" w:rsidRPr="00181714">
        <w:rPr>
          <w:rFonts w:ascii="Arial" w:hAnsi="Arial"/>
        </w:rPr>
        <w:t xml:space="preserve"> informellt</w:t>
      </w:r>
      <w:r w:rsidRPr="00181714">
        <w:rPr>
          <w:rFonts w:ascii="Arial" w:hAnsi="Arial"/>
        </w:rPr>
        <w:t xml:space="preserve"> </w:t>
      </w:r>
      <w:r w:rsidR="00457B53" w:rsidRPr="00181714">
        <w:rPr>
          <w:rFonts w:ascii="Arial" w:hAnsi="Arial"/>
        </w:rPr>
        <w:t>j</w:t>
      </w:r>
      <w:r w:rsidRPr="00181714">
        <w:rPr>
          <w:rFonts w:ascii="Arial" w:hAnsi="Arial"/>
        </w:rPr>
        <w:t>ordbruks</w:t>
      </w:r>
      <w:r w:rsidR="00457B53" w:rsidRPr="00181714">
        <w:rPr>
          <w:rFonts w:ascii="Arial" w:hAnsi="Arial"/>
        </w:rPr>
        <w:t>ministermöte</w:t>
      </w:r>
      <w:r w:rsidR="001476D1" w:rsidRPr="00181714">
        <w:rPr>
          <w:rFonts w:ascii="Arial" w:hAnsi="Arial"/>
        </w:rPr>
        <w:t xml:space="preserve"> den </w:t>
      </w:r>
      <w:r w:rsidR="000D47BC" w:rsidRPr="00181714">
        <w:rPr>
          <w:rFonts w:ascii="Arial" w:hAnsi="Arial"/>
        </w:rPr>
        <w:t>2</w:t>
      </w:r>
      <w:r w:rsidR="00457B53" w:rsidRPr="00181714">
        <w:rPr>
          <w:rFonts w:ascii="Arial" w:hAnsi="Arial"/>
        </w:rPr>
        <w:t xml:space="preserve"> juni</w:t>
      </w:r>
      <w:r w:rsidR="003108C5" w:rsidRPr="00181714">
        <w:rPr>
          <w:rFonts w:ascii="Arial" w:hAnsi="Arial"/>
        </w:rPr>
        <w:t xml:space="preserve"> </w:t>
      </w:r>
      <w:r w:rsidR="000D47BC" w:rsidRPr="00181714">
        <w:rPr>
          <w:rFonts w:ascii="Arial" w:hAnsi="Arial"/>
        </w:rPr>
        <w:t>2009</w:t>
      </w:r>
      <w:r w:rsidR="00457B53" w:rsidRPr="00181714">
        <w:rPr>
          <w:rFonts w:ascii="Arial" w:hAnsi="Arial"/>
        </w:rPr>
        <w:t xml:space="preserve"> i Brno, CZ</w:t>
      </w:r>
    </w:p>
    <w:p w:rsidR="001476D1" w:rsidRPr="00181714" w:rsidRDefault="001476D1">
      <w:pPr>
        <w:pStyle w:val="Brdtext1"/>
        <w:rPr>
          <w:rFonts w:ascii="Garamond" w:hAnsi="Garamond"/>
        </w:rPr>
      </w:pPr>
      <w:bookmarkStart w:id="26" w:name="UDBilaga"/>
      <w:bookmarkStart w:id="27" w:name="aberopning"/>
      <w:bookmarkStart w:id="28" w:name="bidragTabort"/>
      <w:bookmarkEnd w:id="26"/>
      <w:bookmarkEnd w:id="27"/>
    </w:p>
    <w:p w:rsidR="001476D1" w:rsidRPr="00181714" w:rsidRDefault="001476D1">
      <w:pPr>
        <w:pStyle w:val="Brdtext1"/>
        <w:spacing w:line="240" w:lineRule="auto"/>
        <w:rPr>
          <w:rFonts w:ascii="Garamond" w:hAnsi="Garamond"/>
          <w:b/>
        </w:rPr>
      </w:pPr>
      <w:bookmarkStart w:id="29" w:name="bilaga"/>
      <w:bookmarkStart w:id="30" w:name="start4"/>
      <w:bookmarkStart w:id="31" w:name="start3"/>
      <w:bookmarkStart w:id="32" w:name="sammenfattning"/>
      <w:bookmarkStart w:id="33" w:name="Start2"/>
      <w:bookmarkEnd w:id="1"/>
      <w:bookmarkEnd w:id="29"/>
      <w:bookmarkEnd w:id="30"/>
      <w:bookmarkEnd w:id="33"/>
      <w:r w:rsidRPr="00181714">
        <w:rPr>
          <w:rFonts w:ascii="Garamond" w:hAnsi="Garamond"/>
          <w:b/>
        </w:rPr>
        <w:t>Sammanfattning:</w:t>
      </w:r>
    </w:p>
    <w:p w:rsidR="00683439" w:rsidRPr="00181714" w:rsidRDefault="00683439">
      <w:pPr>
        <w:pStyle w:val="Brdtext1"/>
        <w:spacing w:line="240" w:lineRule="auto"/>
        <w:rPr>
          <w:rFonts w:ascii="Garamond" w:hAnsi="Garamond"/>
          <w:b/>
        </w:rPr>
      </w:pPr>
    </w:p>
    <w:p w:rsidR="001476D1" w:rsidRPr="00181714" w:rsidRDefault="00683439">
      <w:pPr>
        <w:rPr>
          <w:rFonts w:ascii="Garamond" w:hAnsi="Garamond"/>
          <w:b/>
          <w:bCs/>
          <w:sz w:val="24"/>
        </w:rPr>
      </w:pPr>
      <w:r w:rsidRPr="00181714">
        <w:rPr>
          <w:rFonts w:ascii="Garamond" w:hAnsi="Garamond"/>
          <w:b/>
          <w:bCs/>
          <w:sz w:val="24"/>
        </w:rPr>
        <w:t xml:space="preserve">* </w:t>
      </w:r>
      <w:r w:rsidR="000E713A" w:rsidRPr="00181714">
        <w:rPr>
          <w:rFonts w:ascii="Garamond" w:hAnsi="Garamond"/>
          <w:b/>
          <w:bCs/>
          <w:sz w:val="24"/>
        </w:rPr>
        <w:t>Det fanns ett brett stöd för att direktstöden har ett syfte att fylla även efter 2013. Detsamma gällde marknadsstöd och stöd till landsbygds</w:t>
      </w:r>
      <w:r w:rsidR="00E97CEC" w:rsidRPr="00181714">
        <w:rPr>
          <w:rFonts w:ascii="Garamond" w:hAnsi="Garamond"/>
          <w:b/>
          <w:bCs/>
          <w:sz w:val="24"/>
        </w:rPr>
        <w:softHyphen/>
      </w:r>
      <w:r w:rsidR="000E713A" w:rsidRPr="00181714">
        <w:rPr>
          <w:rFonts w:ascii="Garamond" w:hAnsi="Garamond"/>
          <w:b/>
          <w:bCs/>
          <w:sz w:val="24"/>
        </w:rPr>
        <w:t xml:space="preserve">utveckling, dessa tre stödformer bör ses som kompletterande. </w:t>
      </w:r>
    </w:p>
    <w:p w:rsidR="003F1019" w:rsidRPr="00181714" w:rsidRDefault="003F1019">
      <w:pPr>
        <w:rPr>
          <w:rFonts w:ascii="Garamond" w:hAnsi="Garamond"/>
          <w:b/>
          <w:bCs/>
          <w:sz w:val="24"/>
        </w:rPr>
      </w:pPr>
    </w:p>
    <w:p w:rsidR="003F1019" w:rsidRPr="00181714" w:rsidRDefault="00E97CEC">
      <w:pPr>
        <w:rPr>
          <w:rFonts w:ascii="Garamond" w:hAnsi="Garamond"/>
          <w:b/>
          <w:bCs/>
          <w:sz w:val="24"/>
          <w:szCs w:val="24"/>
        </w:rPr>
      </w:pPr>
      <w:r w:rsidRPr="00181714">
        <w:rPr>
          <w:rFonts w:ascii="Garamond" w:hAnsi="Garamond"/>
          <w:b/>
          <w:sz w:val="24"/>
          <w:szCs w:val="24"/>
        </w:rPr>
        <w:t xml:space="preserve">Flera MS </w:t>
      </w:r>
      <w:r w:rsidR="003F1019" w:rsidRPr="00181714">
        <w:rPr>
          <w:rFonts w:ascii="Garamond" w:hAnsi="Garamond"/>
          <w:b/>
          <w:sz w:val="24"/>
          <w:szCs w:val="24"/>
        </w:rPr>
        <w:t>ansåg att direktstöden behövs för att kompensera för de högre kostnader som möter EU-producenter jämfört med producenter i tredje land beroende på striktare regler vad gäller t.ex. djurskydd och miljö. En majoritet av MS påpekade behovet av att även efter 2013 ha kvar någon sorts säkerhetsnät. Några MS ansåg att det inte är möjligt att ha ett enhetligt arealstöd i hela EU, produktionsförutsättningarna och kostnadsläget ser h</w:t>
      </w:r>
      <w:r w:rsidRPr="00181714">
        <w:rPr>
          <w:rFonts w:ascii="Garamond" w:hAnsi="Garamond"/>
          <w:b/>
          <w:sz w:val="24"/>
          <w:szCs w:val="24"/>
        </w:rPr>
        <w:t xml:space="preserve">elt olika ut i olika MS. Flera nya </w:t>
      </w:r>
      <w:r w:rsidR="003F1019" w:rsidRPr="00181714">
        <w:rPr>
          <w:rFonts w:ascii="Garamond" w:hAnsi="Garamond"/>
          <w:b/>
          <w:sz w:val="24"/>
          <w:szCs w:val="24"/>
        </w:rPr>
        <w:t>MS uttryckte tydliga krav på lika nivåer på direktstöden efter 2013.</w:t>
      </w:r>
    </w:p>
    <w:p w:rsidR="003F1019" w:rsidRPr="00181714" w:rsidRDefault="003F1019">
      <w:pPr>
        <w:rPr>
          <w:rFonts w:ascii="Garamond" w:hAnsi="Garamond"/>
          <w:b/>
          <w:bCs/>
          <w:sz w:val="24"/>
        </w:rPr>
      </w:pPr>
    </w:p>
    <w:p w:rsidR="001476D1" w:rsidRPr="00181714" w:rsidRDefault="000E713A">
      <w:pPr>
        <w:rPr>
          <w:rFonts w:ascii="Garamond" w:hAnsi="Garamond"/>
          <w:b/>
          <w:sz w:val="24"/>
        </w:rPr>
      </w:pPr>
      <w:r w:rsidRPr="00181714">
        <w:rPr>
          <w:rFonts w:ascii="Garamond" w:hAnsi="Garamond"/>
          <w:b/>
          <w:sz w:val="24"/>
        </w:rPr>
        <w:t>ORDF kommer att försöka anta rådsslutsatser på detta tema, med början i SJK den 8 juni</w:t>
      </w:r>
      <w:r w:rsidR="003F1019" w:rsidRPr="00181714">
        <w:rPr>
          <w:rFonts w:ascii="Garamond" w:hAnsi="Garamond"/>
          <w:b/>
          <w:sz w:val="24"/>
        </w:rPr>
        <w:t>.</w:t>
      </w:r>
    </w:p>
    <w:p w:rsidR="000E713A" w:rsidRPr="00181714" w:rsidRDefault="000E713A">
      <w:pPr>
        <w:rPr>
          <w:rFonts w:ascii="Garamond" w:hAnsi="Garamond"/>
          <w:b/>
          <w:bCs/>
          <w:sz w:val="32"/>
        </w:rPr>
      </w:pPr>
    </w:p>
    <w:p w:rsidR="001476D1" w:rsidRPr="00181714" w:rsidRDefault="001476D1">
      <w:pPr>
        <w:rPr>
          <w:rFonts w:ascii="Garamond" w:hAnsi="Garamond"/>
          <w:b/>
          <w:bCs/>
          <w:sz w:val="24"/>
        </w:rPr>
      </w:pPr>
      <w:r w:rsidRPr="00181714">
        <w:rPr>
          <w:rFonts w:ascii="Garamond" w:hAnsi="Garamond"/>
          <w:b/>
          <w:bCs/>
          <w:sz w:val="24"/>
        </w:rPr>
        <w:t xml:space="preserve">* Nästa </w:t>
      </w:r>
      <w:r w:rsidR="00457B53" w:rsidRPr="00181714">
        <w:rPr>
          <w:rFonts w:ascii="Garamond" w:hAnsi="Garamond"/>
          <w:b/>
          <w:bCs/>
          <w:sz w:val="24"/>
        </w:rPr>
        <w:t xml:space="preserve">ordinarie </w:t>
      </w:r>
      <w:r w:rsidRPr="00181714">
        <w:rPr>
          <w:rFonts w:ascii="Garamond" w:hAnsi="Garamond"/>
          <w:b/>
          <w:bCs/>
          <w:sz w:val="24"/>
        </w:rPr>
        <w:t xml:space="preserve">rådsmöte äger rum den </w:t>
      </w:r>
      <w:r w:rsidR="000D47BC" w:rsidRPr="00181714">
        <w:rPr>
          <w:rFonts w:ascii="Garamond" w:hAnsi="Garamond"/>
          <w:b/>
          <w:bCs/>
          <w:sz w:val="24"/>
        </w:rPr>
        <w:t xml:space="preserve">22-23 juni </w:t>
      </w:r>
      <w:r w:rsidR="00E82D80" w:rsidRPr="00181714">
        <w:rPr>
          <w:rFonts w:ascii="Garamond" w:hAnsi="Garamond"/>
          <w:b/>
          <w:bCs/>
          <w:sz w:val="24"/>
        </w:rPr>
        <w:t>2009</w:t>
      </w:r>
      <w:r w:rsidR="000D47BC" w:rsidRPr="00181714">
        <w:rPr>
          <w:rFonts w:ascii="Garamond" w:hAnsi="Garamond"/>
          <w:b/>
          <w:bCs/>
          <w:sz w:val="24"/>
        </w:rPr>
        <w:t xml:space="preserve"> i Luxemburg</w:t>
      </w:r>
      <w:r w:rsidRPr="00181714">
        <w:rPr>
          <w:rFonts w:ascii="Garamond" w:hAnsi="Garamond"/>
          <w:b/>
          <w:bCs/>
          <w:sz w:val="24"/>
        </w:rPr>
        <w:t>.</w:t>
      </w:r>
    </w:p>
    <w:p w:rsidR="001476D1" w:rsidRPr="00181714" w:rsidRDefault="001476D1">
      <w:pPr>
        <w:rPr>
          <w:rFonts w:ascii="Garamond" w:hAnsi="Garamond"/>
          <w:b/>
          <w:bCs/>
          <w:sz w:val="24"/>
        </w:rPr>
      </w:pPr>
    </w:p>
    <w:p w:rsidR="001476D1" w:rsidRPr="00181714" w:rsidRDefault="001476D1">
      <w:pPr>
        <w:pStyle w:val="Brdtext1"/>
        <w:spacing w:line="240" w:lineRule="auto"/>
        <w:jc w:val="center"/>
        <w:rPr>
          <w:rFonts w:ascii="Garamond" w:hAnsi="Garamond"/>
        </w:rPr>
      </w:pPr>
      <w:r w:rsidRPr="00181714">
        <w:rPr>
          <w:rFonts w:ascii="Garamond" w:hAnsi="Garamond"/>
        </w:rPr>
        <w:t>*     *     *</w:t>
      </w:r>
    </w:p>
    <w:p w:rsidR="001476D1" w:rsidRPr="00181714" w:rsidRDefault="001476D1">
      <w:pPr>
        <w:pStyle w:val="Brdtext1"/>
        <w:spacing w:line="240" w:lineRule="auto"/>
        <w:rPr>
          <w:rFonts w:ascii="Garamond" w:hAnsi="Garamond"/>
        </w:rPr>
      </w:pPr>
    </w:p>
    <w:bookmarkEnd w:id="28"/>
    <w:bookmarkEnd w:id="31"/>
    <w:bookmarkEnd w:id="32"/>
    <w:p w:rsidR="00457B53" w:rsidRPr="00181714" w:rsidRDefault="00457B53" w:rsidP="00457B53">
      <w:pPr>
        <w:pStyle w:val="Rubrik2"/>
      </w:pPr>
      <w:r w:rsidRPr="00181714">
        <w:t>Common Agricultural Policy post-2013: What future for direct payments</w:t>
      </w:r>
    </w:p>
    <w:p w:rsidR="00457B53" w:rsidRPr="00181714" w:rsidRDefault="00457B53" w:rsidP="00457B53">
      <w:pPr>
        <w:pStyle w:val="Brdtext1"/>
        <w:rPr>
          <w:rFonts w:ascii="Garamond" w:hAnsi="Garamond"/>
        </w:rPr>
      </w:pPr>
      <w:r w:rsidRPr="00181714">
        <w:rPr>
          <w:rFonts w:ascii="Garamond" w:hAnsi="Garamond"/>
          <w:b/>
        </w:rPr>
        <w:t>ORDF</w:t>
      </w:r>
      <w:r w:rsidRPr="00181714">
        <w:rPr>
          <w:rFonts w:ascii="Garamond" w:hAnsi="Garamond"/>
        </w:rPr>
        <w:t xml:space="preserve"> inledde med att förklara att man fortsätter den </w:t>
      </w:r>
      <w:r w:rsidR="00506FC7" w:rsidRPr="00181714">
        <w:rPr>
          <w:rFonts w:ascii="Garamond" w:hAnsi="Garamond"/>
        </w:rPr>
        <w:t>diskussion som påbörjats vid</w:t>
      </w:r>
      <w:r w:rsidRPr="00181714">
        <w:rPr>
          <w:rFonts w:ascii="Garamond" w:hAnsi="Garamond"/>
        </w:rPr>
        <w:t xml:space="preserve"> </w:t>
      </w:r>
      <w:r w:rsidR="00506FC7" w:rsidRPr="00181714">
        <w:rPr>
          <w:rFonts w:ascii="Garamond" w:hAnsi="Garamond"/>
        </w:rPr>
        <w:t xml:space="preserve">det franska </w:t>
      </w:r>
      <w:r w:rsidRPr="00181714">
        <w:rPr>
          <w:rFonts w:ascii="Garamond" w:hAnsi="Garamond"/>
        </w:rPr>
        <w:t>informella möte</w:t>
      </w:r>
      <w:r w:rsidR="00506FC7" w:rsidRPr="00181714">
        <w:rPr>
          <w:rFonts w:ascii="Garamond" w:hAnsi="Garamond"/>
        </w:rPr>
        <w:t>t</w:t>
      </w:r>
      <w:r w:rsidRPr="00181714">
        <w:rPr>
          <w:rFonts w:ascii="Garamond" w:hAnsi="Garamond"/>
        </w:rPr>
        <w:t xml:space="preserve"> då framtida CAP diskuterades. </w:t>
      </w:r>
      <w:r w:rsidR="00506FC7" w:rsidRPr="00181714">
        <w:rPr>
          <w:rFonts w:ascii="Garamond" w:hAnsi="Garamond"/>
        </w:rPr>
        <w:t>Enligt ORDF är CAP det huvudsakliga politiska instrument som finns för jordbrukssektorn och landsbygden. Det är viktigt att vi i framtiden kan hitta en enkel och flexibel modell som dessutom är möjlig att förklara och motivera för allmänheten. ORDF hade inför mötet distribuerat ett bakgrundsdokument med följande tre frågeställningar.</w:t>
      </w:r>
    </w:p>
    <w:p w:rsidR="003F1019" w:rsidRPr="00181714" w:rsidRDefault="003F1019" w:rsidP="00D87426">
      <w:pPr>
        <w:pStyle w:val="Brdtext1"/>
        <w:rPr>
          <w:rFonts w:ascii="Garamond" w:hAnsi="Garamond"/>
        </w:rPr>
      </w:pPr>
    </w:p>
    <w:p w:rsidR="00D87426" w:rsidRPr="00181714" w:rsidRDefault="00D87426" w:rsidP="00D87426">
      <w:pPr>
        <w:pStyle w:val="Brdtext1"/>
        <w:rPr>
          <w:rFonts w:ascii="Garamond" w:hAnsi="Garamond"/>
        </w:rPr>
      </w:pPr>
      <w:r w:rsidRPr="00181714">
        <w:rPr>
          <w:rFonts w:ascii="Garamond" w:hAnsi="Garamond"/>
        </w:rPr>
        <w:t>1) Vilken funktion bör direktstödssystemet fylla och vilken roll bör direktstödssystemet ha efter 2013. Detta med hänsyn till inkomststöd till lantbrukare, tillhandahållandet av kollektiva nyttigheter etc?</w:t>
      </w:r>
    </w:p>
    <w:p w:rsidR="00D87426" w:rsidRPr="00181714" w:rsidRDefault="00D87426" w:rsidP="00D87426">
      <w:pPr>
        <w:pStyle w:val="Brdtext1"/>
        <w:rPr>
          <w:rFonts w:ascii="Garamond" w:hAnsi="Garamond"/>
        </w:rPr>
      </w:pPr>
    </w:p>
    <w:p w:rsidR="00D87426" w:rsidRPr="00181714" w:rsidRDefault="00D87426" w:rsidP="00D87426">
      <w:pPr>
        <w:pStyle w:val="Brdtext1"/>
        <w:rPr>
          <w:rFonts w:ascii="Garamond" w:hAnsi="Garamond"/>
        </w:rPr>
      </w:pPr>
      <w:r w:rsidRPr="00181714">
        <w:rPr>
          <w:rFonts w:ascii="Garamond" w:hAnsi="Garamond"/>
        </w:rPr>
        <w:t>2) Vilken relation är lämplig mellan direktstödet och andra existerande instrument såsom marknadsregleringar och diverse redskap för landsbygdsutveckling?</w:t>
      </w:r>
    </w:p>
    <w:p w:rsidR="00D87426" w:rsidRPr="00181714" w:rsidRDefault="00D87426" w:rsidP="00D87426">
      <w:pPr>
        <w:pStyle w:val="Brdtext1"/>
        <w:rPr>
          <w:rFonts w:ascii="Garamond" w:hAnsi="Garamond"/>
        </w:rPr>
      </w:pPr>
    </w:p>
    <w:p w:rsidR="00D87426" w:rsidRPr="00181714" w:rsidRDefault="00D87426" w:rsidP="00D87426">
      <w:pPr>
        <w:pStyle w:val="Brdtext1"/>
        <w:rPr>
          <w:rFonts w:ascii="Garamond" w:hAnsi="Garamond"/>
        </w:rPr>
      </w:pPr>
      <w:r w:rsidRPr="00181714">
        <w:rPr>
          <w:rFonts w:ascii="Garamond" w:hAnsi="Garamond"/>
        </w:rPr>
        <w:t xml:space="preserve">3) Hur kan direktstödet bli icke-diskriminerande och mer rättvist fördelat mellan MS? </w:t>
      </w:r>
    </w:p>
    <w:p w:rsidR="00457B53" w:rsidRPr="00181714" w:rsidRDefault="00457B53">
      <w:pPr>
        <w:pStyle w:val="Brdtext1"/>
        <w:rPr>
          <w:rFonts w:ascii="Garamond" w:hAnsi="Garamond"/>
        </w:rPr>
      </w:pPr>
    </w:p>
    <w:p w:rsidR="00D87426" w:rsidRPr="00181714" w:rsidRDefault="00D87426">
      <w:pPr>
        <w:pStyle w:val="Brdtext1"/>
        <w:rPr>
          <w:rFonts w:ascii="Garamond" w:hAnsi="Garamond"/>
        </w:rPr>
      </w:pPr>
      <w:r w:rsidRPr="00181714">
        <w:rPr>
          <w:rFonts w:ascii="Garamond" w:hAnsi="Garamond"/>
          <w:b/>
        </w:rPr>
        <w:t>KOM (Fischer Boel)</w:t>
      </w:r>
      <w:r w:rsidRPr="00181714">
        <w:rPr>
          <w:rFonts w:ascii="Garamond" w:hAnsi="Garamond"/>
        </w:rPr>
        <w:t xml:space="preserve"> inledde med att redogöra för processen framöver. För att hinna med en lagstiftningsprocedur inkl. ett möjligt medbeslutande</w:t>
      </w:r>
      <w:r w:rsidR="00E97CEC" w:rsidRPr="00181714">
        <w:rPr>
          <w:rFonts w:ascii="Garamond" w:hAnsi="Garamond"/>
        </w:rPr>
        <w:softHyphen/>
      </w:r>
      <w:r w:rsidR="003F1019" w:rsidRPr="00181714">
        <w:rPr>
          <w:rFonts w:ascii="Garamond" w:hAnsi="Garamond"/>
        </w:rPr>
        <w:t>förfarande</w:t>
      </w:r>
      <w:r w:rsidRPr="00181714">
        <w:rPr>
          <w:rFonts w:ascii="Garamond" w:hAnsi="Garamond"/>
        </w:rPr>
        <w:t xml:space="preserve"> planerar KOM att presentera ett meddelande sommaren 2010 följt av lagförslag sommaren 2011. Detta sammanfaller med lagförslag om kommande budget vilket innebär att det är nu vi måste påbörja diskussionen om hur jordbruksministrarna vill se en framtida CAP. När det gäller direktstöden gjorde Fischer Boel bedömningen att vi </w:t>
      </w:r>
      <w:r w:rsidR="003F1019" w:rsidRPr="00181714">
        <w:rPr>
          <w:rFonts w:ascii="Garamond" w:hAnsi="Garamond"/>
        </w:rPr>
        <w:t>alla är överens om att rollen f</w:t>
      </w:r>
      <w:r w:rsidRPr="00181714">
        <w:rPr>
          <w:rFonts w:ascii="Garamond" w:hAnsi="Garamond"/>
        </w:rPr>
        <w:t>ö</w:t>
      </w:r>
      <w:r w:rsidR="003F1019" w:rsidRPr="00181714">
        <w:rPr>
          <w:rFonts w:ascii="Garamond" w:hAnsi="Garamond"/>
        </w:rPr>
        <w:t>r</w:t>
      </w:r>
      <w:r w:rsidRPr="00181714">
        <w:rPr>
          <w:rFonts w:ascii="Garamond" w:hAnsi="Garamond"/>
        </w:rPr>
        <w:t xml:space="preserve"> direktstödssystemet och distributionen av stöd måst</w:t>
      </w:r>
      <w:r w:rsidR="003F1019" w:rsidRPr="00181714">
        <w:rPr>
          <w:rFonts w:ascii="Garamond" w:hAnsi="Garamond"/>
        </w:rPr>
        <w:t>e</w:t>
      </w:r>
      <w:r w:rsidRPr="00181714">
        <w:rPr>
          <w:rFonts w:ascii="Garamond" w:hAnsi="Garamond"/>
        </w:rPr>
        <w:t xml:space="preserve"> se annorlunda ut efter 2013. Då kommer mer än 90 % av stöden att vara frikopplade, den ekonomiska krisen över och trycket på jordbrukssektorn mindre. Om vi är överens om detta är frågan att ställa sig varför vi ska ge ekonomiskt stöd till jordbrukarna. Här bedömde kommissionären att det finns MS på båda ytterkanter – dels de som anser det riktigt att ge jordbrukarna ett inkomststöd, dels de som anser att man enbart ska ersätta för kollektiva nyttigheter. Någon sorts grundläggande inkomststöd såg KOM behov av, men man är öppen för hur och om det ska kopplas till kollektiva nyttigheter. </w:t>
      </w:r>
      <w:r w:rsidR="00C426C0" w:rsidRPr="00181714">
        <w:rPr>
          <w:rFonts w:ascii="Garamond" w:hAnsi="Garamond"/>
        </w:rPr>
        <w:t>Systemet bör dock fortfarande beslutas på EU-nivå.</w:t>
      </w:r>
    </w:p>
    <w:p w:rsidR="00D87426" w:rsidRPr="00181714" w:rsidRDefault="00D87426">
      <w:pPr>
        <w:pStyle w:val="Brdtext1"/>
        <w:rPr>
          <w:rFonts w:ascii="Garamond" w:hAnsi="Garamond"/>
        </w:rPr>
      </w:pPr>
    </w:p>
    <w:p w:rsidR="00D87426" w:rsidRPr="00181714" w:rsidRDefault="00C426C0">
      <w:pPr>
        <w:pStyle w:val="Brdtext1"/>
        <w:rPr>
          <w:rFonts w:ascii="Garamond" w:hAnsi="Garamond"/>
        </w:rPr>
      </w:pPr>
      <w:r w:rsidRPr="00181714">
        <w:rPr>
          <w:rFonts w:ascii="Garamond" w:hAnsi="Garamond"/>
        </w:rPr>
        <w:t xml:space="preserve">Relationen mellan direktstöden, marknadsstöden och stöd till landsbygdsutveckling bedömde KOM bero på hur modellen för direktstöd formuleras efter 2013. Något sorts säkerhetsnät bör finnas, dock oklart hur detta ska se ut. KOM bedömde även att man i framtiden måste rikta stöden mer och stegvis komma ifrån att stöden reflekterar den genomsnittliga produktionen en given period. Att gå mot ett enhetligt stöd kan vara </w:t>
      </w:r>
      <w:r w:rsidRPr="00181714">
        <w:rPr>
          <w:rFonts w:ascii="Garamond" w:hAnsi="Garamond"/>
          <w:i/>
        </w:rPr>
        <w:t>en</w:t>
      </w:r>
      <w:r w:rsidRPr="00181714">
        <w:rPr>
          <w:rFonts w:ascii="Garamond" w:hAnsi="Garamond"/>
        </w:rPr>
        <w:t xml:space="preserve"> väg framåt.</w:t>
      </w:r>
    </w:p>
    <w:p w:rsidR="00C426C0" w:rsidRPr="00181714" w:rsidRDefault="00C426C0">
      <w:pPr>
        <w:pStyle w:val="Brdtext1"/>
        <w:rPr>
          <w:rFonts w:ascii="Garamond" w:hAnsi="Garamond"/>
        </w:rPr>
      </w:pPr>
    </w:p>
    <w:p w:rsidR="00DC29FF" w:rsidRPr="00181714" w:rsidRDefault="00C426C0">
      <w:pPr>
        <w:pStyle w:val="Brdtext1"/>
        <w:rPr>
          <w:rFonts w:ascii="Garamond" w:hAnsi="Garamond"/>
        </w:rPr>
      </w:pPr>
      <w:r w:rsidRPr="00181714">
        <w:rPr>
          <w:rFonts w:ascii="Garamond" w:hAnsi="Garamond"/>
        </w:rPr>
        <w:t xml:space="preserve">Fischer Boel passade även på att nämna det meddelande om livsmedelskvalitet som KOM nyss presenterat. Det finns en tydlig koppling mellan detta och diskussionen om framtida CAP. Bästa sättet att rättfärdiga CAP är genom att producera kvalitetsprodukter. Dess produkter är även EU:s starkaste kort på exportmarknaden. </w:t>
      </w:r>
    </w:p>
    <w:p w:rsidR="00DC29FF" w:rsidRPr="00181714" w:rsidRDefault="00DC29FF">
      <w:pPr>
        <w:pStyle w:val="Brdtext1"/>
        <w:rPr>
          <w:rFonts w:ascii="Garamond" w:hAnsi="Garamond"/>
        </w:rPr>
      </w:pPr>
    </w:p>
    <w:p w:rsidR="00C426C0" w:rsidRPr="00181714" w:rsidRDefault="00DC29FF">
      <w:pPr>
        <w:pStyle w:val="Brdtext1"/>
        <w:rPr>
          <w:rFonts w:ascii="Garamond" w:hAnsi="Garamond"/>
        </w:rPr>
      </w:pPr>
      <w:r w:rsidRPr="00181714">
        <w:rPr>
          <w:rFonts w:ascii="Garamond" w:hAnsi="Garamond"/>
          <w:b/>
        </w:rPr>
        <w:t>EP (Parish, avgående ordf. i jordbruksutskottet)</w:t>
      </w:r>
      <w:r w:rsidR="00C426C0" w:rsidRPr="00181714">
        <w:rPr>
          <w:rFonts w:ascii="Garamond" w:hAnsi="Garamond"/>
        </w:rPr>
        <w:t xml:space="preserve"> </w:t>
      </w:r>
      <w:r w:rsidRPr="00181714">
        <w:rPr>
          <w:rFonts w:ascii="Garamond" w:hAnsi="Garamond"/>
        </w:rPr>
        <w:t xml:space="preserve">inledde med att uppmuntra Fischer Boel att stanna en mandatperiod till (vilket hon inte planerat). Därefter förklarade han att det vore bra med ett meddelande från KOM så snart som möjligt efter att budgetöversynsmeddelandet presenterats i slutet av 2009. Kommer meddelandet för sent kommer det annars att vara finansministrarna som beslutar om CAP:s framtid i stället för jordbruksministrarna. </w:t>
      </w:r>
      <w:r w:rsidR="00F45D90" w:rsidRPr="00181714">
        <w:rPr>
          <w:rFonts w:ascii="Garamond" w:hAnsi="Garamond"/>
        </w:rPr>
        <w:t xml:space="preserve">I substans efterfrågade Parish mer riktade stöd för att gynna det multifunktionella jordbruket. Ett nytt direktstödssystem ska bidra till att stabilisera inkomster, kompensera för de extra kostnader som europeiska jordbrukare möte p.g.a. höga lagkrav och standarder samt kompensera för tillhandahållandet av kollektiva nyttigheter. En sådan utgångspunkt innebär att det inte längre finns behov av två pelare. Det är viktigt att alla MS ges samma förutsättningar, varför direktstöden bör betalas ut som ett enhetligt arealstöd. Ett fortsatt säkerhetsnät behövs, om än inte i form av intervention. Riskhanteringsinstrument </w:t>
      </w:r>
      <w:r w:rsidR="003F1019" w:rsidRPr="00181714">
        <w:rPr>
          <w:rFonts w:ascii="Garamond" w:hAnsi="Garamond"/>
        </w:rPr>
        <w:t>är</w:t>
      </w:r>
      <w:r w:rsidR="00F45D90" w:rsidRPr="00181714">
        <w:rPr>
          <w:rFonts w:ascii="Garamond" w:hAnsi="Garamond"/>
        </w:rPr>
        <w:t xml:space="preserve"> </w:t>
      </w:r>
      <w:r w:rsidR="003F1019" w:rsidRPr="00181714">
        <w:rPr>
          <w:rFonts w:ascii="Garamond" w:hAnsi="Garamond"/>
        </w:rPr>
        <w:t xml:space="preserve">ett </w:t>
      </w:r>
      <w:r w:rsidR="00F45D90" w:rsidRPr="00181714">
        <w:rPr>
          <w:rFonts w:ascii="Garamond" w:hAnsi="Garamond"/>
        </w:rPr>
        <w:t>intressant</w:t>
      </w:r>
      <w:r w:rsidR="003F1019" w:rsidRPr="00181714">
        <w:rPr>
          <w:rFonts w:ascii="Garamond" w:hAnsi="Garamond"/>
        </w:rPr>
        <w:t xml:space="preserve"> alt</w:t>
      </w:r>
      <w:r w:rsidR="00F45D90" w:rsidRPr="00181714">
        <w:rPr>
          <w:rFonts w:ascii="Garamond" w:hAnsi="Garamond"/>
        </w:rPr>
        <w:t xml:space="preserve">. </w:t>
      </w:r>
    </w:p>
    <w:p w:rsidR="00F45D90" w:rsidRPr="00181714" w:rsidRDefault="00F45D90">
      <w:pPr>
        <w:pStyle w:val="Brdtext1"/>
        <w:rPr>
          <w:rFonts w:ascii="Garamond" w:hAnsi="Garamond"/>
        </w:rPr>
      </w:pPr>
    </w:p>
    <w:p w:rsidR="00F45D90" w:rsidRPr="00181714" w:rsidRDefault="00F45D90">
      <w:pPr>
        <w:pStyle w:val="Brdtext1"/>
        <w:rPr>
          <w:rFonts w:ascii="Garamond" w:hAnsi="Garamond"/>
        </w:rPr>
      </w:pPr>
      <w:r w:rsidRPr="00181714">
        <w:rPr>
          <w:rFonts w:ascii="Garamond" w:hAnsi="Garamond"/>
        </w:rPr>
        <w:t xml:space="preserve">Även </w:t>
      </w:r>
      <w:r w:rsidRPr="00181714">
        <w:rPr>
          <w:rFonts w:ascii="Garamond" w:hAnsi="Garamond"/>
          <w:b/>
        </w:rPr>
        <w:t>COPA-COCEGA</w:t>
      </w:r>
      <w:r w:rsidRPr="00181714">
        <w:rPr>
          <w:rFonts w:ascii="Garamond" w:hAnsi="Garamond"/>
        </w:rPr>
        <w:t xml:space="preserve"> (paraplyorgan för </w:t>
      </w:r>
      <w:r w:rsidR="003F1019" w:rsidRPr="00181714">
        <w:rPr>
          <w:rFonts w:ascii="Garamond" w:hAnsi="Garamond"/>
        </w:rPr>
        <w:t xml:space="preserve">EU:s </w:t>
      </w:r>
      <w:r w:rsidRPr="00181714">
        <w:rPr>
          <w:rFonts w:ascii="Garamond" w:hAnsi="Garamond"/>
        </w:rPr>
        <w:t xml:space="preserve">lantbruksorganisationer) och </w:t>
      </w:r>
      <w:r w:rsidRPr="00181714">
        <w:rPr>
          <w:rFonts w:ascii="Garamond" w:hAnsi="Garamond"/>
          <w:b/>
        </w:rPr>
        <w:t>CEJA</w:t>
      </w:r>
      <w:r w:rsidRPr="00181714">
        <w:rPr>
          <w:rFonts w:ascii="Garamond" w:hAnsi="Garamond"/>
        </w:rPr>
        <w:t xml:space="preserve"> (paraplyorgan för unga lantbrukar</w:t>
      </w:r>
      <w:r w:rsidR="006167A4" w:rsidRPr="00181714">
        <w:rPr>
          <w:rFonts w:ascii="Garamond" w:hAnsi="Garamond"/>
        </w:rPr>
        <w:t>e) uttalade sig om framtiden. Hänvisningar gjordes till betydelsen av jordbrukssektorn och CAP för landsbygden och som livsmedelsproducent. CAP behövs även i framtiden, särskilt stöd inom pelare I är viktiga då jordbrukets huvudsakliga syfte är att producera mat. Det behövs även jordbruksproduktion i alla regioner i EU.</w:t>
      </w:r>
    </w:p>
    <w:p w:rsidR="006167A4" w:rsidRPr="00181714" w:rsidRDefault="006167A4">
      <w:pPr>
        <w:pStyle w:val="Brdtext1"/>
        <w:rPr>
          <w:rFonts w:ascii="Garamond" w:hAnsi="Garamond"/>
        </w:rPr>
      </w:pPr>
      <w:r w:rsidRPr="00181714">
        <w:rPr>
          <w:rFonts w:ascii="Garamond" w:hAnsi="Garamond"/>
        </w:rPr>
        <w:t xml:space="preserve">Av MS inlägg fanns det vissa återkommande synpunkter. Flera MS ansåg att direktstöden behövs för att kompensera för de högre kostnader som möter EU-producenter jämfört med producenter i tredje land beroende på striktare regler vad gäller t.ex. djurskydd och miljö. Många </w:t>
      </w:r>
      <w:r w:rsidR="00E97CEC" w:rsidRPr="00181714">
        <w:rPr>
          <w:rFonts w:ascii="Garamond" w:hAnsi="Garamond"/>
        </w:rPr>
        <w:t>MS</w:t>
      </w:r>
      <w:r w:rsidRPr="00181714">
        <w:rPr>
          <w:rFonts w:ascii="Garamond" w:hAnsi="Garamond"/>
        </w:rPr>
        <w:t xml:space="preserve"> påpekade också behovet av att även efter 2013 ha kvar någon sorts säkerhetsnät även om exportbidrag och intervention fasas ut. </w:t>
      </w:r>
      <w:r w:rsidR="00E97CEC" w:rsidRPr="00181714">
        <w:rPr>
          <w:rFonts w:ascii="Garamond" w:hAnsi="Garamond"/>
        </w:rPr>
        <w:t>En MS</w:t>
      </w:r>
      <w:r w:rsidR="001E05D5" w:rsidRPr="00181714">
        <w:rPr>
          <w:rFonts w:ascii="Garamond" w:hAnsi="Garamond"/>
        </w:rPr>
        <w:t xml:space="preserve"> efterfrågade dock fortsatt exportstöd. </w:t>
      </w:r>
      <w:r w:rsidR="003F1019" w:rsidRPr="00181714">
        <w:rPr>
          <w:rFonts w:ascii="Garamond" w:hAnsi="Garamond"/>
        </w:rPr>
        <w:t>Några MS</w:t>
      </w:r>
      <w:r w:rsidR="000E713A" w:rsidRPr="00181714">
        <w:rPr>
          <w:rFonts w:ascii="Garamond" w:hAnsi="Garamond"/>
        </w:rPr>
        <w:t xml:space="preserve"> </w:t>
      </w:r>
      <w:r w:rsidRPr="00181714">
        <w:rPr>
          <w:rFonts w:ascii="Garamond" w:hAnsi="Garamond"/>
        </w:rPr>
        <w:t>ansåg även att det inte är möjligt att ha ett enhetligt arealstöd i hela EU, produktionsförutsättningarna och kostnadsläget ser helt olika ut i olika MS. Exempelvis är löneläget, skattetrycket, markvärdet olika.</w:t>
      </w:r>
      <w:r w:rsidR="00E97CEC" w:rsidRPr="00181714">
        <w:rPr>
          <w:rFonts w:ascii="Garamond" w:hAnsi="Garamond"/>
        </w:rPr>
        <w:t xml:space="preserve"> Flera nya </w:t>
      </w:r>
      <w:r w:rsidR="00086C8A" w:rsidRPr="00181714">
        <w:rPr>
          <w:rFonts w:ascii="Garamond" w:hAnsi="Garamond"/>
        </w:rPr>
        <w:t xml:space="preserve">MS </w:t>
      </w:r>
      <w:r w:rsidR="001E05D5" w:rsidRPr="00181714">
        <w:rPr>
          <w:rFonts w:ascii="Garamond" w:hAnsi="Garamond"/>
        </w:rPr>
        <w:t xml:space="preserve">uttryckte tydligt krav på lika nivåer på direktstöden efter 2013. </w:t>
      </w:r>
      <w:r w:rsidR="00E97CEC" w:rsidRPr="00181714">
        <w:rPr>
          <w:rFonts w:ascii="Garamond" w:hAnsi="Garamond"/>
        </w:rPr>
        <w:t>En av dessa</w:t>
      </w:r>
      <w:r w:rsidR="001E05D5" w:rsidRPr="00181714">
        <w:rPr>
          <w:rFonts w:ascii="Garamond" w:hAnsi="Garamond"/>
        </w:rPr>
        <w:t xml:space="preserve"> föreslog även ett maxtak på direk</w:t>
      </w:r>
      <w:r w:rsidR="00BB0566" w:rsidRPr="00181714">
        <w:rPr>
          <w:rFonts w:ascii="Garamond" w:hAnsi="Garamond"/>
        </w:rPr>
        <w:t>t</w:t>
      </w:r>
      <w:r w:rsidR="001E05D5" w:rsidRPr="00181714">
        <w:rPr>
          <w:rFonts w:ascii="Garamond" w:hAnsi="Garamond"/>
        </w:rPr>
        <w:t>stöden.</w:t>
      </w:r>
      <w:r w:rsidR="00BB0566" w:rsidRPr="00181714">
        <w:rPr>
          <w:rFonts w:ascii="Garamond" w:hAnsi="Garamond"/>
        </w:rPr>
        <w:t xml:space="preserve"> Flera MS poängterade även vikten av att diskutera LFA-stöden samtidigt som direktstöden.</w:t>
      </w:r>
    </w:p>
    <w:p w:rsidR="00E3163C" w:rsidRPr="00181714" w:rsidRDefault="00E3163C">
      <w:pPr>
        <w:pStyle w:val="Brdtext1"/>
        <w:rPr>
          <w:rFonts w:ascii="Garamond" w:hAnsi="Garamond"/>
        </w:rPr>
      </w:pPr>
    </w:p>
    <w:p w:rsidR="001E05D5" w:rsidRPr="00181714" w:rsidRDefault="001E05D5">
      <w:pPr>
        <w:pStyle w:val="Brdtext1"/>
        <w:rPr>
          <w:rFonts w:ascii="Garamond" w:hAnsi="Garamond"/>
        </w:rPr>
      </w:pPr>
      <w:r w:rsidRPr="00181714">
        <w:rPr>
          <w:rFonts w:ascii="Garamond" w:hAnsi="Garamond"/>
        </w:rPr>
        <w:t xml:space="preserve">Nedan ges en något mer detaljerad beskrivning av några </w:t>
      </w:r>
      <w:r w:rsidR="00BB0566" w:rsidRPr="00181714">
        <w:rPr>
          <w:rFonts w:ascii="Garamond" w:hAnsi="Garamond"/>
        </w:rPr>
        <w:t>av</w:t>
      </w:r>
      <w:r w:rsidRPr="00181714">
        <w:rPr>
          <w:rFonts w:ascii="Garamond" w:hAnsi="Garamond"/>
        </w:rPr>
        <w:t xml:space="preserve"> inlägg</w:t>
      </w:r>
      <w:r w:rsidR="00BB0566" w:rsidRPr="00181714">
        <w:rPr>
          <w:rFonts w:ascii="Garamond" w:hAnsi="Garamond"/>
        </w:rPr>
        <w:t>en</w:t>
      </w:r>
      <w:r w:rsidRPr="00181714">
        <w:rPr>
          <w:rFonts w:ascii="Garamond" w:hAnsi="Garamond"/>
        </w:rPr>
        <w:t xml:space="preserve">. </w:t>
      </w:r>
    </w:p>
    <w:p w:rsidR="001E05D5" w:rsidRPr="00181714" w:rsidRDefault="001E05D5">
      <w:pPr>
        <w:pStyle w:val="Brdtext1"/>
        <w:rPr>
          <w:rFonts w:ascii="Garamond" w:hAnsi="Garamond"/>
        </w:rPr>
      </w:pPr>
    </w:p>
    <w:p w:rsidR="00E3163C" w:rsidRPr="00181714" w:rsidRDefault="00E97CEC">
      <w:pPr>
        <w:pStyle w:val="Brdtext1"/>
        <w:rPr>
          <w:rFonts w:ascii="Garamond" w:hAnsi="Garamond"/>
        </w:rPr>
      </w:pPr>
      <w:r w:rsidRPr="00181714">
        <w:rPr>
          <w:rFonts w:ascii="Garamond" w:hAnsi="Garamond"/>
        </w:rPr>
        <w:t>En MS</w:t>
      </w:r>
      <w:r w:rsidR="001E05D5" w:rsidRPr="00181714">
        <w:rPr>
          <w:rFonts w:ascii="Garamond" w:hAnsi="Garamond"/>
        </w:rPr>
        <w:t xml:space="preserve"> förklarade vikten av någon form av marknadsstöd för likviditeten för jordbrukarna. Pelare II-stöden bör utvecklas och kompensation bör utgå för naturliga svårigheter. Medel bör riktas tydlig mot resp. pelare så att modulering inte längre fyller ett syfte. Vi behöver se mer på frågan om nivåer på stöden i de olika MS och då är det relevant </w:t>
      </w:r>
      <w:r w:rsidR="003F1019" w:rsidRPr="00181714">
        <w:rPr>
          <w:rFonts w:ascii="Garamond" w:hAnsi="Garamond"/>
        </w:rPr>
        <w:t xml:space="preserve">att </w:t>
      </w:r>
      <w:r w:rsidR="001E05D5" w:rsidRPr="00181714">
        <w:rPr>
          <w:rFonts w:ascii="Garamond" w:hAnsi="Garamond"/>
        </w:rPr>
        <w:t xml:space="preserve">jämföra med inkomster i </w:t>
      </w:r>
      <w:r w:rsidR="003F1019" w:rsidRPr="00181714">
        <w:rPr>
          <w:rFonts w:ascii="Garamond" w:hAnsi="Garamond"/>
        </w:rPr>
        <w:t>övriga</w:t>
      </w:r>
      <w:r w:rsidR="001E05D5" w:rsidRPr="00181714">
        <w:rPr>
          <w:rFonts w:ascii="Garamond" w:hAnsi="Garamond"/>
        </w:rPr>
        <w:t xml:space="preserve"> sektorer i resp. MS. Vi bör även se hur strukturfonderna verkar tillsammans med jordbruksstöd för att tillhandahålla inkomster.</w:t>
      </w:r>
    </w:p>
    <w:p w:rsidR="001E05D5" w:rsidRPr="00181714" w:rsidRDefault="001E05D5">
      <w:pPr>
        <w:pStyle w:val="Brdtext1"/>
        <w:rPr>
          <w:rFonts w:ascii="Garamond" w:hAnsi="Garamond"/>
        </w:rPr>
      </w:pPr>
    </w:p>
    <w:p w:rsidR="001E05D5" w:rsidRPr="00181714" w:rsidRDefault="00E97CEC">
      <w:pPr>
        <w:pStyle w:val="Brdtext1"/>
        <w:rPr>
          <w:rFonts w:ascii="Garamond" w:hAnsi="Garamond"/>
        </w:rPr>
      </w:pPr>
      <w:r w:rsidRPr="00181714">
        <w:rPr>
          <w:rFonts w:ascii="Garamond" w:hAnsi="Garamond"/>
        </w:rPr>
        <w:t>En annan MS</w:t>
      </w:r>
      <w:r w:rsidR="001E05D5" w:rsidRPr="00181714">
        <w:rPr>
          <w:rFonts w:ascii="Garamond" w:hAnsi="Garamond"/>
        </w:rPr>
        <w:t xml:space="preserve"> välkomnade diskussionen om CAP innan budgetdiskussionen. Direktstöden är viktiga, de bidrar också till tillhandahållande av kollektiva nyttigheter. Dessa frågor tillsammans med marknadsstöden måste diskuteras i ett samlat grepp. Jordbruksproduktion i alla regioner måste möjliggöras. Att producera mat är jordbrukets huvudsakliga uppgift. Marknadsstöden måste vara mer flexibla än idag. </w:t>
      </w:r>
      <w:r w:rsidR="00BB0566" w:rsidRPr="00181714">
        <w:rPr>
          <w:rFonts w:ascii="Garamond" w:hAnsi="Garamond"/>
        </w:rPr>
        <w:t>Även om den historiska kopplingen bör brytas är det viktigt att komma ihåg att rättvisa inte är detsamma som lika mycket eller samma nivåer. Ett enhetligt stöd är inte lösningen.</w:t>
      </w:r>
    </w:p>
    <w:p w:rsidR="00BB0566" w:rsidRPr="00181714" w:rsidRDefault="00BB0566">
      <w:pPr>
        <w:pStyle w:val="Brdtext1"/>
        <w:rPr>
          <w:rFonts w:ascii="Garamond" w:hAnsi="Garamond"/>
        </w:rPr>
      </w:pPr>
    </w:p>
    <w:p w:rsidR="00BB0566" w:rsidRPr="00181714" w:rsidRDefault="00E97CEC">
      <w:pPr>
        <w:pStyle w:val="Brdtext1"/>
        <w:rPr>
          <w:rFonts w:ascii="Garamond" w:hAnsi="Garamond"/>
        </w:rPr>
      </w:pPr>
      <w:r w:rsidRPr="00181714">
        <w:rPr>
          <w:rFonts w:ascii="Garamond" w:hAnsi="Garamond"/>
        </w:rPr>
        <w:t>En MS</w:t>
      </w:r>
      <w:r w:rsidR="00BB0566" w:rsidRPr="00181714">
        <w:rPr>
          <w:rFonts w:ascii="Garamond" w:hAnsi="Garamond"/>
        </w:rPr>
        <w:t xml:space="preserve"> bedömde att pelare I ska fokusera på ekonomisk och social sammanhållning medan pelare II ska fokusera på konkurrenskraft. Direktstöden ska frikopplas, men det bör ändå finnas någon sorts koppling till livsmedelsproduktion.</w:t>
      </w:r>
      <w:r w:rsidR="00086C8A" w:rsidRPr="00181714">
        <w:rPr>
          <w:rFonts w:ascii="Garamond" w:hAnsi="Garamond"/>
        </w:rPr>
        <w:t xml:space="preserve"> Detta nämnde även </w:t>
      </w:r>
      <w:r w:rsidRPr="00181714">
        <w:rPr>
          <w:rFonts w:ascii="Garamond" w:hAnsi="Garamond"/>
        </w:rPr>
        <w:t>en annan MS</w:t>
      </w:r>
      <w:r w:rsidR="00086C8A" w:rsidRPr="00181714">
        <w:rPr>
          <w:rFonts w:ascii="Garamond" w:hAnsi="Garamond"/>
        </w:rPr>
        <w:t xml:space="preserve">. </w:t>
      </w:r>
    </w:p>
    <w:p w:rsidR="00BB0566" w:rsidRPr="00181714" w:rsidRDefault="00BB0566">
      <w:pPr>
        <w:pStyle w:val="Brdtext1"/>
        <w:rPr>
          <w:rFonts w:ascii="Garamond" w:hAnsi="Garamond"/>
        </w:rPr>
      </w:pPr>
    </w:p>
    <w:p w:rsidR="00BB0566" w:rsidRPr="00181714" w:rsidRDefault="00E97CEC">
      <w:pPr>
        <w:pStyle w:val="Brdtext1"/>
        <w:rPr>
          <w:rFonts w:ascii="Garamond" w:hAnsi="Garamond"/>
        </w:rPr>
      </w:pPr>
      <w:r w:rsidRPr="00181714">
        <w:rPr>
          <w:rFonts w:ascii="Garamond" w:hAnsi="Garamond"/>
        </w:rPr>
        <w:t>En annan MS</w:t>
      </w:r>
      <w:r w:rsidR="00BB0566" w:rsidRPr="00181714">
        <w:rPr>
          <w:rFonts w:ascii="Garamond" w:hAnsi="Garamond"/>
        </w:rPr>
        <w:t xml:space="preserve"> förklarade att fortsatta reformer är en nödvändighet för att möta framtida utmaningar, t.ex. klimatförändringar. </w:t>
      </w:r>
      <w:r w:rsidR="00086C8A" w:rsidRPr="00181714">
        <w:rPr>
          <w:rFonts w:ascii="Garamond" w:hAnsi="Garamond"/>
        </w:rPr>
        <w:t xml:space="preserve">Man efterfrågade bättre riktade stöd, dagens system bidrar inte till att möta utmaningarna. Budgettrycket är högt och vi måste fokusera på de verkligt prioriterade områdena för att effektivt utnyttja befintliga medel. Man förstår att det inte är rimligt med ett borttagande av direktstöden 2013 utan att en övergång krävs. Borde vara möjligt till 2020. Att bryta den historiska kopplingen är nödvändigt men inte tillräckligt för att möta nya utmaningar. </w:t>
      </w:r>
    </w:p>
    <w:p w:rsidR="00D87426" w:rsidRPr="00181714" w:rsidRDefault="00D87426">
      <w:pPr>
        <w:pStyle w:val="Brdtext1"/>
        <w:rPr>
          <w:rFonts w:ascii="Garamond" w:hAnsi="Garamond"/>
        </w:rPr>
      </w:pPr>
    </w:p>
    <w:p w:rsidR="00036580" w:rsidRPr="00181714" w:rsidRDefault="00E97CEC">
      <w:pPr>
        <w:pStyle w:val="Brdtext1"/>
        <w:rPr>
          <w:rFonts w:ascii="Garamond" w:hAnsi="Garamond"/>
        </w:rPr>
      </w:pPr>
      <w:r w:rsidRPr="00181714">
        <w:rPr>
          <w:rFonts w:ascii="Garamond" w:hAnsi="Garamond"/>
        </w:rPr>
        <w:t>Ytterligare en MS:s</w:t>
      </w:r>
      <w:r w:rsidR="00036580" w:rsidRPr="00181714">
        <w:rPr>
          <w:rFonts w:ascii="Garamond" w:hAnsi="Garamond"/>
        </w:rPr>
        <w:t xml:space="preserve"> uppfattning är att vi först ska komma överens om målen, därefter medlen. </w:t>
      </w:r>
      <w:r w:rsidRPr="00181714">
        <w:rPr>
          <w:rFonts w:ascii="Garamond" w:hAnsi="Garamond"/>
        </w:rPr>
        <w:t>Medlemsstaten</w:t>
      </w:r>
      <w:r w:rsidR="00086C8A" w:rsidRPr="00181714">
        <w:rPr>
          <w:rFonts w:ascii="Garamond" w:hAnsi="Garamond"/>
        </w:rPr>
        <w:t xml:space="preserve"> kunde se ett behov av ett allmänt inkomststöd för att uppmuntra kunskap och innovation som är nödvändigt för konkurrenskraften. Riktat stöd för kollektiva nyttigheter bidrar till allmänheten och skattebetalarnas förtroende. Aktiviteter utan jordbrukskoppling i landsbygdsområden passar lämpligen i sammanhållningspolitiken.</w:t>
      </w:r>
      <w:r w:rsidR="009706B3" w:rsidRPr="00181714">
        <w:rPr>
          <w:rFonts w:ascii="Garamond" w:hAnsi="Garamond"/>
        </w:rPr>
        <w:t xml:space="preserve"> Även </w:t>
      </w:r>
      <w:r w:rsidRPr="00181714">
        <w:rPr>
          <w:rFonts w:ascii="Garamond" w:hAnsi="Garamond"/>
        </w:rPr>
        <w:t>en annan MS</w:t>
      </w:r>
      <w:r w:rsidR="009706B3" w:rsidRPr="00181714">
        <w:rPr>
          <w:rFonts w:ascii="Garamond" w:hAnsi="Garamond"/>
        </w:rPr>
        <w:t xml:space="preserve"> pekade på vikten av kunskap och innovation som grund för konkurrenskraften. </w:t>
      </w:r>
    </w:p>
    <w:p w:rsidR="00086C8A" w:rsidRPr="00181714" w:rsidRDefault="00086C8A">
      <w:pPr>
        <w:pStyle w:val="Brdtext1"/>
        <w:rPr>
          <w:rFonts w:ascii="Garamond" w:hAnsi="Garamond"/>
        </w:rPr>
      </w:pPr>
    </w:p>
    <w:p w:rsidR="009706B3" w:rsidRPr="00181714" w:rsidRDefault="000E713A">
      <w:pPr>
        <w:pStyle w:val="Brdtext1"/>
        <w:rPr>
          <w:rFonts w:ascii="Garamond" w:hAnsi="Garamond"/>
        </w:rPr>
      </w:pPr>
      <w:r w:rsidRPr="00181714">
        <w:rPr>
          <w:rFonts w:ascii="Garamond" w:hAnsi="Garamond"/>
          <w:b/>
        </w:rPr>
        <w:t>SE</w:t>
      </w:r>
      <w:r w:rsidR="009706B3" w:rsidRPr="00181714">
        <w:rPr>
          <w:rFonts w:ascii="Garamond" w:hAnsi="Garamond"/>
        </w:rPr>
        <w:t xml:space="preserve"> (Erlandsson) förklarade att en utgångspunkt är en tro på EU:s jordbrukare och att dessa ska bemötas som verkliga företagare och naturresursförvaltare. Siktet bör vara inställt på en utfasning av de rena inkomststöden, i ett läge med ekonomisk kris är det inte försvarbart att en särskild sektor får ett inkomststöd. I stället bör CAP mer fokusera på kollektiva nyttigheter och naturbetingade svårigheter. Inriktningen av hälsokontrollen bör fortsätta, d.v.s. marknadsorientering och frikoppling följt av sänkta stödnivåer. Detta möjliggör en kraftig minskning av CAP:s andel av budgeten till förmån för andra politikområden. Detta tar tid, under vilken vi måste bryta den historiska kopplingen. </w:t>
      </w:r>
    </w:p>
    <w:p w:rsidR="009706B3" w:rsidRPr="00181714" w:rsidRDefault="009706B3">
      <w:pPr>
        <w:pStyle w:val="Brdtext1"/>
        <w:rPr>
          <w:rFonts w:ascii="Garamond" w:hAnsi="Garamond"/>
        </w:rPr>
      </w:pPr>
    </w:p>
    <w:p w:rsidR="000E713A" w:rsidRPr="00181714" w:rsidRDefault="00E97CEC">
      <w:pPr>
        <w:pStyle w:val="Brdtext1"/>
        <w:rPr>
          <w:rFonts w:ascii="Garamond" w:hAnsi="Garamond"/>
        </w:rPr>
      </w:pPr>
      <w:r w:rsidRPr="00181714">
        <w:rPr>
          <w:rFonts w:ascii="Garamond" w:hAnsi="Garamond"/>
        </w:rPr>
        <w:t>En MS</w:t>
      </w:r>
      <w:r w:rsidR="000E713A" w:rsidRPr="00181714">
        <w:rPr>
          <w:rFonts w:ascii="Garamond" w:hAnsi="Garamond"/>
        </w:rPr>
        <w:t xml:space="preserve"> gjorde ett inlägg om behovet av förenkling och transparens och beskrev den politiska utveckling på jordbruksområdet.</w:t>
      </w:r>
    </w:p>
    <w:p w:rsidR="000E713A" w:rsidRPr="00181714" w:rsidRDefault="000E713A">
      <w:pPr>
        <w:pStyle w:val="Brdtext1"/>
        <w:rPr>
          <w:rFonts w:ascii="Garamond" w:hAnsi="Garamond"/>
        </w:rPr>
      </w:pPr>
    </w:p>
    <w:p w:rsidR="000E713A" w:rsidRPr="00181714" w:rsidRDefault="000E713A">
      <w:pPr>
        <w:pStyle w:val="Brdtext1"/>
        <w:rPr>
          <w:rFonts w:ascii="Garamond" w:hAnsi="Garamond"/>
        </w:rPr>
      </w:pPr>
      <w:r w:rsidRPr="00181714">
        <w:rPr>
          <w:rFonts w:ascii="Garamond" w:hAnsi="Garamond"/>
          <w:b/>
        </w:rPr>
        <w:t>ORDF</w:t>
      </w:r>
      <w:r w:rsidRPr="00181714">
        <w:rPr>
          <w:rFonts w:ascii="Garamond" w:hAnsi="Garamond"/>
        </w:rPr>
        <w:t xml:space="preserve"> bekräftade i sin summering att det finns stöd för att frågan om direktstöden är både viktigt och komplex och att det är viktigt att vi diskuterar den just nu. Direktstöden är ett huvudinstrument i CAP och CAP är i sin tur nödvändigt för att säkra livsmedelstillgången och erbjuda livskvalitet i landsbygdsområden. Han konstaterade även att ett antal MS inte anser att CAP är trovärdig om stödnivåerna även efter 2013 är olika i olika MS. Direktstöden måste också ses i relation till marknadsstöden och LBP.</w:t>
      </w:r>
    </w:p>
    <w:p w:rsidR="000E713A" w:rsidRPr="00181714" w:rsidRDefault="000E713A">
      <w:pPr>
        <w:pStyle w:val="Brdtext1"/>
        <w:rPr>
          <w:rFonts w:ascii="Garamond" w:hAnsi="Garamond"/>
        </w:rPr>
      </w:pPr>
    </w:p>
    <w:p w:rsidR="000E713A" w:rsidRPr="00181714" w:rsidRDefault="003F1019">
      <w:pPr>
        <w:pStyle w:val="Brdtext1"/>
        <w:rPr>
          <w:rFonts w:ascii="Garamond" w:hAnsi="Garamond"/>
        </w:rPr>
      </w:pPr>
      <w:r w:rsidRPr="00181714">
        <w:rPr>
          <w:rFonts w:ascii="Garamond" w:hAnsi="Garamond"/>
        </w:rPr>
        <w:t xml:space="preserve">ORDF kommer </w:t>
      </w:r>
      <w:r w:rsidR="000E713A" w:rsidRPr="00181714">
        <w:rPr>
          <w:rFonts w:ascii="Garamond" w:hAnsi="Garamond"/>
        </w:rPr>
        <w:t>att försöka anta rådsslutsatser på detta tema, med början i SJK den 8 juni.</w:t>
      </w:r>
    </w:p>
    <w:p w:rsidR="000E713A" w:rsidRPr="00181714" w:rsidRDefault="000E713A">
      <w:pPr>
        <w:pStyle w:val="Brdtext1"/>
        <w:rPr>
          <w:rFonts w:ascii="Garamond" w:hAnsi="Garamond"/>
        </w:rPr>
      </w:pPr>
    </w:p>
    <w:p w:rsidR="001476D1" w:rsidRPr="00181714" w:rsidRDefault="001476D1">
      <w:pPr>
        <w:pStyle w:val="Brdtext1"/>
        <w:rPr>
          <w:rFonts w:ascii="Garamond" w:hAnsi="Garamond"/>
        </w:rPr>
      </w:pPr>
      <w:r w:rsidRPr="00181714">
        <w:rPr>
          <w:rFonts w:ascii="Garamond" w:hAnsi="Garamond"/>
        </w:rPr>
        <w:t xml:space="preserve">Nästa </w:t>
      </w:r>
      <w:r w:rsidR="00086C8A" w:rsidRPr="00181714">
        <w:rPr>
          <w:rFonts w:ascii="Garamond" w:hAnsi="Garamond"/>
        </w:rPr>
        <w:t xml:space="preserve">ordinarie </w:t>
      </w:r>
      <w:r w:rsidRPr="00181714">
        <w:rPr>
          <w:rFonts w:ascii="Garamond" w:hAnsi="Garamond"/>
        </w:rPr>
        <w:t xml:space="preserve">rådsmöte äger rum den </w:t>
      </w:r>
      <w:r w:rsidR="007A4411" w:rsidRPr="00181714">
        <w:rPr>
          <w:rFonts w:ascii="Garamond" w:hAnsi="Garamond"/>
        </w:rPr>
        <w:t>22-23 juni</w:t>
      </w:r>
      <w:r w:rsidR="00EE6EE7" w:rsidRPr="00181714">
        <w:rPr>
          <w:rFonts w:ascii="Garamond" w:hAnsi="Garamond"/>
        </w:rPr>
        <w:t xml:space="preserve"> 2009</w:t>
      </w:r>
      <w:r w:rsidR="007A4411" w:rsidRPr="00181714">
        <w:rPr>
          <w:rFonts w:ascii="Garamond" w:hAnsi="Garamond"/>
        </w:rPr>
        <w:t xml:space="preserve"> i Luxemburg</w:t>
      </w:r>
      <w:r w:rsidRPr="00181714">
        <w:rPr>
          <w:rFonts w:ascii="Garamond" w:hAnsi="Garamond"/>
        </w:rPr>
        <w:t>.</w:t>
      </w:r>
    </w:p>
    <w:p w:rsidR="001476D1" w:rsidRPr="00181714" w:rsidRDefault="001476D1">
      <w:pPr>
        <w:pStyle w:val="Brdtext1"/>
      </w:pPr>
    </w:p>
    <w:p w:rsidR="001476D1" w:rsidRPr="00181714" w:rsidRDefault="001476D1">
      <w:pPr>
        <w:rPr>
          <w:rFonts w:ascii="Garamond" w:hAnsi="Garamond"/>
          <w:sz w:val="24"/>
        </w:rPr>
      </w:pPr>
    </w:p>
    <w:p w:rsidR="001476D1" w:rsidRPr="00181714" w:rsidRDefault="001476D1">
      <w:pPr>
        <w:rPr>
          <w:rFonts w:ascii="Garamond" w:hAnsi="Garamond"/>
          <w:sz w:val="24"/>
        </w:rPr>
      </w:pPr>
      <w:r w:rsidRPr="00181714">
        <w:rPr>
          <w:rFonts w:ascii="Garamond" w:hAnsi="Garamond"/>
          <w:sz w:val="24"/>
        </w:rPr>
        <w:t>REPRESENTATIONEN</w:t>
      </w:r>
    </w:p>
    <w:p w:rsidR="001476D1" w:rsidRPr="00181714" w:rsidRDefault="001476D1">
      <w:pPr>
        <w:rPr>
          <w:rFonts w:ascii="Garamond" w:hAnsi="Garamond"/>
          <w:sz w:val="24"/>
        </w:rPr>
      </w:pPr>
    </w:p>
    <w:p w:rsidR="001476D1" w:rsidRPr="00181714" w:rsidRDefault="00C53962">
      <w:pPr>
        <w:rPr>
          <w:rFonts w:ascii="Garamond" w:hAnsi="Garamond"/>
          <w:sz w:val="24"/>
        </w:rPr>
      </w:pPr>
      <w:r w:rsidRPr="00181714">
        <w:rPr>
          <w:rFonts w:ascii="Garamond" w:hAnsi="Garamond"/>
          <w:sz w:val="24"/>
        </w:rPr>
        <w:t>Danielsson</w:t>
      </w:r>
    </w:p>
    <w:sectPr w:rsidR="001476D1" w:rsidRPr="00181714">
      <w:headerReference w:type="default" r:id="rId8"/>
      <w:footerReference w:type="default" r:id="rId9"/>
      <w:footerReference w:type="first" r:id="rId10"/>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34A" w:rsidRPr="00181714" w:rsidRDefault="0045734A">
      <w:r w:rsidRPr="00181714">
        <w:separator/>
      </w:r>
    </w:p>
  </w:endnote>
  <w:endnote w:type="continuationSeparator" w:id="0">
    <w:p w:rsidR="0045734A" w:rsidRPr="00181714" w:rsidRDefault="0045734A">
      <w:r w:rsidRPr="001817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76" w:rsidRPr="00181714" w:rsidRDefault="00E51076">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E51076" w:rsidRPr="00181714">
      <w:tblPrEx>
        <w:tblCellMar>
          <w:top w:w="0" w:type="dxa"/>
          <w:left w:w="0" w:type="dxa"/>
          <w:bottom w:w="0" w:type="dxa"/>
          <w:right w:w="0" w:type="dxa"/>
        </w:tblCellMar>
      </w:tblPrEx>
      <w:tc>
        <w:tcPr>
          <w:tcW w:w="1871" w:type="dxa"/>
          <w:tcBorders>
            <w:top w:val="nil"/>
            <w:left w:val="nil"/>
            <w:bottom w:val="nil"/>
            <w:right w:val="nil"/>
          </w:tcBorders>
        </w:tcPr>
        <w:p w:rsidR="00E51076" w:rsidRPr="00181714" w:rsidRDefault="00E51076">
          <w:pPr>
            <w:pStyle w:val="Sidfot"/>
            <w:rPr>
              <w:rFonts w:ascii="Arial" w:hAnsi="Arial"/>
              <w:sz w:val="12"/>
            </w:rPr>
          </w:pPr>
        </w:p>
      </w:tc>
      <w:tc>
        <w:tcPr>
          <w:tcW w:w="1928" w:type="dxa"/>
          <w:tcBorders>
            <w:top w:val="nil"/>
            <w:left w:val="nil"/>
            <w:bottom w:val="nil"/>
            <w:right w:val="nil"/>
          </w:tcBorders>
        </w:tcPr>
        <w:p w:rsidR="00E51076" w:rsidRPr="00181714" w:rsidRDefault="00E51076">
          <w:pPr>
            <w:pStyle w:val="Sidfot"/>
            <w:rPr>
              <w:rFonts w:ascii="TradeGothic" w:hAnsi="TradeGothic"/>
              <w:sz w:val="12"/>
            </w:rPr>
          </w:pPr>
        </w:p>
      </w:tc>
      <w:tc>
        <w:tcPr>
          <w:tcW w:w="3572" w:type="dxa"/>
          <w:tcBorders>
            <w:top w:val="nil"/>
            <w:left w:val="nil"/>
            <w:bottom w:val="nil"/>
            <w:right w:val="nil"/>
          </w:tcBorders>
        </w:tcPr>
        <w:p w:rsidR="00E51076" w:rsidRPr="00181714" w:rsidRDefault="00E51076">
          <w:pPr>
            <w:pStyle w:val="Sidfot"/>
            <w:rPr>
              <w:rFonts w:ascii="TradeGothic" w:hAnsi="TradeGothic"/>
              <w:sz w:val="12"/>
            </w:rPr>
          </w:pPr>
        </w:p>
      </w:tc>
    </w:tr>
    <w:tr w:rsidR="00E51076" w:rsidRPr="00181714">
      <w:tblPrEx>
        <w:tblCellMar>
          <w:top w:w="0" w:type="dxa"/>
          <w:left w:w="0" w:type="dxa"/>
          <w:bottom w:w="0" w:type="dxa"/>
          <w:right w:w="0" w:type="dxa"/>
        </w:tblCellMar>
      </w:tblPrEx>
      <w:tc>
        <w:tcPr>
          <w:tcW w:w="1871" w:type="dxa"/>
          <w:tcBorders>
            <w:top w:val="single" w:sz="6" w:space="0" w:color="auto"/>
            <w:left w:val="nil"/>
            <w:bottom w:val="nil"/>
            <w:right w:val="nil"/>
          </w:tcBorders>
        </w:tcPr>
        <w:p w:rsidR="00E51076" w:rsidRPr="00181714" w:rsidRDefault="00E51076">
          <w:pPr>
            <w:pStyle w:val="Sidfot"/>
            <w:spacing w:before="40"/>
            <w:rPr>
              <w:rFonts w:ascii="TradeGothic" w:hAnsi="TradeGothic"/>
              <w:i/>
              <w:sz w:val="12"/>
            </w:rPr>
          </w:pPr>
          <w:r w:rsidRPr="00181714">
            <w:rPr>
              <w:rFonts w:ascii="TradeGothic" w:hAnsi="TradeGothic"/>
              <w:i/>
              <w:sz w:val="12"/>
            </w:rPr>
            <w:t>Postadress</w:t>
          </w:r>
        </w:p>
      </w:tc>
      <w:tc>
        <w:tcPr>
          <w:tcW w:w="1928" w:type="dxa"/>
          <w:tcBorders>
            <w:top w:val="single" w:sz="6" w:space="0" w:color="auto"/>
            <w:left w:val="nil"/>
            <w:bottom w:val="nil"/>
            <w:right w:val="nil"/>
          </w:tcBorders>
        </w:tcPr>
        <w:p w:rsidR="00E51076" w:rsidRPr="00181714" w:rsidRDefault="00E51076">
          <w:pPr>
            <w:pStyle w:val="Sidfot"/>
            <w:spacing w:before="40"/>
            <w:rPr>
              <w:rFonts w:ascii="TradeGothic" w:hAnsi="TradeGothic"/>
              <w:i/>
              <w:sz w:val="12"/>
            </w:rPr>
          </w:pPr>
          <w:r w:rsidRPr="00181714">
            <w:rPr>
              <w:rFonts w:ascii="TradeGothic" w:hAnsi="TradeGothic"/>
              <w:i/>
              <w:sz w:val="12"/>
            </w:rPr>
            <w:t>Telefon</w:t>
          </w:r>
        </w:p>
      </w:tc>
      <w:tc>
        <w:tcPr>
          <w:tcW w:w="3572" w:type="dxa"/>
          <w:tcBorders>
            <w:top w:val="single" w:sz="6" w:space="0" w:color="auto"/>
            <w:left w:val="nil"/>
            <w:bottom w:val="nil"/>
            <w:right w:val="nil"/>
          </w:tcBorders>
        </w:tcPr>
        <w:p w:rsidR="00E51076" w:rsidRPr="00181714" w:rsidRDefault="00E51076">
          <w:pPr>
            <w:pStyle w:val="Sidfot"/>
            <w:spacing w:before="40"/>
            <w:rPr>
              <w:rFonts w:ascii="TradeGothic" w:hAnsi="TradeGothic"/>
              <w:i/>
              <w:sz w:val="12"/>
            </w:rPr>
          </w:pPr>
          <w:r w:rsidRPr="00181714">
            <w:rPr>
              <w:rFonts w:ascii="TradeGothic" w:hAnsi="TradeGothic"/>
              <w:i/>
              <w:sz w:val="12"/>
            </w:rPr>
            <w:t>E-post</w:t>
          </w:r>
        </w:p>
      </w:tc>
    </w:tr>
    <w:tr w:rsidR="00E51076" w:rsidRPr="00181714">
      <w:tblPrEx>
        <w:tblCellMar>
          <w:top w:w="0" w:type="dxa"/>
          <w:left w:w="0" w:type="dxa"/>
          <w:bottom w:w="0" w:type="dxa"/>
          <w:right w:w="0" w:type="dxa"/>
        </w:tblCellMar>
      </w:tblPrEx>
      <w:tc>
        <w:tcPr>
          <w:tcW w:w="1871" w:type="dxa"/>
          <w:tcBorders>
            <w:top w:val="nil"/>
            <w:left w:val="nil"/>
            <w:bottom w:val="nil"/>
            <w:right w:val="nil"/>
          </w:tcBorders>
        </w:tcPr>
        <w:p w:rsidR="00E51076" w:rsidRPr="00181714" w:rsidRDefault="00E51076">
          <w:pPr>
            <w:pStyle w:val="Sidfot"/>
            <w:rPr>
              <w:rFonts w:ascii="TradeGothic" w:hAnsi="TradeGothic"/>
              <w:sz w:val="12"/>
            </w:rPr>
          </w:pPr>
          <w:r w:rsidRPr="00181714">
            <w:rPr>
              <w:rFonts w:ascii="TradeGothic" w:hAnsi="TradeGothic"/>
              <w:sz w:val="12"/>
            </w:rPr>
            <w:t>Square de Meeûs 30</w:t>
          </w:r>
        </w:p>
      </w:tc>
      <w:tc>
        <w:tcPr>
          <w:tcW w:w="1928" w:type="dxa"/>
          <w:tcBorders>
            <w:top w:val="nil"/>
            <w:left w:val="nil"/>
            <w:bottom w:val="nil"/>
            <w:right w:val="nil"/>
          </w:tcBorders>
        </w:tcPr>
        <w:p w:rsidR="00E51076" w:rsidRPr="00181714" w:rsidRDefault="00E51076">
          <w:pPr>
            <w:pStyle w:val="Sidfot"/>
            <w:rPr>
              <w:rFonts w:ascii="TradeGothic" w:hAnsi="TradeGothic"/>
              <w:sz w:val="12"/>
            </w:rPr>
          </w:pPr>
          <w:r w:rsidRPr="00181714">
            <w:rPr>
              <w:rFonts w:ascii="TradeGothic" w:hAnsi="TradeGothic"/>
              <w:sz w:val="12"/>
            </w:rPr>
            <w:t>+32 2 289 56 11</w:t>
          </w:r>
        </w:p>
      </w:tc>
      <w:tc>
        <w:tcPr>
          <w:tcW w:w="3572" w:type="dxa"/>
          <w:tcBorders>
            <w:top w:val="nil"/>
            <w:left w:val="nil"/>
            <w:bottom w:val="nil"/>
            <w:right w:val="nil"/>
          </w:tcBorders>
        </w:tcPr>
        <w:p w:rsidR="00E51076" w:rsidRPr="00181714" w:rsidRDefault="00E51076">
          <w:pPr>
            <w:pStyle w:val="Sidfot"/>
            <w:rPr>
              <w:rFonts w:ascii="TradeGothic" w:hAnsi="TradeGothic"/>
              <w:sz w:val="12"/>
            </w:rPr>
          </w:pPr>
          <w:r w:rsidRPr="00181714">
            <w:rPr>
              <w:rFonts w:ascii="TradeGothic" w:hAnsi="TradeGothic"/>
              <w:sz w:val="12"/>
            </w:rPr>
            <w:t>representationen.bryssel@foreign.ministry.se</w:t>
          </w:r>
        </w:p>
      </w:tc>
    </w:tr>
    <w:tr w:rsidR="00E51076" w:rsidRPr="00181714">
      <w:tblPrEx>
        <w:tblCellMar>
          <w:top w:w="0" w:type="dxa"/>
          <w:left w:w="0" w:type="dxa"/>
          <w:bottom w:w="0" w:type="dxa"/>
          <w:right w:w="0" w:type="dxa"/>
        </w:tblCellMar>
      </w:tblPrEx>
      <w:tc>
        <w:tcPr>
          <w:tcW w:w="1871" w:type="dxa"/>
          <w:tcBorders>
            <w:top w:val="nil"/>
            <w:left w:val="nil"/>
            <w:bottom w:val="nil"/>
            <w:right w:val="nil"/>
          </w:tcBorders>
        </w:tcPr>
        <w:p w:rsidR="00E51076" w:rsidRPr="00181714" w:rsidRDefault="00E51076">
          <w:pPr>
            <w:pStyle w:val="Sidfot"/>
            <w:rPr>
              <w:rFonts w:ascii="TradeGothic" w:hAnsi="TradeGothic"/>
              <w:sz w:val="12"/>
            </w:rPr>
          </w:pPr>
          <w:r w:rsidRPr="00181714">
            <w:rPr>
              <w:rFonts w:ascii="TradeGothic" w:hAnsi="TradeGothic"/>
              <w:sz w:val="12"/>
            </w:rPr>
            <w:t>B - 1000 BRYSSEL</w:t>
          </w:r>
        </w:p>
      </w:tc>
      <w:tc>
        <w:tcPr>
          <w:tcW w:w="1928" w:type="dxa"/>
          <w:tcBorders>
            <w:top w:val="nil"/>
            <w:left w:val="nil"/>
            <w:bottom w:val="nil"/>
            <w:right w:val="nil"/>
          </w:tcBorders>
        </w:tcPr>
        <w:p w:rsidR="00E51076" w:rsidRPr="00181714" w:rsidRDefault="00E51076">
          <w:pPr>
            <w:pStyle w:val="Sidfot"/>
            <w:rPr>
              <w:rFonts w:ascii="TradeGothic" w:hAnsi="TradeGothic"/>
              <w:sz w:val="12"/>
            </w:rPr>
          </w:pPr>
        </w:p>
      </w:tc>
      <w:tc>
        <w:tcPr>
          <w:tcW w:w="3572" w:type="dxa"/>
          <w:tcBorders>
            <w:top w:val="nil"/>
            <w:left w:val="nil"/>
            <w:bottom w:val="nil"/>
            <w:right w:val="nil"/>
          </w:tcBorders>
        </w:tcPr>
        <w:p w:rsidR="00E51076" w:rsidRPr="00181714" w:rsidRDefault="00E51076">
          <w:pPr>
            <w:pStyle w:val="Sidfot"/>
            <w:rPr>
              <w:rFonts w:ascii="TradeGothic" w:hAnsi="TradeGothic"/>
              <w:sz w:val="12"/>
            </w:rPr>
          </w:pPr>
        </w:p>
      </w:tc>
    </w:tr>
    <w:tr w:rsidR="00E51076" w:rsidRPr="00181714">
      <w:tblPrEx>
        <w:tblCellMar>
          <w:top w:w="0" w:type="dxa"/>
          <w:left w:w="0" w:type="dxa"/>
          <w:bottom w:w="0" w:type="dxa"/>
          <w:right w:w="0" w:type="dxa"/>
        </w:tblCellMar>
      </w:tblPrEx>
      <w:tc>
        <w:tcPr>
          <w:tcW w:w="1871" w:type="dxa"/>
          <w:tcBorders>
            <w:top w:val="nil"/>
            <w:left w:val="nil"/>
            <w:bottom w:val="nil"/>
            <w:right w:val="nil"/>
          </w:tcBorders>
        </w:tcPr>
        <w:p w:rsidR="00E51076" w:rsidRPr="00181714" w:rsidRDefault="00E51076">
          <w:pPr>
            <w:pStyle w:val="Sidfot"/>
            <w:rPr>
              <w:rFonts w:ascii="TradeGothic" w:hAnsi="TradeGothic"/>
              <w:sz w:val="12"/>
            </w:rPr>
          </w:pPr>
          <w:r w:rsidRPr="00181714">
            <w:rPr>
              <w:rFonts w:ascii="TradeGothic" w:hAnsi="TradeGothic"/>
              <w:sz w:val="12"/>
            </w:rPr>
            <w:t>Belgien</w:t>
          </w:r>
        </w:p>
      </w:tc>
      <w:tc>
        <w:tcPr>
          <w:tcW w:w="1928" w:type="dxa"/>
          <w:tcBorders>
            <w:top w:val="nil"/>
            <w:left w:val="nil"/>
            <w:bottom w:val="nil"/>
            <w:right w:val="nil"/>
          </w:tcBorders>
        </w:tcPr>
        <w:p w:rsidR="00E51076" w:rsidRPr="00181714" w:rsidRDefault="00E51076">
          <w:pPr>
            <w:pStyle w:val="Sidfot"/>
            <w:rPr>
              <w:rFonts w:ascii="TradeGothic" w:hAnsi="TradeGothic"/>
              <w:sz w:val="12"/>
            </w:rPr>
          </w:pPr>
        </w:p>
      </w:tc>
      <w:tc>
        <w:tcPr>
          <w:tcW w:w="3572" w:type="dxa"/>
          <w:tcBorders>
            <w:top w:val="nil"/>
            <w:left w:val="nil"/>
            <w:bottom w:val="nil"/>
            <w:right w:val="nil"/>
          </w:tcBorders>
        </w:tcPr>
        <w:p w:rsidR="00E51076" w:rsidRPr="00181714" w:rsidRDefault="00E51076">
          <w:pPr>
            <w:pStyle w:val="Sidfot"/>
            <w:rPr>
              <w:rFonts w:ascii="TradeGothic" w:hAnsi="TradeGothic"/>
              <w:sz w:val="12"/>
            </w:rPr>
          </w:pPr>
        </w:p>
      </w:tc>
    </w:tr>
    <w:tr w:rsidR="00E51076" w:rsidRPr="00181714">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E51076" w:rsidRPr="00181714" w:rsidRDefault="00E51076">
          <w:pPr>
            <w:pStyle w:val="Sidfot"/>
            <w:rPr>
              <w:rFonts w:ascii="TradeGothic" w:hAnsi="TradeGothic"/>
              <w:sz w:val="12"/>
            </w:rPr>
          </w:pPr>
        </w:p>
      </w:tc>
      <w:tc>
        <w:tcPr>
          <w:tcW w:w="1928" w:type="dxa"/>
          <w:tcBorders>
            <w:top w:val="nil"/>
            <w:left w:val="nil"/>
            <w:bottom w:val="nil"/>
            <w:right w:val="nil"/>
          </w:tcBorders>
        </w:tcPr>
        <w:p w:rsidR="00E51076" w:rsidRPr="00181714" w:rsidRDefault="00E51076">
          <w:pPr>
            <w:pStyle w:val="Sidfot"/>
            <w:rPr>
              <w:rFonts w:ascii="TradeGothic" w:hAnsi="TradeGothic"/>
              <w:sz w:val="12"/>
            </w:rPr>
          </w:pPr>
        </w:p>
      </w:tc>
      <w:tc>
        <w:tcPr>
          <w:tcW w:w="3572" w:type="dxa"/>
          <w:tcBorders>
            <w:top w:val="nil"/>
            <w:left w:val="nil"/>
            <w:bottom w:val="nil"/>
            <w:right w:val="nil"/>
          </w:tcBorders>
        </w:tcPr>
        <w:p w:rsidR="00E51076" w:rsidRPr="00181714" w:rsidRDefault="00E51076">
          <w:pPr>
            <w:pStyle w:val="Sidfot"/>
            <w:rPr>
              <w:rFonts w:ascii="TradeGothic" w:hAnsi="TradeGothic"/>
              <w:sz w:val="12"/>
            </w:rPr>
          </w:pPr>
        </w:p>
      </w:tc>
    </w:tr>
    <w:tr w:rsidR="00E51076" w:rsidRPr="00181714">
      <w:tblPrEx>
        <w:tblCellMar>
          <w:top w:w="0" w:type="dxa"/>
          <w:left w:w="0" w:type="dxa"/>
          <w:bottom w:w="0" w:type="dxa"/>
          <w:right w:w="0" w:type="dxa"/>
        </w:tblCellMar>
      </w:tblPrEx>
      <w:tc>
        <w:tcPr>
          <w:tcW w:w="1871" w:type="dxa"/>
          <w:tcBorders>
            <w:top w:val="nil"/>
            <w:left w:val="nil"/>
            <w:bottom w:val="nil"/>
            <w:right w:val="nil"/>
          </w:tcBorders>
        </w:tcPr>
        <w:p w:rsidR="00E51076" w:rsidRPr="00181714" w:rsidRDefault="00E51076">
          <w:pPr>
            <w:pStyle w:val="Sidfot"/>
            <w:rPr>
              <w:rFonts w:ascii="TradeGothic" w:hAnsi="TradeGothic"/>
              <w:i/>
              <w:sz w:val="12"/>
            </w:rPr>
          </w:pPr>
          <w:r w:rsidRPr="00181714">
            <w:rPr>
              <w:rFonts w:ascii="TradeGothic" w:hAnsi="TradeGothic"/>
              <w:i/>
              <w:sz w:val="12"/>
            </w:rPr>
            <w:t>Telegram:</w:t>
          </w:r>
        </w:p>
      </w:tc>
      <w:tc>
        <w:tcPr>
          <w:tcW w:w="1928" w:type="dxa"/>
          <w:tcBorders>
            <w:top w:val="nil"/>
            <w:left w:val="nil"/>
            <w:bottom w:val="nil"/>
            <w:right w:val="nil"/>
          </w:tcBorders>
        </w:tcPr>
        <w:p w:rsidR="00E51076" w:rsidRPr="00181714" w:rsidRDefault="00E51076">
          <w:pPr>
            <w:pStyle w:val="Sidfot"/>
            <w:rPr>
              <w:rFonts w:ascii="TradeGothic" w:hAnsi="TradeGothic"/>
              <w:i/>
              <w:sz w:val="12"/>
            </w:rPr>
          </w:pPr>
          <w:r w:rsidRPr="00181714">
            <w:rPr>
              <w:rFonts w:ascii="TradeGothic" w:hAnsi="TradeGothic"/>
              <w:i/>
              <w:sz w:val="12"/>
            </w:rPr>
            <w:t>Telefax</w:t>
          </w:r>
        </w:p>
      </w:tc>
      <w:tc>
        <w:tcPr>
          <w:tcW w:w="3572" w:type="dxa"/>
          <w:tcBorders>
            <w:top w:val="nil"/>
            <w:left w:val="nil"/>
            <w:bottom w:val="nil"/>
            <w:right w:val="nil"/>
          </w:tcBorders>
        </w:tcPr>
        <w:p w:rsidR="00E51076" w:rsidRPr="00181714" w:rsidRDefault="00E51076">
          <w:pPr>
            <w:pStyle w:val="Sidfot"/>
            <w:rPr>
              <w:rFonts w:ascii="TradeGothic" w:hAnsi="TradeGothic"/>
              <w:i/>
              <w:sz w:val="12"/>
            </w:rPr>
          </w:pPr>
          <w:r w:rsidRPr="00181714">
            <w:rPr>
              <w:rFonts w:ascii="TradeGothic" w:hAnsi="TradeGothic"/>
              <w:i/>
              <w:sz w:val="12"/>
            </w:rPr>
            <w:t>Telex:</w:t>
          </w:r>
        </w:p>
      </w:tc>
    </w:tr>
    <w:tr w:rsidR="00E51076" w:rsidRPr="00181714">
      <w:tblPrEx>
        <w:tblCellMar>
          <w:top w:w="0" w:type="dxa"/>
          <w:left w:w="0" w:type="dxa"/>
          <w:bottom w:w="0" w:type="dxa"/>
          <w:right w:w="0" w:type="dxa"/>
        </w:tblCellMar>
      </w:tblPrEx>
      <w:tc>
        <w:tcPr>
          <w:tcW w:w="1871" w:type="dxa"/>
          <w:tcBorders>
            <w:top w:val="nil"/>
            <w:left w:val="nil"/>
            <w:bottom w:val="nil"/>
            <w:right w:val="nil"/>
          </w:tcBorders>
        </w:tcPr>
        <w:p w:rsidR="00E51076" w:rsidRPr="00181714" w:rsidRDefault="00E51076">
          <w:pPr>
            <w:pStyle w:val="Sidfot"/>
            <w:rPr>
              <w:rFonts w:ascii="TradeGothic" w:hAnsi="TradeGothic"/>
              <w:sz w:val="12"/>
            </w:rPr>
          </w:pPr>
        </w:p>
      </w:tc>
      <w:tc>
        <w:tcPr>
          <w:tcW w:w="1928" w:type="dxa"/>
          <w:tcBorders>
            <w:top w:val="nil"/>
            <w:left w:val="nil"/>
            <w:bottom w:val="nil"/>
            <w:right w:val="nil"/>
          </w:tcBorders>
        </w:tcPr>
        <w:p w:rsidR="00E51076" w:rsidRPr="00181714" w:rsidRDefault="00E51076">
          <w:pPr>
            <w:pStyle w:val="Sidfot"/>
            <w:rPr>
              <w:rFonts w:ascii="TradeGothic" w:hAnsi="TradeGothic"/>
              <w:sz w:val="12"/>
            </w:rPr>
          </w:pPr>
          <w:r w:rsidRPr="00181714">
            <w:rPr>
              <w:rFonts w:ascii="TradeGothic" w:hAnsi="TradeGothic"/>
              <w:sz w:val="12"/>
            </w:rPr>
            <w:t>+32 2 289 56 00</w:t>
          </w:r>
        </w:p>
      </w:tc>
      <w:tc>
        <w:tcPr>
          <w:tcW w:w="3572" w:type="dxa"/>
          <w:tcBorders>
            <w:top w:val="nil"/>
            <w:left w:val="nil"/>
            <w:bottom w:val="nil"/>
            <w:right w:val="nil"/>
          </w:tcBorders>
        </w:tcPr>
        <w:p w:rsidR="00E51076" w:rsidRPr="00181714" w:rsidRDefault="00E51076">
          <w:pPr>
            <w:pStyle w:val="Sidfot"/>
            <w:rPr>
              <w:rFonts w:ascii="TradeGothic" w:hAnsi="TradeGothic"/>
              <w:sz w:val="12"/>
            </w:rPr>
          </w:pPr>
        </w:p>
      </w:tc>
    </w:tr>
    <w:tr w:rsidR="00E51076" w:rsidRPr="00181714">
      <w:tblPrEx>
        <w:tblCellMar>
          <w:top w:w="0" w:type="dxa"/>
          <w:left w:w="0" w:type="dxa"/>
          <w:bottom w:w="0" w:type="dxa"/>
          <w:right w:w="0" w:type="dxa"/>
        </w:tblCellMar>
      </w:tblPrEx>
      <w:tc>
        <w:tcPr>
          <w:tcW w:w="1871" w:type="dxa"/>
          <w:tcBorders>
            <w:top w:val="nil"/>
            <w:left w:val="nil"/>
            <w:bottom w:val="nil"/>
            <w:right w:val="nil"/>
          </w:tcBorders>
        </w:tcPr>
        <w:p w:rsidR="00E51076" w:rsidRPr="00181714" w:rsidRDefault="00E51076">
          <w:pPr>
            <w:pStyle w:val="Sidfot"/>
            <w:rPr>
              <w:rFonts w:ascii="TradeGothic" w:hAnsi="TradeGothic"/>
              <w:sz w:val="12"/>
            </w:rPr>
          </w:pPr>
        </w:p>
      </w:tc>
      <w:tc>
        <w:tcPr>
          <w:tcW w:w="1928" w:type="dxa"/>
          <w:tcBorders>
            <w:top w:val="nil"/>
            <w:left w:val="nil"/>
            <w:bottom w:val="nil"/>
            <w:right w:val="nil"/>
          </w:tcBorders>
        </w:tcPr>
        <w:p w:rsidR="00E51076" w:rsidRPr="00181714" w:rsidRDefault="00E51076">
          <w:pPr>
            <w:pStyle w:val="Sidfot"/>
            <w:rPr>
              <w:rFonts w:ascii="TradeGothic" w:hAnsi="TradeGothic"/>
              <w:sz w:val="12"/>
            </w:rPr>
          </w:pPr>
        </w:p>
      </w:tc>
      <w:tc>
        <w:tcPr>
          <w:tcW w:w="3572" w:type="dxa"/>
          <w:tcBorders>
            <w:top w:val="nil"/>
            <w:left w:val="nil"/>
            <w:bottom w:val="nil"/>
            <w:right w:val="nil"/>
          </w:tcBorders>
        </w:tcPr>
        <w:p w:rsidR="00E51076" w:rsidRPr="00181714" w:rsidRDefault="00E51076">
          <w:pPr>
            <w:pStyle w:val="Sidfot"/>
            <w:rPr>
              <w:rFonts w:ascii="TradeGothic" w:hAnsi="TradeGothic"/>
              <w:sz w:val="12"/>
            </w:rPr>
          </w:pPr>
        </w:p>
      </w:tc>
    </w:tr>
    <w:tr w:rsidR="00E51076" w:rsidRPr="00181714">
      <w:tblPrEx>
        <w:tblCellMar>
          <w:top w:w="0" w:type="dxa"/>
          <w:left w:w="0" w:type="dxa"/>
          <w:bottom w:w="0" w:type="dxa"/>
          <w:right w:w="0" w:type="dxa"/>
        </w:tblCellMar>
      </w:tblPrEx>
      <w:tc>
        <w:tcPr>
          <w:tcW w:w="1871" w:type="dxa"/>
          <w:tcBorders>
            <w:top w:val="nil"/>
            <w:left w:val="nil"/>
            <w:bottom w:val="nil"/>
            <w:right w:val="nil"/>
          </w:tcBorders>
        </w:tcPr>
        <w:p w:rsidR="00E51076" w:rsidRPr="00181714" w:rsidRDefault="00E51076">
          <w:pPr>
            <w:pStyle w:val="Sidfot"/>
            <w:rPr>
              <w:rFonts w:ascii="TradeGothic" w:hAnsi="TradeGothic"/>
              <w:sz w:val="12"/>
            </w:rPr>
          </w:pPr>
        </w:p>
      </w:tc>
      <w:tc>
        <w:tcPr>
          <w:tcW w:w="1928" w:type="dxa"/>
          <w:tcBorders>
            <w:top w:val="nil"/>
            <w:left w:val="nil"/>
            <w:bottom w:val="nil"/>
            <w:right w:val="nil"/>
          </w:tcBorders>
        </w:tcPr>
        <w:p w:rsidR="00E51076" w:rsidRPr="00181714" w:rsidRDefault="00E51076">
          <w:pPr>
            <w:pStyle w:val="Sidfot"/>
            <w:rPr>
              <w:rFonts w:ascii="TradeGothic" w:hAnsi="TradeGothic"/>
              <w:sz w:val="12"/>
            </w:rPr>
          </w:pPr>
        </w:p>
      </w:tc>
      <w:tc>
        <w:tcPr>
          <w:tcW w:w="3572" w:type="dxa"/>
          <w:tcBorders>
            <w:top w:val="nil"/>
            <w:left w:val="nil"/>
            <w:bottom w:val="nil"/>
            <w:right w:val="nil"/>
          </w:tcBorders>
        </w:tcPr>
        <w:p w:rsidR="00E51076" w:rsidRPr="00181714" w:rsidRDefault="00E51076">
          <w:pPr>
            <w:pStyle w:val="Sidfot"/>
            <w:rPr>
              <w:rFonts w:ascii="TradeGothic" w:hAnsi="TradeGothic"/>
              <w:sz w:val="12"/>
            </w:rPr>
          </w:pPr>
        </w:p>
      </w:tc>
    </w:tr>
  </w:tbl>
  <w:p w:rsidR="00E51076" w:rsidRPr="00181714" w:rsidRDefault="00E51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34A" w:rsidRPr="00181714" w:rsidRDefault="0045734A">
      <w:r w:rsidRPr="00181714">
        <w:separator/>
      </w:r>
    </w:p>
  </w:footnote>
  <w:footnote w:type="continuationSeparator" w:id="0">
    <w:p w:rsidR="0045734A" w:rsidRPr="00181714" w:rsidRDefault="0045734A">
      <w:r w:rsidRPr="001817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76" w:rsidRPr="00181714" w:rsidRDefault="00E51076">
    <w:pPr>
      <w:pStyle w:val="Sidhuvud"/>
      <w:tabs>
        <w:tab w:val="clear" w:pos="4320"/>
        <w:tab w:val="clear" w:pos="8640"/>
        <w:tab w:val="left" w:pos="3799"/>
        <w:tab w:val="left" w:pos="7229"/>
        <w:tab w:val="right" w:pos="8448"/>
      </w:tabs>
      <w:ind w:left="-1418" w:right="-947"/>
      <w:rPr>
        <w:rFonts w:ascii="Garamond" w:hAnsi="Garamond"/>
        <w:sz w:val="22"/>
      </w:rPr>
    </w:pPr>
    <w:bookmarkStart w:id="34" w:name="UDsidan2"/>
    <w:bookmarkEnd w:id="34"/>
    <w:r w:rsidRPr="00181714">
      <w:rPr>
        <w:rFonts w:ascii="Garamond" w:hAnsi="Garamond"/>
      </w:rPr>
      <w:tab/>
    </w:r>
    <w:bookmarkStart w:id="35" w:name="UDsidan2doknamn"/>
    <w:bookmarkEnd w:id="35"/>
    <w:r w:rsidRPr="00181714">
      <w:rPr>
        <w:rFonts w:ascii="Garamond" w:hAnsi="Garamond"/>
        <w:sz w:val="22"/>
      </w:rPr>
      <w:tab/>
    </w:r>
    <w:r w:rsidRPr="00181714">
      <w:rPr>
        <w:rFonts w:ascii="Garamond" w:hAnsi="Garamond"/>
        <w:sz w:val="22"/>
      </w:rPr>
      <w:tab/>
    </w:r>
    <w:r w:rsidRPr="00181714">
      <w:rPr>
        <w:rFonts w:ascii="Garamond" w:hAnsi="Garamond"/>
        <w:sz w:val="22"/>
      </w:rPr>
      <w:fldChar w:fldCharType="begin" w:fldLock="1"/>
    </w:r>
    <w:r w:rsidRPr="00181714">
      <w:rPr>
        <w:rFonts w:ascii="Garamond" w:hAnsi="Garamond"/>
        <w:sz w:val="22"/>
      </w:rPr>
      <w:instrText xml:space="preserve"> PAGE  \* MERGEFORMAT </w:instrText>
    </w:r>
    <w:r w:rsidRPr="00181714">
      <w:rPr>
        <w:rFonts w:ascii="Garamond" w:hAnsi="Garamond"/>
        <w:sz w:val="22"/>
      </w:rPr>
      <w:fldChar w:fldCharType="separate"/>
    </w:r>
    <w:r w:rsidR="00EF7413" w:rsidRPr="00181714">
      <w:rPr>
        <w:rFonts w:ascii="Garamond" w:hAnsi="Garamond"/>
        <w:sz w:val="22"/>
      </w:rPr>
      <w:t>5</w:t>
    </w:r>
    <w:r w:rsidRPr="00181714">
      <w:rPr>
        <w:rFonts w:ascii="Garamond" w:hAnsi="Garamond"/>
        <w:sz w:val="22"/>
      </w:rPr>
      <w:fldChar w:fldCharType="end"/>
    </w:r>
    <w:r w:rsidRPr="00181714">
      <w:rPr>
        <w:rFonts w:ascii="Garamond" w:hAnsi="Garamond"/>
        <w:sz w:val="22"/>
      </w:rPr>
      <w:t>(</w:t>
    </w:r>
    <w:r w:rsidRPr="00181714">
      <w:rPr>
        <w:rFonts w:ascii="Garamond" w:hAnsi="Garamond"/>
        <w:sz w:val="22"/>
      </w:rPr>
      <w:fldChar w:fldCharType="begin" w:fldLock="1"/>
    </w:r>
    <w:r w:rsidRPr="00181714">
      <w:rPr>
        <w:rFonts w:ascii="Garamond" w:hAnsi="Garamond"/>
        <w:sz w:val="22"/>
      </w:rPr>
      <w:instrText xml:space="preserve"> NUMPAGES  \* MERGEFORMAT </w:instrText>
    </w:r>
    <w:r w:rsidRPr="00181714">
      <w:rPr>
        <w:rFonts w:ascii="Garamond" w:hAnsi="Garamond"/>
        <w:sz w:val="22"/>
      </w:rPr>
      <w:fldChar w:fldCharType="separate"/>
    </w:r>
    <w:r w:rsidR="003F72F1" w:rsidRPr="00181714">
      <w:rPr>
        <w:rFonts w:ascii="Garamond" w:hAnsi="Garamond"/>
        <w:sz w:val="22"/>
      </w:rPr>
      <w:t>5</w:t>
    </w:r>
    <w:r w:rsidRPr="00181714">
      <w:rPr>
        <w:rFonts w:ascii="Garamond" w:hAnsi="Garamond"/>
        <w:sz w:val="22"/>
      </w:rPr>
      <w:fldChar w:fldCharType="end"/>
    </w:r>
    <w:r w:rsidRPr="00181714">
      <w:rPr>
        <w:rFonts w:ascii="Garamond" w:hAnsi="Garamond"/>
        <w:sz w:val="22"/>
      </w:rPr>
      <w:t>)</w:t>
    </w:r>
  </w:p>
  <w:p w:rsidR="00E51076" w:rsidRPr="00181714" w:rsidRDefault="00E51076">
    <w:pPr>
      <w:pStyle w:val="Sidhuvud"/>
      <w:tabs>
        <w:tab w:val="clear" w:pos="4320"/>
        <w:tab w:val="clear" w:pos="8640"/>
        <w:tab w:val="left" w:pos="3799"/>
        <w:tab w:val="left" w:pos="7229"/>
        <w:tab w:val="right" w:pos="8448"/>
      </w:tabs>
      <w:ind w:left="-1418" w:right="-947"/>
      <w:rPr>
        <w:rFonts w:ascii="Garamond" w:hAnsi="Garamond"/>
        <w:sz w:val="22"/>
      </w:rPr>
    </w:pPr>
  </w:p>
  <w:p w:rsidR="00E51076" w:rsidRPr="00181714" w:rsidRDefault="00181714">
    <w:pPr>
      <w:pStyle w:val="Sidhuvud"/>
      <w:tabs>
        <w:tab w:val="clear" w:pos="4320"/>
        <w:tab w:val="clear" w:pos="8640"/>
        <w:tab w:val="left" w:pos="3799"/>
        <w:tab w:val="left" w:pos="7229"/>
        <w:tab w:val="right" w:pos="8448"/>
      </w:tabs>
      <w:ind w:left="-1418" w:right="-947"/>
      <w:rPr>
        <w:rFonts w:ascii="Garamond" w:hAnsi="Garamond"/>
        <w:sz w:val="22"/>
      </w:rPr>
    </w:pPr>
    <w:r w:rsidRPr="00181714">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3528230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5BB1E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E51076" w:rsidRPr="00181714">
      <w:rPr>
        <w:rFonts w:ascii="Garamond" w:hAnsi="Garamond"/>
        <w:sz w:val="22"/>
      </w:rPr>
      <w:tab/>
    </w:r>
    <w:bookmarkStart w:id="36" w:name="UDsidan2datum"/>
    <w:bookmarkEnd w:id="36"/>
    <w:r w:rsidR="00E51076" w:rsidRPr="00181714">
      <w:rPr>
        <w:rFonts w:ascii="Garamond" w:hAnsi="Garamond"/>
        <w:sz w:val="22"/>
      </w:rPr>
      <w:tab/>
    </w:r>
    <w:bookmarkStart w:id="37" w:name="UDsidan2doss"/>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20"/>
    <w:rsid w:val="00035E42"/>
    <w:rsid w:val="00036580"/>
    <w:rsid w:val="00043F21"/>
    <w:rsid w:val="0006087B"/>
    <w:rsid w:val="00065F00"/>
    <w:rsid w:val="00086C8A"/>
    <w:rsid w:val="00087C06"/>
    <w:rsid w:val="000947E7"/>
    <w:rsid w:val="000A7C2C"/>
    <w:rsid w:val="000C0F10"/>
    <w:rsid w:val="000D1CF8"/>
    <w:rsid w:val="000D47BC"/>
    <w:rsid w:val="000E25A7"/>
    <w:rsid w:val="000E713A"/>
    <w:rsid w:val="000E7450"/>
    <w:rsid w:val="000F2C5A"/>
    <w:rsid w:val="000F5BCD"/>
    <w:rsid w:val="001234DD"/>
    <w:rsid w:val="00130E5C"/>
    <w:rsid w:val="00142FBC"/>
    <w:rsid w:val="001476D1"/>
    <w:rsid w:val="001539E5"/>
    <w:rsid w:val="00176061"/>
    <w:rsid w:val="00181714"/>
    <w:rsid w:val="00182036"/>
    <w:rsid w:val="001A0C99"/>
    <w:rsid w:val="001B7AB6"/>
    <w:rsid w:val="001C5397"/>
    <w:rsid w:val="001E05D5"/>
    <w:rsid w:val="001F0FAC"/>
    <w:rsid w:val="001F5020"/>
    <w:rsid w:val="002036D2"/>
    <w:rsid w:val="00204AC0"/>
    <w:rsid w:val="0022568D"/>
    <w:rsid w:val="00245BAF"/>
    <w:rsid w:val="0026422F"/>
    <w:rsid w:val="002910CF"/>
    <w:rsid w:val="0029661B"/>
    <w:rsid w:val="002B1F3C"/>
    <w:rsid w:val="002C50D2"/>
    <w:rsid w:val="002E7494"/>
    <w:rsid w:val="00306A45"/>
    <w:rsid w:val="003108C5"/>
    <w:rsid w:val="003327C7"/>
    <w:rsid w:val="00382860"/>
    <w:rsid w:val="00392C93"/>
    <w:rsid w:val="003A3DD3"/>
    <w:rsid w:val="003A7FCA"/>
    <w:rsid w:val="003C2F10"/>
    <w:rsid w:val="003C389B"/>
    <w:rsid w:val="003C395D"/>
    <w:rsid w:val="003D114B"/>
    <w:rsid w:val="003E0569"/>
    <w:rsid w:val="003E0A70"/>
    <w:rsid w:val="003F1019"/>
    <w:rsid w:val="003F1BBB"/>
    <w:rsid w:val="003F72F1"/>
    <w:rsid w:val="00405376"/>
    <w:rsid w:val="00407789"/>
    <w:rsid w:val="00410C5B"/>
    <w:rsid w:val="004134CF"/>
    <w:rsid w:val="00415604"/>
    <w:rsid w:val="00422822"/>
    <w:rsid w:val="00434200"/>
    <w:rsid w:val="00444B31"/>
    <w:rsid w:val="0045734A"/>
    <w:rsid w:val="00457B53"/>
    <w:rsid w:val="004857AE"/>
    <w:rsid w:val="004B3C00"/>
    <w:rsid w:val="004C3601"/>
    <w:rsid w:val="004E0441"/>
    <w:rsid w:val="004E3D62"/>
    <w:rsid w:val="004E70DB"/>
    <w:rsid w:val="004F3B7D"/>
    <w:rsid w:val="00506FC7"/>
    <w:rsid w:val="00512BBB"/>
    <w:rsid w:val="0051609F"/>
    <w:rsid w:val="00517A82"/>
    <w:rsid w:val="00541215"/>
    <w:rsid w:val="0056157C"/>
    <w:rsid w:val="0059075F"/>
    <w:rsid w:val="005B77DB"/>
    <w:rsid w:val="005C582D"/>
    <w:rsid w:val="005C7BE8"/>
    <w:rsid w:val="005E17E7"/>
    <w:rsid w:val="005E5A1C"/>
    <w:rsid w:val="005E6D36"/>
    <w:rsid w:val="005F687D"/>
    <w:rsid w:val="006029D6"/>
    <w:rsid w:val="006167A4"/>
    <w:rsid w:val="00617404"/>
    <w:rsid w:val="00621256"/>
    <w:rsid w:val="00626C8E"/>
    <w:rsid w:val="006371F6"/>
    <w:rsid w:val="00650920"/>
    <w:rsid w:val="006827B7"/>
    <w:rsid w:val="00683439"/>
    <w:rsid w:val="006867F7"/>
    <w:rsid w:val="00697603"/>
    <w:rsid w:val="006B3D54"/>
    <w:rsid w:val="006B7687"/>
    <w:rsid w:val="006C7963"/>
    <w:rsid w:val="006E4998"/>
    <w:rsid w:val="00723019"/>
    <w:rsid w:val="00726C1C"/>
    <w:rsid w:val="0073407E"/>
    <w:rsid w:val="00742DDF"/>
    <w:rsid w:val="007634E8"/>
    <w:rsid w:val="00783367"/>
    <w:rsid w:val="00783B4B"/>
    <w:rsid w:val="00786C4F"/>
    <w:rsid w:val="007A4411"/>
    <w:rsid w:val="007C0066"/>
    <w:rsid w:val="00805278"/>
    <w:rsid w:val="008147E3"/>
    <w:rsid w:val="008249DE"/>
    <w:rsid w:val="0083357B"/>
    <w:rsid w:val="00843243"/>
    <w:rsid w:val="008524E0"/>
    <w:rsid w:val="00854D11"/>
    <w:rsid w:val="008761BE"/>
    <w:rsid w:val="008A698E"/>
    <w:rsid w:val="008E4C91"/>
    <w:rsid w:val="00923B68"/>
    <w:rsid w:val="00963A60"/>
    <w:rsid w:val="00964F50"/>
    <w:rsid w:val="009706B3"/>
    <w:rsid w:val="0097500F"/>
    <w:rsid w:val="00990061"/>
    <w:rsid w:val="00995C7F"/>
    <w:rsid w:val="009A4571"/>
    <w:rsid w:val="009D0763"/>
    <w:rsid w:val="009D1031"/>
    <w:rsid w:val="009E59CD"/>
    <w:rsid w:val="00A03E0B"/>
    <w:rsid w:val="00A15EA0"/>
    <w:rsid w:val="00A1626F"/>
    <w:rsid w:val="00A37330"/>
    <w:rsid w:val="00A546BC"/>
    <w:rsid w:val="00A763FE"/>
    <w:rsid w:val="00A77970"/>
    <w:rsid w:val="00A91780"/>
    <w:rsid w:val="00AF4578"/>
    <w:rsid w:val="00B5086B"/>
    <w:rsid w:val="00B7376C"/>
    <w:rsid w:val="00B94694"/>
    <w:rsid w:val="00B961CE"/>
    <w:rsid w:val="00BA79F7"/>
    <w:rsid w:val="00BB0566"/>
    <w:rsid w:val="00C01A50"/>
    <w:rsid w:val="00C120AB"/>
    <w:rsid w:val="00C15672"/>
    <w:rsid w:val="00C2132B"/>
    <w:rsid w:val="00C2532F"/>
    <w:rsid w:val="00C36087"/>
    <w:rsid w:val="00C426C0"/>
    <w:rsid w:val="00C4315E"/>
    <w:rsid w:val="00C534DA"/>
    <w:rsid w:val="00C53962"/>
    <w:rsid w:val="00C8064F"/>
    <w:rsid w:val="00C81B54"/>
    <w:rsid w:val="00CB6294"/>
    <w:rsid w:val="00CD2454"/>
    <w:rsid w:val="00CD6E69"/>
    <w:rsid w:val="00CE4FFA"/>
    <w:rsid w:val="00D128BC"/>
    <w:rsid w:val="00D65D7E"/>
    <w:rsid w:val="00D87364"/>
    <w:rsid w:val="00D87426"/>
    <w:rsid w:val="00DA24AE"/>
    <w:rsid w:val="00DB500D"/>
    <w:rsid w:val="00DC29FF"/>
    <w:rsid w:val="00DC6DD5"/>
    <w:rsid w:val="00DE7D15"/>
    <w:rsid w:val="00DF01D7"/>
    <w:rsid w:val="00E11B11"/>
    <w:rsid w:val="00E1237F"/>
    <w:rsid w:val="00E15F54"/>
    <w:rsid w:val="00E21AAD"/>
    <w:rsid w:val="00E23B12"/>
    <w:rsid w:val="00E3163C"/>
    <w:rsid w:val="00E50554"/>
    <w:rsid w:val="00E51076"/>
    <w:rsid w:val="00E6076E"/>
    <w:rsid w:val="00E82D80"/>
    <w:rsid w:val="00E91548"/>
    <w:rsid w:val="00E97CEC"/>
    <w:rsid w:val="00E97D34"/>
    <w:rsid w:val="00EB4112"/>
    <w:rsid w:val="00EC3DAE"/>
    <w:rsid w:val="00EC7995"/>
    <w:rsid w:val="00EE6EE7"/>
    <w:rsid w:val="00EE79D0"/>
    <w:rsid w:val="00EF006D"/>
    <w:rsid w:val="00EF04EF"/>
    <w:rsid w:val="00EF36A0"/>
    <w:rsid w:val="00EF7413"/>
    <w:rsid w:val="00F022C4"/>
    <w:rsid w:val="00F13199"/>
    <w:rsid w:val="00F37FF0"/>
    <w:rsid w:val="00F40F17"/>
    <w:rsid w:val="00F4314D"/>
    <w:rsid w:val="00F45D90"/>
    <w:rsid w:val="00F53C9B"/>
    <w:rsid w:val="00F61CED"/>
    <w:rsid w:val="00F86A84"/>
    <w:rsid w:val="00FA27E3"/>
    <w:rsid w:val="00FA50EA"/>
    <w:rsid w:val="00FB14D5"/>
    <w:rsid w:val="00FB2104"/>
    <w:rsid w:val="00FC1D3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75E9429-9627-4E1A-BB5D-13F08642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link w:val="Rubrik2Char"/>
    <w:qFormat/>
    <w:pPr>
      <w:keepNext/>
      <w:spacing w:before="240" w:after="60"/>
      <w:outlineLvl w:val="1"/>
    </w:pPr>
    <w:rPr>
      <w:rFonts w:ascii="Arial" w:hAnsi="Arial"/>
      <w:b/>
      <w:i/>
      <w:sz w:val="24"/>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Brdtexthuvud">
    <w:name w:val="Brödtext huvud"/>
    <w:basedOn w:val="Brdtext1"/>
    <w:pPr>
      <w:framePr w:w="4570" w:h="1701" w:hRule="exact" w:hSpace="181" w:wrap="around" w:vAnchor="page" w:hAnchor="page" w:x="6697" w:y="681"/>
    </w:pPr>
    <w:rPr>
      <w:rFonts w:ascii="Arial" w:hAnsi="Arial"/>
    </w:rPr>
  </w:style>
  <w:style w:type="paragraph" w:customStyle="1" w:styleId="UDrubrik">
    <w:name w:val="UDrubrik"/>
    <w:basedOn w:val="Normal"/>
    <w:next w:val="Brdtext1"/>
    <w:pPr>
      <w:spacing w:line="320" w:lineRule="exact"/>
    </w:pPr>
    <w:rPr>
      <w:rFonts w:ascii="TradeGothic Bold" w:hAnsi="TradeGothic Bold"/>
      <w:b/>
      <w:sz w:val="22"/>
    </w:rPr>
  </w:style>
  <w:style w:type="paragraph" w:customStyle="1" w:styleId="Mellanrubrik">
    <w:name w:val="Mellanrubrik"/>
    <w:basedOn w:val="Brdtext1"/>
    <w:next w:val="Brdtext1"/>
    <w:rPr>
      <w:rFonts w:ascii="TradeGothic" w:hAnsi="TradeGothic"/>
      <w:b/>
      <w:sz w:val="22"/>
    </w:rPr>
  </w:style>
  <w:style w:type="paragraph" w:styleId="Brdtext">
    <w:name w:val="Body Text"/>
    <w:basedOn w:val="Normal"/>
    <w:link w:val="BrdtextChar1"/>
    <w:pPr>
      <w:spacing w:line="320" w:lineRule="exact"/>
    </w:pPr>
    <w:rPr>
      <w:sz w:val="24"/>
    </w:rPr>
  </w:style>
  <w:style w:type="paragraph" w:styleId="Fotnotstext">
    <w:name w:val="footnote text"/>
    <w:basedOn w:val="Normal"/>
    <w:semiHidden/>
    <w:rPr>
      <w:lang w:val="en-GB"/>
    </w:rPr>
  </w:style>
  <w:style w:type="character" w:styleId="Fotnotsreferens">
    <w:name w:val="footnote reference"/>
    <w:basedOn w:val="Standardstycketeckensnitt"/>
    <w:semiHidden/>
    <w:rPr>
      <w:vertAlign w:val="superscript"/>
    </w:rPr>
  </w:style>
  <w:style w:type="character" w:customStyle="1" w:styleId="BrdtextChar">
    <w:name w:val="Brödtext Char"/>
    <w:basedOn w:val="Standardstycketeckensnitt"/>
    <w:rPr>
      <w:sz w:val="24"/>
      <w:lang w:val="sv-SE" w:eastAsia="en-US" w:bidi="ar-SA"/>
    </w:rPr>
  </w:style>
  <w:style w:type="character" w:customStyle="1" w:styleId="BrdtextChar1">
    <w:name w:val="Brödtext Char1"/>
    <w:basedOn w:val="Standardstycketeckensnitt"/>
    <w:link w:val="Brdtext"/>
    <w:rsid w:val="008524E0"/>
    <w:rPr>
      <w:sz w:val="24"/>
      <w:lang w:val="sv-SE" w:eastAsia="en-US" w:bidi="ar-SA"/>
    </w:rPr>
  </w:style>
  <w:style w:type="character" w:customStyle="1" w:styleId="Rubrik2Char">
    <w:name w:val="Rubrik 2 Char"/>
    <w:basedOn w:val="Standardstycketeckensnitt"/>
    <w:link w:val="Rubrik2"/>
    <w:rsid w:val="0073407E"/>
    <w:rPr>
      <w:rFonts w:ascii="Arial" w:hAnsi="Arial"/>
      <w:b/>
      <w:i/>
      <w:sz w:val="24"/>
      <w:lang w:val="sv-SE" w:eastAsia="en-US" w:bidi="ar-SA"/>
    </w:rPr>
  </w:style>
  <w:style w:type="character" w:customStyle="1" w:styleId="RKnormalChar">
    <w:name w:val="RKnormal Char"/>
    <w:basedOn w:val="Standardstycketeckensnitt"/>
    <w:link w:val="RKnormal"/>
    <w:rsid w:val="00D87426"/>
    <w:rPr>
      <w:rFonts w:ascii="OrigGarmnd BT" w:hAnsi="OrigGarmnd BT"/>
      <w:sz w:val="24"/>
      <w:lang w:val="sv-SE" w:eastAsia="en-US" w:bidi="ar-SA"/>
    </w:rPr>
  </w:style>
  <w:style w:type="paragraph" w:styleId="Ballongtext">
    <w:name w:val="Balloon Text"/>
    <w:basedOn w:val="Normal"/>
    <w:semiHidden/>
    <w:rsid w:val="003F7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ppor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rapportMall</Template>
  <TotalTime>0</TotalTime>
  <Pages>2</Pages>
  <Words>1559</Words>
  <Characters>8924</Characters>
  <Application>Microsoft Office Word</Application>
  <DocSecurity>4</DocSecurity>
  <Lines>207</Lines>
  <Paragraphs>38</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2009-06-15T11:25:00Z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EU-representationen</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