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F217BA">
      <w:pPr>
        <w:ind w:left="1843" w:hanging="709"/>
      </w:pPr>
    </w:p>
    <w:tbl>
      <w:tblPr>
        <w:tblW w:w="9141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F217BA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6167875F" w:rsidR="0096348C" w:rsidRDefault="0006692A" w:rsidP="00F217BA">
            <w:pPr>
              <w:ind w:left="352" w:hanging="352"/>
            </w:pPr>
            <w:r>
              <w:rPr>
                <w:lang w:val="en-GB" w:eastAsia="en-US"/>
              </w:rPr>
              <w:t>SOCIALFÖRSÄKRINGSUTSKOTTET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834D0F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68B82891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867CF0">
              <w:rPr>
                <w:b/>
              </w:rPr>
              <w:t>31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34D0F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7CE9AD1D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8D5C1B">
              <w:t>06-13</w:t>
            </w:r>
          </w:p>
        </w:tc>
      </w:tr>
      <w:tr w:rsidR="0096348C" w14:paraId="59B54A1D" w14:textId="77777777" w:rsidTr="00834D0F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73E003F" w14:textId="77777777" w:rsidR="00D12EAD" w:rsidRDefault="00B46B48" w:rsidP="0096348C">
            <w:r>
              <w:t>10.00-10.25</w:t>
            </w:r>
          </w:p>
          <w:p w14:paraId="0B1FB026" w14:textId="62F9A717" w:rsidR="00B46B48" w:rsidRDefault="00B46B48" w:rsidP="0096348C">
            <w:r>
              <w:t>10.30-12.25</w:t>
            </w:r>
          </w:p>
        </w:tc>
      </w:tr>
      <w:tr w:rsidR="0096348C" w14:paraId="004577CC" w14:textId="77777777" w:rsidTr="00834D0F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84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D3043" w14:paraId="2EB7990F" w14:textId="77777777" w:rsidTr="00F217BA">
        <w:tc>
          <w:tcPr>
            <w:tcW w:w="567" w:type="dxa"/>
          </w:tcPr>
          <w:p w14:paraId="44126405" w14:textId="358C95C5" w:rsidR="000D3043" w:rsidRDefault="005B096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5D2A91DB" w14:textId="77777777" w:rsidR="005B0965" w:rsidRPr="001E1FAC" w:rsidRDefault="005B0965" w:rsidP="005B09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52A7339" w14:textId="77777777" w:rsidR="005B0965" w:rsidRDefault="005B0965" w:rsidP="005B0965">
            <w:pPr>
              <w:tabs>
                <w:tab w:val="left" w:pos="1701"/>
              </w:tabs>
              <w:rPr>
                <w:snapToGrid w:val="0"/>
              </w:rPr>
            </w:pPr>
          </w:p>
          <w:p w14:paraId="0893246E" w14:textId="4D535490" w:rsidR="005B0965" w:rsidRDefault="005B0965" w:rsidP="005B09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2022/23:30.</w:t>
            </w:r>
          </w:p>
          <w:p w14:paraId="4354FE96" w14:textId="77777777" w:rsidR="000D3043" w:rsidRPr="009C2ED3" w:rsidRDefault="000D3043" w:rsidP="005B0965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E57DF8" w14:paraId="26EE67EC" w14:textId="77777777" w:rsidTr="00F217BA">
        <w:tc>
          <w:tcPr>
            <w:tcW w:w="567" w:type="dxa"/>
          </w:tcPr>
          <w:p w14:paraId="5477A2C0" w14:textId="65165F92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45344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12B91F76" w14:textId="304F9084" w:rsidR="005B0965" w:rsidRDefault="00945344" w:rsidP="005B0965">
            <w:pPr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Massflyktsdirektivet</w:t>
            </w:r>
          </w:p>
          <w:p w14:paraId="62F89F46" w14:textId="77777777" w:rsidR="005B0965" w:rsidRDefault="005B0965" w:rsidP="005B0965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7703341E" w14:textId="552FD8B8" w:rsidR="005B0965" w:rsidRPr="00CC7F48" w:rsidRDefault="005B0965" w:rsidP="005B0965">
            <w:pPr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CC7F48">
              <w:rPr>
                <w:szCs w:val="24"/>
              </w:rPr>
              <w:t>Utskottet överlade med statsrådet</w:t>
            </w:r>
            <w:r w:rsidRPr="00CC7F48">
              <w:rPr>
                <w:rFonts w:eastAsiaTheme="minorHAnsi"/>
                <w:color w:val="000000"/>
                <w:szCs w:val="24"/>
                <w:lang w:eastAsia="en-US"/>
              </w:rPr>
              <w:t xml:space="preserve"> Maria Malmer Stenergard, </w:t>
            </w:r>
            <w:r w:rsidRPr="00CC7F48">
              <w:rPr>
                <w:szCs w:val="24"/>
              </w:rPr>
              <w:t xml:space="preserve">åtföljd av medarbetare från </w:t>
            </w:r>
            <w:r w:rsidR="00945344" w:rsidRPr="00CC7F48">
              <w:rPr>
                <w:szCs w:val="24"/>
              </w:rPr>
              <w:t xml:space="preserve">Justitiedepartementet. </w:t>
            </w:r>
            <w:r w:rsidRPr="00CC7F48">
              <w:rPr>
                <w:szCs w:val="24"/>
              </w:rPr>
              <w:t xml:space="preserve"> </w:t>
            </w:r>
          </w:p>
          <w:p w14:paraId="50F34E1F" w14:textId="77777777" w:rsidR="005B0965" w:rsidRPr="00CC7F48" w:rsidRDefault="005B0965" w:rsidP="005B0965">
            <w:pPr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14:paraId="2108D268" w14:textId="1A32BF5D" w:rsidR="005B0965" w:rsidRPr="00CC7F48" w:rsidRDefault="005B0965" w:rsidP="005B0965">
            <w:pPr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CC7F48">
              <w:rPr>
                <w:szCs w:val="24"/>
              </w:rPr>
              <w:t>Underlaget utgjordes av Regeringskansliets överläggningspromemoria (dnr 2022/</w:t>
            </w:r>
            <w:r w:rsidR="00CC7F48" w:rsidRPr="00CC7F48">
              <w:rPr>
                <w:szCs w:val="24"/>
              </w:rPr>
              <w:t>23</w:t>
            </w:r>
            <w:r w:rsidR="002A092F">
              <w:rPr>
                <w:szCs w:val="24"/>
              </w:rPr>
              <w:t>-</w:t>
            </w:r>
            <w:r w:rsidR="00CC7F48" w:rsidRPr="00CC7F48">
              <w:rPr>
                <w:szCs w:val="24"/>
              </w:rPr>
              <w:t>2371</w:t>
            </w:r>
            <w:r w:rsidR="00565B66" w:rsidRPr="00CC7F48">
              <w:rPr>
                <w:szCs w:val="24"/>
              </w:rPr>
              <w:t>).</w:t>
            </w:r>
          </w:p>
          <w:p w14:paraId="1B7711DF" w14:textId="41F55DFF" w:rsidR="00054452" w:rsidRPr="00CC7F48" w:rsidRDefault="00054452" w:rsidP="005B0965">
            <w:pPr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14:paraId="63148232" w14:textId="6F6ADA6B" w:rsidR="00054452" w:rsidRPr="00CC7F48" w:rsidRDefault="00054452" w:rsidP="00054452">
            <w:pPr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CC7F48">
              <w:rPr>
                <w:szCs w:val="24"/>
              </w:rPr>
              <w:t>Statsrådet Maria Malmer Stenergard redogjorde för regeringens ståndpunkt i enlighet med överläggningspromemorian:</w:t>
            </w:r>
          </w:p>
          <w:p w14:paraId="6A7C9CC5" w14:textId="77777777" w:rsidR="005B0965" w:rsidRPr="00CC7F48" w:rsidRDefault="005B0965" w:rsidP="005B0965">
            <w:pPr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14:paraId="7E64D3E6" w14:textId="77777777" w:rsidR="0071220E" w:rsidRPr="00CC7F48" w:rsidRDefault="00054452" w:rsidP="00453F5C">
            <w:pPr>
              <w:autoSpaceDE w:val="0"/>
              <w:autoSpaceDN w:val="0"/>
              <w:adjustRightInd w:val="0"/>
              <w:ind w:left="283"/>
              <w:textAlignment w:val="center"/>
              <w:rPr>
                <w:szCs w:val="24"/>
              </w:rPr>
            </w:pPr>
            <w:r w:rsidRPr="00CC7F48">
              <w:rPr>
                <w:szCs w:val="24"/>
              </w:rPr>
              <w:t xml:space="preserve">Regeringen anser att kommissionen i god tid bör lägga fram förslag om en eventuell förlängning av aktivering av massflyktsdirektivet för att ge medlemsstaterna goda planeringsförutsättningar. </w:t>
            </w:r>
          </w:p>
          <w:p w14:paraId="1EFA81B5" w14:textId="77777777" w:rsidR="0071220E" w:rsidRPr="00CC7F48" w:rsidRDefault="0071220E" w:rsidP="00453F5C">
            <w:pPr>
              <w:autoSpaceDE w:val="0"/>
              <w:autoSpaceDN w:val="0"/>
              <w:adjustRightInd w:val="0"/>
              <w:ind w:left="283"/>
              <w:textAlignment w:val="center"/>
              <w:rPr>
                <w:szCs w:val="24"/>
              </w:rPr>
            </w:pPr>
          </w:p>
          <w:p w14:paraId="69606457" w14:textId="77777777" w:rsidR="0071220E" w:rsidRPr="00CC7F48" w:rsidRDefault="00054452" w:rsidP="00453F5C">
            <w:pPr>
              <w:autoSpaceDE w:val="0"/>
              <w:autoSpaceDN w:val="0"/>
              <w:adjustRightInd w:val="0"/>
              <w:ind w:left="283"/>
              <w:textAlignment w:val="center"/>
              <w:rPr>
                <w:szCs w:val="24"/>
              </w:rPr>
            </w:pPr>
            <w:r w:rsidRPr="00CC7F48">
              <w:rPr>
                <w:szCs w:val="24"/>
              </w:rPr>
              <w:t xml:space="preserve">Om inte situationen ändras drastiskt anser regeringen att det finns behov av att förlänga aktiveringen av direktivet ett tredje år. </w:t>
            </w:r>
          </w:p>
          <w:p w14:paraId="4EA5977B" w14:textId="77777777" w:rsidR="0071220E" w:rsidRPr="00CC7F48" w:rsidRDefault="0071220E" w:rsidP="00453F5C">
            <w:pPr>
              <w:autoSpaceDE w:val="0"/>
              <w:autoSpaceDN w:val="0"/>
              <w:adjustRightInd w:val="0"/>
              <w:ind w:left="283"/>
              <w:textAlignment w:val="center"/>
              <w:rPr>
                <w:szCs w:val="24"/>
              </w:rPr>
            </w:pPr>
          </w:p>
          <w:p w14:paraId="289E9492" w14:textId="31F63D97" w:rsidR="00054452" w:rsidRPr="00CC7F48" w:rsidRDefault="00054452" w:rsidP="00453F5C">
            <w:pPr>
              <w:autoSpaceDE w:val="0"/>
              <w:autoSpaceDN w:val="0"/>
              <w:adjustRightInd w:val="0"/>
              <w:ind w:left="283"/>
              <w:textAlignment w:val="center"/>
              <w:rPr>
                <w:szCs w:val="24"/>
              </w:rPr>
            </w:pPr>
            <w:r w:rsidRPr="00CC7F48">
              <w:rPr>
                <w:szCs w:val="24"/>
              </w:rPr>
              <w:t>Det är viktigt att Sverige och andra medlemsstater arbetar för att hantera olika scenarion för då direktivet slutar gälla.</w:t>
            </w:r>
          </w:p>
          <w:p w14:paraId="3252ED72" w14:textId="77777777" w:rsidR="005B0965" w:rsidRPr="00CC7F48" w:rsidRDefault="005B0965" w:rsidP="005B096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26BF23A" w14:textId="77777777" w:rsidR="005B0965" w:rsidRPr="00CC7F48" w:rsidRDefault="005B0965" w:rsidP="005B0965">
            <w:pPr>
              <w:rPr>
                <w:snapToGrid w:val="0"/>
                <w:szCs w:val="24"/>
              </w:rPr>
            </w:pPr>
            <w:r w:rsidRPr="00CC7F48">
              <w:rPr>
                <w:snapToGrid w:val="0"/>
                <w:szCs w:val="24"/>
              </w:rPr>
              <w:t xml:space="preserve">Ordföranden konstaterade att det fanns stöd för regeringen ståndpunkt. </w:t>
            </w:r>
          </w:p>
          <w:p w14:paraId="10FFCEF5" w14:textId="77777777" w:rsidR="00565B66" w:rsidRPr="00CC7F48" w:rsidRDefault="00565B66" w:rsidP="00565B66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D7CF173" w14:textId="2CCA9F0C" w:rsidR="00565B66" w:rsidRPr="00CC7F48" w:rsidRDefault="00565B66" w:rsidP="00565B66">
            <w:pPr>
              <w:pStyle w:val="TableParagraph"/>
              <w:ind w:left="0"/>
              <w:rPr>
                <w:sz w:val="24"/>
                <w:szCs w:val="24"/>
              </w:rPr>
            </w:pPr>
            <w:r w:rsidRPr="00CC7F48">
              <w:rPr>
                <w:sz w:val="24"/>
                <w:szCs w:val="24"/>
              </w:rPr>
              <w:t>V</w:t>
            </w:r>
            <w:r w:rsidR="005B0965" w:rsidRPr="00CC7F48">
              <w:rPr>
                <w:sz w:val="24"/>
                <w:szCs w:val="24"/>
              </w:rPr>
              <w:t xml:space="preserve">-ledamoten anmälde följande avvikande ståndpunkt: </w:t>
            </w:r>
          </w:p>
          <w:p w14:paraId="74444B73" w14:textId="77777777" w:rsidR="006A4141" w:rsidRPr="00CC7F48" w:rsidRDefault="006A4141" w:rsidP="00565B66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8AB1155" w14:textId="0CA01D67" w:rsidR="005B0965" w:rsidRPr="00CC7F48" w:rsidRDefault="00B500A1" w:rsidP="00565B66">
            <w:pPr>
              <w:pStyle w:val="TableParagraph"/>
              <w:ind w:left="283"/>
              <w:rPr>
                <w:sz w:val="24"/>
                <w:szCs w:val="24"/>
              </w:rPr>
            </w:pPr>
            <w:r w:rsidRPr="00CC7F48">
              <w:rPr>
                <w:color w:val="000000"/>
                <w:sz w:val="24"/>
                <w:szCs w:val="24"/>
                <w:shd w:val="clear" w:color="auto" w:fill="FFFFFF"/>
              </w:rPr>
              <w:t>R</w:t>
            </w:r>
            <w:r w:rsidR="00565B66" w:rsidRPr="00CC7F48">
              <w:rPr>
                <w:color w:val="000000"/>
                <w:sz w:val="24"/>
                <w:szCs w:val="24"/>
                <w:shd w:val="clear" w:color="auto" w:fill="FFFFFF"/>
              </w:rPr>
              <w:t xml:space="preserve">egeringen </w:t>
            </w:r>
            <w:r w:rsidRPr="00CC7F48">
              <w:rPr>
                <w:color w:val="000000"/>
                <w:sz w:val="24"/>
                <w:szCs w:val="24"/>
                <w:shd w:val="clear" w:color="auto" w:fill="FFFFFF"/>
              </w:rPr>
              <w:t xml:space="preserve">bör </w:t>
            </w:r>
            <w:r w:rsidR="00565B66" w:rsidRPr="00CC7F48">
              <w:rPr>
                <w:color w:val="000000"/>
                <w:sz w:val="24"/>
                <w:szCs w:val="24"/>
                <w:shd w:val="clear" w:color="auto" w:fill="FFFFFF"/>
              </w:rPr>
              <w:t xml:space="preserve">tydligare efterfråga en </w:t>
            </w:r>
            <w:r w:rsidR="005A04E7" w:rsidRPr="00CC7F48">
              <w:rPr>
                <w:color w:val="000000"/>
                <w:sz w:val="24"/>
                <w:szCs w:val="24"/>
                <w:shd w:val="clear" w:color="auto" w:fill="FFFFFF"/>
              </w:rPr>
              <w:t>förlängning</w:t>
            </w:r>
            <w:r w:rsidR="00565B66" w:rsidRPr="00CC7F48">
              <w:rPr>
                <w:color w:val="000000"/>
                <w:sz w:val="24"/>
                <w:szCs w:val="24"/>
                <w:shd w:val="clear" w:color="auto" w:fill="FFFFFF"/>
              </w:rPr>
              <w:t xml:space="preserve"> av massflyktsdirektivet </w:t>
            </w:r>
            <w:r w:rsidR="005A04E7" w:rsidRPr="00CC7F48">
              <w:rPr>
                <w:color w:val="000000"/>
                <w:sz w:val="24"/>
                <w:szCs w:val="24"/>
                <w:shd w:val="clear" w:color="auto" w:fill="FFFFFF"/>
              </w:rPr>
              <w:t>med</w:t>
            </w:r>
            <w:r w:rsidR="00565B66" w:rsidRPr="00CC7F48">
              <w:rPr>
                <w:color w:val="000000"/>
                <w:sz w:val="24"/>
                <w:szCs w:val="24"/>
                <w:shd w:val="clear" w:color="auto" w:fill="FFFFFF"/>
              </w:rPr>
              <w:t xml:space="preserve"> ett tredje år </w:t>
            </w:r>
            <w:r w:rsidR="00C07438" w:rsidRPr="00CC7F48">
              <w:rPr>
                <w:color w:val="000000"/>
                <w:sz w:val="24"/>
                <w:szCs w:val="24"/>
                <w:shd w:val="clear" w:color="auto" w:fill="FFFFFF"/>
              </w:rPr>
              <w:t>samt</w:t>
            </w:r>
            <w:r w:rsidR="00565B66" w:rsidRPr="00CC7F48">
              <w:rPr>
                <w:color w:val="000000"/>
                <w:sz w:val="24"/>
                <w:szCs w:val="24"/>
                <w:shd w:val="clear" w:color="auto" w:fill="FFFFFF"/>
              </w:rPr>
              <w:t xml:space="preserve"> en långsiktig lösning för de som är på flykt från kriget i Ukraina när det tredje året </w:t>
            </w:r>
            <w:r w:rsidR="00947B1B">
              <w:rPr>
                <w:color w:val="000000"/>
                <w:sz w:val="24"/>
                <w:szCs w:val="24"/>
                <w:shd w:val="clear" w:color="auto" w:fill="FFFFFF"/>
              </w:rPr>
              <w:t xml:space="preserve">har </w:t>
            </w:r>
            <w:r w:rsidR="00565B66" w:rsidRPr="00CC7F48">
              <w:rPr>
                <w:color w:val="000000"/>
                <w:sz w:val="24"/>
                <w:szCs w:val="24"/>
                <w:shd w:val="clear" w:color="auto" w:fill="FFFFFF"/>
              </w:rPr>
              <w:t xml:space="preserve">passerat. </w:t>
            </w:r>
            <w:r w:rsidR="002C2B98" w:rsidRPr="00CC7F48">
              <w:rPr>
                <w:color w:val="000000"/>
                <w:sz w:val="24"/>
                <w:szCs w:val="24"/>
                <w:shd w:val="clear" w:color="auto" w:fill="FFFFFF"/>
              </w:rPr>
              <w:t>V</w:t>
            </w:r>
            <w:r w:rsidR="00565B66" w:rsidRPr="00CC7F48">
              <w:rPr>
                <w:color w:val="000000"/>
                <w:sz w:val="24"/>
                <w:szCs w:val="24"/>
                <w:shd w:val="clear" w:color="auto" w:fill="FFFFFF"/>
              </w:rPr>
              <w:t xml:space="preserve">idare </w:t>
            </w:r>
            <w:r w:rsidR="002C2B98" w:rsidRPr="00CC7F48">
              <w:rPr>
                <w:color w:val="000000"/>
                <w:sz w:val="24"/>
                <w:szCs w:val="24"/>
                <w:shd w:val="clear" w:color="auto" w:fill="FFFFFF"/>
              </w:rPr>
              <w:t xml:space="preserve">bör </w:t>
            </w:r>
            <w:r w:rsidR="00565B66" w:rsidRPr="00CC7F48">
              <w:rPr>
                <w:color w:val="000000"/>
                <w:sz w:val="24"/>
                <w:szCs w:val="24"/>
                <w:shd w:val="clear" w:color="auto" w:fill="FFFFFF"/>
              </w:rPr>
              <w:t>regeringen driva på för att förbättra de långsiktiga</w:t>
            </w:r>
            <w:r w:rsidR="00500DBB" w:rsidRPr="00CC7F4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65B66" w:rsidRPr="00CC7F48">
              <w:rPr>
                <w:color w:val="000000"/>
                <w:sz w:val="24"/>
                <w:szCs w:val="24"/>
                <w:shd w:val="clear" w:color="auto" w:fill="FFFFFF"/>
              </w:rPr>
              <w:t xml:space="preserve">förutsättningarna för de som flytt kriget att etablera sig i EU. Slutligen </w:t>
            </w:r>
            <w:r w:rsidR="00534A4D" w:rsidRPr="00CC7F48">
              <w:rPr>
                <w:color w:val="000000"/>
                <w:sz w:val="24"/>
                <w:szCs w:val="24"/>
                <w:shd w:val="clear" w:color="auto" w:fill="FFFFFF"/>
              </w:rPr>
              <w:t xml:space="preserve">kan </w:t>
            </w:r>
            <w:r w:rsidR="00565B66" w:rsidRPr="00CC7F48">
              <w:rPr>
                <w:color w:val="000000"/>
                <w:sz w:val="24"/>
                <w:szCs w:val="24"/>
                <w:shd w:val="clear" w:color="auto" w:fill="FFFFFF"/>
              </w:rPr>
              <w:t>konstatera</w:t>
            </w:r>
            <w:r w:rsidR="00534A4D" w:rsidRPr="00CC7F48">
              <w:rPr>
                <w:color w:val="000000"/>
                <w:sz w:val="24"/>
                <w:szCs w:val="24"/>
                <w:shd w:val="clear" w:color="auto" w:fill="FFFFFF"/>
              </w:rPr>
              <w:t>s</w:t>
            </w:r>
            <w:r w:rsidR="00565B66" w:rsidRPr="00CC7F4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34A4D" w:rsidRPr="00CC7F48">
              <w:rPr>
                <w:color w:val="000000"/>
                <w:sz w:val="24"/>
                <w:szCs w:val="24"/>
                <w:shd w:val="clear" w:color="auto" w:fill="FFFFFF"/>
              </w:rPr>
              <w:t>att det är ytterst beklagligt</w:t>
            </w:r>
            <w:r w:rsidR="00565B66" w:rsidRPr="00CC7F48">
              <w:rPr>
                <w:color w:val="000000"/>
                <w:sz w:val="24"/>
                <w:szCs w:val="24"/>
                <w:shd w:val="clear" w:color="auto" w:fill="FFFFFF"/>
              </w:rPr>
              <w:t xml:space="preserve"> att EU:s och regeringens behandling av de människor som fly</w:t>
            </w:r>
            <w:r w:rsidR="00905D60">
              <w:rPr>
                <w:color w:val="000000"/>
                <w:sz w:val="24"/>
                <w:szCs w:val="24"/>
                <w:shd w:val="clear" w:color="auto" w:fill="FFFFFF"/>
              </w:rPr>
              <w:t>tt</w:t>
            </w:r>
            <w:r w:rsidR="00565B66" w:rsidRPr="00CC7F48">
              <w:rPr>
                <w:color w:val="000000"/>
                <w:sz w:val="24"/>
                <w:szCs w:val="24"/>
                <w:shd w:val="clear" w:color="auto" w:fill="FFFFFF"/>
              </w:rPr>
              <w:t xml:space="preserve"> kriget i Ukraina skiljer sig dramatiskt från behandlingen av de människor som fly</w:t>
            </w:r>
            <w:r w:rsidR="00905D60">
              <w:rPr>
                <w:color w:val="000000"/>
                <w:sz w:val="24"/>
                <w:szCs w:val="24"/>
                <w:shd w:val="clear" w:color="auto" w:fill="FFFFFF"/>
              </w:rPr>
              <w:t>tt</w:t>
            </w:r>
            <w:r w:rsidR="00565B66" w:rsidRPr="00CC7F48">
              <w:rPr>
                <w:color w:val="000000"/>
                <w:sz w:val="24"/>
                <w:szCs w:val="24"/>
                <w:shd w:val="clear" w:color="auto" w:fill="FFFFFF"/>
              </w:rPr>
              <w:t xml:space="preserve"> till EU från andra former av förtryck</w:t>
            </w:r>
            <w:r w:rsidR="001A70F2" w:rsidRPr="00CC7F48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565B66" w:rsidRPr="00CC7F48">
              <w:rPr>
                <w:color w:val="000000"/>
                <w:sz w:val="24"/>
                <w:szCs w:val="24"/>
                <w:shd w:val="clear" w:color="auto" w:fill="FFFFFF"/>
              </w:rPr>
              <w:t xml:space="preserve"> förföljelse eller krig.</w:t>
            </w:r>
            <w:r w:rsidR="00565B66" w:rsidRPr="00CC7F48">
              <w:rPr>
                <w:sz w:val="24"/>
                <w:szCs w:val="24"/>
              </w:rPr>
              <w:br/>
            </w:r>
          </w:p>
          <w:p w14:paraId="6C8254BF" w14:textId="5C99C574" w:rsidR="00565B66" w:rsidRPr="00CC7F48" w:rsidRDefault="00565B66" w:rsidP="00565B66">
            <w:pPr>
              <w:rPr>
                <w:szCs w:val="24"/>
              </w:rPr>
            </w:pPr>
            <w:r w:rsidRPr="00CC7F48">
              <w:rPr>
                <w:szCs w:val="24"/>
              </w:rPr>
              <w:t xml:space="preserve">MP-ledamoten anmälde följande avvikande ståndpunkt: </w:t>
            </w:r>
          </w:p>
          <w:p w14:paraId="1238E87B" w14:textId="77777777" w:rsidR="0066413C" w:rsidRPr="00CC7F48" w:rsidRDefault="0066413C" w:rsidP="00565B66">
            <w:pPr>
              <w:rPr>
                <w:szCs w:val="24"/>
              </w:rPr>
            </w:pPr>
          </w:p>
          <w:p w14:paraId="7B3AF4BA" w14:textId="67BA09B6" w:rsidR="00565B66" w:rsidRPr="00CC7F48" w:rsidRDefault="00534A4D" w:rsidP="00565B66">
            <w:pPr>
              <w:ind w:left="283"/>
              <w:rPr>
                <w:szCs w:val="24"/>
              </w:rPr>
            </w:pPr>
            <w:r w:rsidRPr="00CC7F48">
              <w:rPr>
                <w:szCs w:val="24"/>
              </w:rPr>
              <w:t>Till</w:t>
            </w:r>
            <w:r w:rsidR="00672AAE" w:rsidRPr="00CC7F48">
              <w:rPr>
                <w:szCs w:val="24"/>
              </w:rPr>
              <w:t xml:space="preserve"> regering</w:t>
            </w:r>
            <w:r w:rsidR="001104E1" w:rsidRPr="00CC7F48">
              <w:rPr>
                <w:szCs w:val="24"/>
              </w:rPr>
              <w:t>en</w:t>
            </w:r>
            <w:r w:rsidR="00672AAE" w:rsidRPr="00CC7F48">
              <w:rPr>
                <w:szCs w:val="24"/>
              </w:rPr>
              <w:t xml:space="preserve">s ståndpunkt </w:t>
            </w:r>
            <w:r w:rsidR="00E44C9C" w:rsidRPr="00CC7F48">
              <w:rPr>
                <w:szCs w:val="24"/>
              </w:rPr>
              <w:t xml:space="preserve">bör </w:t>
            </w:r>
            <w:r w:rsidRPr="00CC7F48">
              <w:rPr>
                <w:szCs w:val="24"/>
              </w:rPr>
              <w:t>även tilläggas att o</w:t>
            </w:r>
            <w:r w:rsidR="00565B66" w:rsidRPr="00CC7F48">
              <w:rPr>
                <w:szCs w:val="24"/>
              </w:rPr>
              <w:t>m inte situationen ändras drastiskt bör flyktingar från Ukraina fortsatt få möjlighet till skydd även efter det tredje året</w:t>
            </w:r>
            <w:r w:rsidR="0050265E">
              <w:rPr>
                <w:szCs w:val="24"/>
              </w:rPr>
              <w:t xml:space="preserve">. </w:t>
            </w:r>
            <w:r w:rsidR="00565B66" w:rsidRPr="00CC7F48">
              <w:rPr>
                <w:szCs w:val="24"/>
              </w:rPr>
              <w:t>Regeringen</w:t>
            </w:r>
            <w:r w:rsidR="00117506" w:rsidRPr="00CC7F48">
              <w:rPr>
                <w:szCs w:val="24"/>
              </w:rPr>
              <w:t xml:space="preserve"> bör även stödja</w:t>
            </w:r>
            <w:r w:rsidR="00565B66" w:rsidRPr="00CC7F48">
              <w:rPr>
                <w:szCs w:val="24"/>
              </w:rPr>
              <w:t xml:space="preserve"> kommissionens arbete med att</w:t>
            </w:r>
            <w:r w:rsidR="00117506" w:rsidRPr="00CC7F48">
              <w:rPr>
                <w:szCs w:val="24"/>
              </w:rPr>
              <w:t xml:space="preserve"> utforma och</w:t>
            </w:r>
            <w:r w:rsidR="00565B66" w:rsidRPr="00CC7F48">
              <w:rPr>
                <w:szCs w:val="24"/>
              </w:rPr>
              <w:t xml:space="preserve"> förbereda för en smidig övergång efter det</w:t>
            </w:r>
            <w:r w:rsidR="00117506" w:rsidRPr="00CC7F48">
              <w:rPr>
                <w:szCs w:val="24"/>
              </w:rPr>
              <w:t xml:space="preserve"> tredje året</w:t>
            </w:r>
            <w:r w:rsidR="00565B66" w:rsidRPr="00CC7F48">
              <w:rPr>
                <w:szCs w:val="24"/>
              </w:rPr>
              <w:t xml:space="preserve"> med rättsliga grunder för de som vill stanna i EU. Ett gott mottagande måste också säkerställas.</w:t>
            </w:r>
          </w:p>
          <w:p w14:paraId="4775C873" w14:textId="77777777" w:rsidR="005B0965" w:rsidRPr="00CC7F48" w:rsidRDefault="005B0965" w:rsidP="005B096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C97B348" w14:textId="77777777" w:rsidR="005B0965" w:rsidRPr="00CC7F48" w:rsidRDefault="005B0965" w:rsidP="005B096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C7F48">
              <w:rPr>
                <w:snapToGrid w:val="0"/>
                <w:szCs w:val="24"/>
              </w:rPr>
              <w:t>Denna paragraf förklarades omedelbart justerad.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61DD5" w14:paraId="0ABD4914" w14:textId="77777777" w:rsidTr="00F217BA">
        <w:tc>
          <w:tcPr>
            <w:tcW w:w="567" w:type="dxa"/>
          </w:tcPr>
          <w:p w14:paraId="7BAE70A6" w14:textId="2D18E613" w:rsidR="00461DD5" w:rsidRDefault="00461DD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3 </w:t>
            </w:r>
          </w:p>
        </w:tc>
        <w:tc>
          <w:tcPr>
            <w:tcW w:w="6946" w:type="dxa"/>
            <w:gridSpan w:val="2"/>
          </w:tcPr>
          <w:p w14:paraId="0B6315CE" w14:textId="77777777" w:rsidR="00461DD5" w:rsidRDefault="00461DD5" w:rsidP="0096348C">
            <w:pPr>
              <w:tabs>
                <w:tab w:val="left" w:pos="1701"/>
              </w:tabs>
              <w:rPr>
                <w:b/>
              </w:rPr>
            </w:pPr>
            <w:r w:rsidRPr="004F46E6">
              <w:rPr>
                <w:b/>
              </w:rPr>
              <w:t>EU-information på migrationsområdet</w:t>
            </w:r>
          </w:p>
          <w:p w14:paraId="337AFA85" w14:textId="77777777" w:rsidR="00461DD5" w:rsidRDefault="00461DD5" w:rsidP="0096348C">
            <w:pPr>
              <w:tabs>
                <w:tab w:val="left" w:pos="1701"/>
              </w:tabs>
              <w:rPr>
                <w:b/>
              </w:rPr>
            </w:pPr>
          </w:p>
          <w:p w14:paraId="6D0A8BB0" w14:textId="21130339" w:rsidR="00461DD5" w:rsidRDefault="00461DD5" w:rsidP="0096348C">
            <w:pPr>
              <w:tabs>
                <w:tab w:val="left" w:pos="1701"/>
              </w:tabs>
            </w:pPr>
            <w:r w:rsidRPr="000737EE">
              <w:rPr>
                <w:szCs w:val="24"/>
              </w:rPr>
              <w:t xml:space="preserve">Statsrådet </w:t>
            </w:r>
            <w:r w:rsidRPr="000737EE">
              <w:rPr>
                <w:bCs/>
              </w:rPr>
              <w:t>Maria Malmer Stenergard</w:t>
            </w:r>
            <w:r>
              <w:rPr>
                <w:bCs/>
              </w:rPr>
              <w:t>,</w:t>
            </w:r>
            <w:r w:rsidRPr="000737EE">
              <w:rPr>
                <w:szCs w:val="24"/>
              </w:rPr>
              <w:t xml:space="preserve"> </w:t>
            </w:r>
            <w:r>
              <w:rPr>
                <w:szCs w:val="24"/>
              </w:rPr>
              <w:t>biträdd</w:t>
            </w:r>
            <w:r w:rsidRPr="000737EE">
              <w:rPr>
                <w:szCs w:val="24"/>
              </w:rPr>
              <w:t xml:space="preserve"> av medarbetare från Justitiedepartementet</w:t>
            </w:r>
            <w:r>
              <w:rPr>
                <w:szCs w:val="24"/>
              </w:rPr>
              <w:t xml:space="preserve">, informerade om </w:t>
            </w:r>
            <w:r w:rsidRPr="00461DD5">
              <w:rPr>
                <w:szCs w:val="24"/>
              </w:rPr>
              <w:t>överenskommelse</w:t>
            </w:r>
            <w:r w:rsidR="00245F1C">
              <w:rPr>
                <w:szCs w:val="24"/>
              </w:rPr>
              <w:t>n</w:t>
            </w:r>
            <w:r>
              <w:rPr>
                <w:szCs w:val="24"/>
              </w:rPr>
              <w:t xml:space="preserve"> gällande </w:t>
            </w:r>
            <w:r w:rsidR="00245F1C">
              <w:rPr>
                <w:szCs w:val="24"/>
              </w:rPr>
              <w:t xml:space="preserve">bl.a. </w:t>
            </w:r>
            <w:r>
              <w:t>f</w:t>
            </w:r>
            <w:r w:rsidRPr="006272EA">
              <w:t>örordning</w:t>
            </w:r>
            <w:r w:rsidR="00245F1C">
              <w:t>arna</w:t>
            </w:r>
            <w:r w:rsidRPr="006272EA">
              <w:t xml:space="preserve"> om asyl- och migrationshantering</w:t>
            </w:r>
            <w:r>
              <w:t xml:space="preserve"> och asylprocedurer. </w:t>
            </w:r>
          </w:p>
          <w:p w14:paraId="6E248989" w14:textId="2FB5D073" w:rsidR="00461DD5" w:rsidRDefault="00461DD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69FC772F" w14:textId="77777777" w:rsidTr="00F217BA">
        <w:tc>
          <w:tcPr>
            <w:tcW w:w="567" w:type="dxa"/>
          </w:tcPr>
          <w:p w14:paraId="231595B0" w14:textId="26AC8154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61DD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E1C4952" w14:textId="6F880414" w:rsidR="0096348C" w:rsidRPr="001E1FAC" w:rsidRDefault="0094534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Pensionsseminarium</w:t>
            </w:r>
          </w:p>
          <w:p w14:paraId="6E359418" w14:textId="41D1E2A7"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2BF0FDA8" w14:textId="60EED034" w:rsidR="00945344" w:rsidRDefault="00945344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Företrädare för Pensionsmyndigheten lämnade information </w:t>
            </w:r>
            <w:r w:rsidR="00A56B0A">
              <w:rPr>
                <w:snapToGrid w:val="0"/>
              </w:rPr>
              <w:t xml:space="preserve">om rapporterna i den s.k. vägvalsserien. </w:t>
            </w:r>
          </w:p>
          <w:p w14:paraId="69367A3D" w14:textId="77777777"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C2DC0AB" w14:textId="77777777" w:rsidTr="00F217BA">
        <w:tc>
          <w:tcPr>
            <w:tcW w:w="567" w:type="dxa"/>
          </w:tcPr>
          <w:p w14:paraId="41590430" w14:textId="306D1BD4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61DD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623DF4C7" w14:textId="27E41F97" w:rsidR="00672AAE" w:rsidRDefault="0005319D" w:rsidP="00672AA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7F624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Inkommen skrivelse</w:t>
            </w:r>
          </w:p>
          <w:p w14:paraId="7DE45406" w14:textId="77777777" w:rsidR="00672AAE" w:rsidRDefault="00672AAE" w:rsidP="00672AA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0F028CB1" w14:textId="0C4642A3" w:rsidR="007E4B5A" w:rsidRPr="00672AAE" w:rsidRDefault="00D97B6A" w:rsidP="007E4B5A">
            <w:pPr>
              <w:tabs>
                <w:tab w:val="left" w:pos="1701"/>
              </w:tabs>
            </w:pPr>
            <w:r>
              <w:t>En i</w:t>
            </w:r>
            <w:r w:rsidR="0063099E" w:rsidRPr="002A02A2">
              <w:t>nkom</w:t>
            </w:r>
            <w:r w:rsidR="0063099E">
              <w:t>men</w:t>
            </w:r>
            <w:r w:rsidR="00672AAE" w:rsidRPr="002A02A2">
              <w:t xml:space="preserve"> skrivelse anmäldes (dnr </w:t>
            </w:r>
            <w:r w:rsidR="0063099E">
              <w:t>2353</w:t>
            </w:r>
            <w:r w:rsidR="0063099E" w:rsidRPr="002A02A2">
              <w:t>–2022</w:t>
            </w:r>
            <w:r w:rsidR="00672AAE" w:rsidRPr="002A02A2">
              <w:t>/23).</w:t>
            </w:r>
          </w:p>
          <w:p w14:paraId="5C26EBB7" w14:textId="120402BF" w:rsidR="007D2629" w:rsidRPr="00F93B25" w:rsidRDefault="007D2629" w:rsidP="008838C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D2629" w14:paraId="1C4895FA" w14:textId="77777777" w:rsidTr="00F217BA">
        <w:tc>
          <w:tcPr>
            <w:tcW w:w="567" w:type="dxa"/>
          </w:tcPr>
          <w:p w14:paraId="607D3301" w14:textId="4FB2B046" w:rsidR="007D2629" w:rsidRDefault="008838C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61DD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8895F37" w14:textId="46AB7A0A" w:rsidR="00672AAE" w:rsidRDefault="00672AAE" w:rsidP="00672AAE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Kanslimeddelanden</w:t>
            </w:r>
          </w:p>
          <w:p w14:paraId="6B2D1DC2" w14:textId="77777777" w:rsidR="00B53BB5" w:rsidRDefault="00B53BB5" w:rsidP="00461DD5">
            <w:pPr>
              <w:tabs>
                <w:tab w:val="left" w:pos="1701"/>
              </w:tabs>
            </w:pPr>
          </w:p>
          <w:p w14:paraId="3745C7A4" w14:textId="04A86087" w:rsidR="00461DD5" w:rsidRDefault="0063099E" w:rsidP="00461DD5">
            <w:pPr>
              <w:tabs>
                <w:tab w:val="left" w:pos="1701"/>
              </w:tabs>
            </w:pPr>
            <w:r>
              <w:t>I</w:t>
            </w:r>
            <w:r w:rsidR="00461DD5">
              <w:t>nformation</w:t>
            </w:r>
            <w:r w:rsidR="00D27180">
              <w:t xml:space="preserve"> lämnades</w:t>
            </w:r>
            <w:r w:rsidR="00461DD5">
              <w:t xml:space="preserve"> om kommande utrikes resor. </w:t>
            </w:r>
          </w:p>
          <w:p w14:paraId="3E1A9165" w14:textId="3D53147D" w:rsidR="00461DD5" w:rsidRPr="008838CD" w:rsidRDefault="00461DD5" w:rsidP="00461DD5">
            <w:pPr>
              <w:tabs>
                <w:tab w:val="left" w:pos="1701"/>
              </w:tabs>
            </w:pPr>
          </w:p>
        </w:tc>
      </w:tr>
      <w:tr w:rsidR="00F93B25" w14:paraId="26788694" w14:textId="77777777" w:rsidTr="00F217BA">
        <w:tc>
          <w:tcPr>
            <w:tcW w:w="567" w:type="dxa"/>
          </w:tcPr>
          <w:p w14:paraId="1D349AF6" w14:textId="3C63E973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61DD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22FB13A2" w14:textId="4199C42E" w:rsidR="0005319D" w:rsidRDefault="00672AAE" w:rsidP="00B918AE">
            <w:pPr>
              <w:rPr>
                <w:bCs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Uppföljning och utvärdering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snapToGrid w:val="0"/>
              </w:rPr>
              <w:t xml:space="preserve"> </w:t>
            </w:r>
          </w:p>
          <w:p w14:paraId="09FDC8C4" w14:textId="7329BB15" w:rsidR="00672AAE" w:rsidRPr="00B918AE" w:rsidRDefault="00672AAE" w:rsidP="00B918AE">
            <w:pPr>
              <w:rPr>
                <w:szCs w:val="24"/>
              </w:rPr>
            </w:pPr>
            <w:r w:rsidRPr="00981828">
              <w:rPr>
                <w:bCs/>
                <w:snapToGrid w:val="0"/>
              </w:rPr>
              <w:t xml:space="preserve">Utskottet </w:t>
            </w:r>
            <w:r w:rsidRPr="00672AAE">
              <w:rPr>
                <w:bCs/>
                <w:snapToGrid w:val="0"/>
              </w:rPr>
              <w:t>beslutade</w:t>
            </w:r>
            <w:r>
              <w:rPr>
                <w:bCs/>
                <w:snapToGrid w:val="0"/>
              </w:rPr>
              <w:t xml:space="preserve"> att</w:t>
            </w:r>
            <w:r w:rsidRPr="00BF7C27">
              <w:t xml:space="preserve"> inleda en </w:t>
            </w:r>
            <w:r>
              <w:t>huvudstudie</w:t>
            </w:r>
            <w:r w:rsidRPr="00BF7C27">
              <w:t xml:space="preserve"> </w:t>
            </w:r>
            <w:r w:rsidR="00B918AE" w:rsidRPr="003D1899">
              <w:rPr>
                <w:szCs w:val="24"/>
              </w:rPr>
              <w:t>om insatser för arbetslivsinriktad rehabilitering hos försäkrade som är sjukskrivna på grund av psykisk ohälsa/stressrelaterad ohälsa.</w:t>
            </w:r>
          </w:p>
          <w:p w14:paraId="680BB7C1" w14:textId="77777777" w:rsidR="00672AAE" w:rsidRDefault="00672AAE" w:rsidP="00672AAE">
            <w:pPr>
              <w:tabs>
                <w:tab w:val="left" w:pos="1701"/>
              </w:tabs>
            </w:pPr>
          </w:p>
          <w:p w14:paraId="24955BEE" w14:textId="77777777" w:rsidR="00672AAE" w:rsidRDefault="00672AAE" w:rsidP="00672AA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Denna paragraf förklarades omedelbart justerad. </w:t>
            </w:r>
          </w:p>
          <w:p w14:paraId="44C72238" w14:textId="77777777" w:rsidR="00F93B25" w:rsidRPr="00F93B25" w:rsidRDefault="00F93B25" w:rsidP="00672AA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3A08FD80" w14:textId="77777777" w:rsidTr="00F217BA">
        <w:tc>
          <w:tcPr>
            <w:tcW w:w="567" w:type="dxa"/>
          </w:tcPr>
          <w:p w14:paraId="78CF9E99" w14:textId="6FDAFA40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61DD5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1F1465C9" w14:textId="77777777" w:rsidR="008838CD" w:rsidRDefault="008838CD" w:rsidP="008838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574603F3" w14:textId="77777777" w:rsidR="00F93B25" w:rsidRDefault="00F93B25" w:rsidP="008838CD">
            <w:pPr>
              <w:tabs>
                <w:tab w:val="left" w:pos="1701"/>
              </w:tabs>
              <w:rPr>
                <w:snapToGrid w:val="0"/>
              </w:rPr>
            </w:pPr>
          </w:p>
          <w:p w14:paraId="67AF5E76" w14:textId="5CA875C5" w:rsidR="00E44C9C" w:rsidRDefault="00E44C9C" w:rsidP="008838CD">
            <w:pPr>
              <w:tabs>
                <w:tab w:val="left" w:pos="1701"/>
              </w:tabs>
              <w:rPr>
                <w:snapToGrid w:val="0"/>
              </w:rPr>
            </w:pPr>
            <w:r w:rsidRPr="00461DD5">
              <w:rPr>
                <w:snapToGrid w:val="0"/>
              </w:rPr>
              <w:t xml:space="preserve">Utskottet beslutade att </w:t>
            </w:r>
            <w:r w:rsidR="0092534F" w:rsidRPr="00461DD5">
              <w:rPr>
                <w:snapToGrid w:val="0"/>
              </w:rPr>
              <w:t>bjuda in Försäkringskassan för att informera om</w:t>
            </w:r>
            <w:r w:rsidR="00461DD5">
              <w:rPr>
                <w:snapToGrid w:val="0"/>
              </w:rPr>
              <w:t xml:space="preserve"> A1-intyget</w:t>
            </w:r>
            <w:r w:rsidR="0092534F" w:rsidRPr="00461DD5">
              <w:rPr>
                <w:snapToGrid w:val="0"/>
              </w:rPr>
              <w:t>.</w:t>
            </w:r>
            <w:r w:rsidR="0092534F">
              <w:rPr>
                <w:snapToGrid w:val="0"/>
              </w:rPr>
              <w:t xml:space="preserve"> </w:t>
            </w:r>
          </w:p>
          <w:p w14:paraId="583D12D9" w14:textId="395AB3C5" w:rsidR="0092534F" w:rsidRPr="00F93B25" w:rsidRDefault="0092534F" w:rsidP="005734D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838CD" w14:paraId="66EF0CA2" w14:textId="77777777" w:rsidTr="00F217BA">
        <w:tc>
          <w:tcPr>
            <w:tcW w:w="567" w:type="dxa"/>
          </w:tcPr>
          <w:p w14:paraId="3162F6D1" w14:textId="4E071270" w:rsidR="008838CD" w:rsidRDefault="008838C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61DD5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3AD86FED" w14:textId="77777777" w:rsidR="008838CD" w:rsidRDefault="008838CD" w:rsidP="008838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1C4AA134" w14:textId="77777777" w:rsidR="008838CD" w:rsidRDefault="008838CD" w:rsidP="008838CD">
            <w:pPr>
              <w:tabs>
                <w:tab w:val="left" w:pos="1701"/>
              </w:tabs>
              <w:rPr>
                <w:snapToGrid w:val="0"/>
              </w:rPr>
            </w:pPr>
          </w:p>
          <w:p w14:paraId="76171404" w14:textId="488C1241" w:rsidR="008838CD" w:rsidRPr="00F93B25" w:rsidRDefault="000D6CC8" w:rsidP="008838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Tid för nästa sammanträde meddelas senare. </w:t>
            </w:r>
          </w:p>
          <w:p w14:paraId="0446FB49" w14:textId="77777777" w:rsidR="008838CD" w:rsidRDefault="008838C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CA37C94" w14:textId="64F0C874" w:rsidR="0063099E" w:rsidRDefault="0063099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14:paraId="58C33F54" w14:textId="77777777" w:rsidTr="00F217BA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C53B1C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CF2CBE0" w14:textId="77777777" w:rsidR="0063099E" w:rsidRDefault="0063099E" w:rsidP="0096348C">
            <w:pPr>
              <w:tabs>
                <w:tab w:val="left" w:pos="1701"/>
              </w:tabs>
            </w:pPr>
          </w:p>
          <w:p w14:paraId="5803034B" w14:textId="77777777" w:rsidR="00E731D4" w:rsidRDefault="00E731D4" w:rsidP="0096348C">
            <w:pPr>
              <w:tabs>
                <w:tab w:val="left" w:pos="1701"/>
              </w:tabs>
            </w:pPr>
          </w:p>
          <w:p w14:paraId="18A07EB7" w14:textId="77777777" w:rsidR="00E731D4" w:rsidRDefault="00E731D4" w:rsidP="0096348C">
            <w:pPr>
              <w:tabs>
                <w:tab w:val="left" w:pos="1701"/>
              </w:tabs>
            </w:pPr>
          </w:p>
          <w:p w14:paraId="45C612E1" w14:textId="77777777" w:rsidR="00E731D4" w:rsidRDefault="00E731D4" w:rsidP="0096348C">
            <w:pPr>
              <w:tabs>
                <w:tab w:val="left" w:pos="1701"/>
              </w:tabs>
            </w:pPr>
          </w:p>
          <w:p w14:paraId="55031E37" w14:textId="77777777" w:rsidR="00E731D4" w:rsidRDefault="00E731D4" w:rsidP="0096348C">
            <w:pPr>
              <w:tabs>
                <w:tab w:val="left" w:pos="1701"/>
              </w:tabs>
            </w:pPr>
          </w:p>
          <w:p w14:paraId="02622CC2" w14:textId="77777777" w:rsidR="00E731D4" w:rsidRDefault="00E731D4" w:rsidP="0096348C">
            <w:pPr>
              <w:tabs>
                <w:tab w:val="left" w:pos="1701"/>
              </w:tabs>
            </w:pPr>
          </w:p>
          <w:p w14:paraId="593B0A2D" w14:textId="77777777" w:rsidR="00E731D4" w:rsidRDefault="00E731D4" w:rsidP="0096348C">
            <w:pPr>
              <w:tabs>
                <w:tab w:val="left" w:pos="1701"/>
              </w:tabs>
            </w:pPr>
          </w:p>
          <w:p w14:paraId="2FD8A095" w14:textId="77777777" w:rsidR="007F44EB" w:rsidRDefault="007F44EB" w:rsidP="0096348C">
            <w:pPr>
              <w:tabs>
                <w:tab w:val="left" w:pos="1701"/>
              </w:tabs>
            </w:pPr>
          </w:p>
          <w:p w14:paraId="556157B3" w14:textId="253CFD92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0181FBCD" w14:textId="77777777" w:rsidR="00FD13A3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</w:t>
            </w:r>
            <w:r w:rsidR="00461DD5">
              <w:t>juni 2023</w:t>
            </w:r>
          </w:p>
          <w:p w14:paraId="54EB9CD2" w14:textId="77777777" w:rsidR="00461DD5" w:rsidRDefault="00461DD5" w:rsidP="00EF70DA">
            <w:pPr>
              <w:tabs>
                <w:tab w:val="left" w:pos="1701"/>
              </w:tabs>
            </w:pPr>
          </w:p>
          <w:p w14:paraId="1EA3C465" w14:textId="72A59254" w:rsidR="00461DD5" w:rsidRPr="00CF4289" w:rsidRDefault="00461DD5" w:rsidP="00EF70DA">
            <w:pPr>
              <w:tabs>
                <w:tab w:val="left" w:pos="1701"/>
              </w:tabs>
            </w:pP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lastRenderedPageBreak/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284"/>
        <w:gridCol w:w="425"/>
        <w:gridCol w:w="284"/>
        <w:gridCol w:w="26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4D58B71A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06692A"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1A18843A" w:rsidR="0096348C" w:rsidRDefault="0006692A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45292CB1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8760B7">
              <w:t>31</w:t>
            </w:r>
          </w:p>
        </w:tc>
      </w:tr>
      <w:tr w:rsidR="0096348C" w14:paraId="1C1ACE54" w14:textId="77777777" w:rsidTr="002C4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15359EFC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2C4D8D">
              <w:rPr>
                <w:sz w:val="22"/>
              </w:rPr>
              <w:t>§</w:t>
            </w:r>
            <w:r>
              <w:rPr>
                <w:sz w:val="22"/>
              </w:rPr>
              <w:t xml:space="preserve">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461DD5">
              <w:rPr>
                <w:sz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3DF6C077" w:rsidR="0096348C" w:rsidRDefault="002C4D8D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§§</w:t>
            </w:r>
            <w:r w:rsidR="00A644C7">
              <w:rPr>
                <w:sz w:val="22"/>
              </w:rPr>
              <w:t xml:space="preserve"> </w:t>
            </w:r>
            <w:r w:rsidR="00461DD5">
              <w:rPr>
                <w:sz w:val="22"/>
              </w:rPr>
              <w:t>4</w:t>
            </w:r>
            <w:r>
              <w:rPr>
                <w:sz w:val="22"/>
              </w:rPr>
              <w:t>-</w:t>
            </w:r>
            <w:r w:rsidR="00A644C7">
              <w:rPr>
                <w:sz w:val="22"/>
              </w:rPr>
              <w:t>9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40B5A54A" w:rsidR="0096348C" w:rsidRDefault="00D75837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1392EF96" w:rsidR="0096348C" w:rsidRDefault="00D75837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0910E8" w14:paraId="5796F416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6D3A1F9D" w:rsidR="000910E8" w:rsidRPr="004245AC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GB" w:eastAsia="en-US"/>
              </w:rPr>
              <w:t>Viktor Wärnick (M),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61BAC572" w:rsidR="000910E8" w:rsidRDefault="002C4D8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44F97E2B" w:rsidR="000910E8" w:rsidRDefault="00761B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097D26C8" w:rsidR="000910E8" w:rsidRPr="001E1FAC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1147E19D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55358D37" w:rsidR="000910E8" w:rsidRPr="00E70A95" w:rsidRDefault="002C4D8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52EE9AD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379ACBFF" w:rsidR="000910E8" w:rsidRPr="00E70A95" w:rsidRDefault="002C4D8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052A94E3" w:rsidR="000910E8" w:rsidRPr="00E70A95" w:rsidRDefault="00761B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2109386A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4890B7F3" w:rsidR="000910E8" w:rsidRPr="00E70A95" w:rsidRDefault="002C4D8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4D9E75F2" w:rsidR="000910E8" w:rsidRPr="00E70A95" w:rsidRDefault="00761B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7BBD6945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72EDCC9A" w:rsidR="000910E8" w:rsidRPr="00E70A95" w:rsidRDefault="002C4D8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531FA891" w:rsidR="000910E8" w:rsidRPr="00E70A95" w:rsidRDefault="00761B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053A9DD5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27CF1C4B" w:rsidR="000910E8" w:rsidRPr="00E70A95" w:rsidRDefault="002C4D8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0092B2D9" w:rsidR="000910E8" w:rsidRPr="00E70A95" w:rsidRDefault="00761B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4DB6F860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4F7D35E6" w:rsidR="000910E8" w:rsidRPr="00E70A95" w:rsidRDefault="002C4D8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16E3DF17" w:rsidR="000910E8" w:rsidRPr="00E70A95" w:rsidRDefault="00761B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0961878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48BDCDA2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11898B6E" w:rsidR="000910E8" w:rsidRPr="00E70A95" w:rsidRDefault="002C4D8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3EF227EF" w:rsidR="000910E8" w:rsidRPr="00E70A95" w:rsidRDefault="00761B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2B13B9AF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170F4044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64B6AA63" w:rsidR="000910E8" w:rsidRPr="00E70A95" w:rsidRDefault="002C4D8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6AF2D21A" w:rsidR="000910E8" w:rsidRPr="00E70A95" w:rsidRDefault="00761B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26CC14D1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4EB39758" w:rsidR="000910E8" w:rsidRPr="00E70A95" w:rsidRDefault="002C4D8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0073228A" w:rsidR="000910E8" w:rsidRPr="00E70A95" w:rsidRDefault="00761B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6766C7A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5AC1DCB7" w:rsidR="000910E8" w:rsidRPr="00E70A95" w:rsidRDefault="002C4D8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5C00BB9B" w:rsidR="000910E8" w:rsidRPr="00E70A95" w:rsidRDefault="00761B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4AF55889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5A3D38D6" w:rsidR="000910E8" w:rsidRPr="00E70A95" w:rsidRDefault="002C4D8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232A2159" w:rsidR="000910E8" w:rsidRPr="00E70A95" w:rsidRDefault="00761B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39377991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9BA5A35" w:rsidR="000910E8" w:rsidRPr="00E70A95" w:rsidRDefault="002C4D8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224E11D3" w:rsidR="000910E8" w:rsidRPr="00E70A95" w:rsidRDefault="00761B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B2C0E7A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3AE" w:rsidRPr="006A511D" w14:paraId="27996F74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42B4" w14:textId="77777777" w:rsidR="006F13AE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E80D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F33E2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3400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C81C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810E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00B3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D4BB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ECD98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1AE1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21B3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A272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E820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DF13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D8BB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2C27859F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Daniel Persson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D2395BE" w:rsidR="000910E8" w:rsidRPr="0078232D" w:rsidRDefault="002C4D8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280E91DD" w:rsidR="000910E8" w:rsidRPr="0078232D" w:rsidRDefault="00761B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5C6BB3C2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593488D7" w:rsidR="000910E8" w:rsidRPr="0078232D" w:rsidRDefault="002C4D8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51FE8654" w:rsidR="000910E8" w:rsidRPr="0078232D" w:rsidRDefault="00761B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32A609B2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4F7292D2" w:rsidR="000910E8" w:rsidRPr="0078232D" w:rsidRDefault="002C4D8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2C742374" w:rsidR="000910E8" w:rsidRPr="0078232D" w:rsidRDefault="00761B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371A22BB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79775FA6" w:rsidR="000910E8" w:rsidRPr="0078232D" w:rsidRDefault="002C4D8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E80D1EF" w:rsidR="000910E8" w:rsidRPr="0078232D" w:rsidRDefault="00761B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6C7719BB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51E22E3E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F00F82C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7C0720C2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Carita Boulwén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06CF1F7B" w:rsidR="000910E8" w:rsidRPr="00AB3136" w:rsidRDefault="005C4453" w:rsidP="000910E8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19FC74A7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4659F9BF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39D4994" w:rsidR="000910E8" w:rsidRPr="0078232D" w:rsidRDefault="002C4D8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2F02B1E4" w:rsidR="000910E8" w:rsidRPr="0078232D" w:rsidRDefault="00761B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7EB9316C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41CB0B8" w:rsidR="000910E8" w:rsidRPr="0078232D" w:rsidRDefault="002C4D8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156F393E" w:rsidR="000910E8" w:rsidRPr="0078232D" w:rsidRDefault="00761B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5C6DEB4" w:rsidR="000910E8" w:rsidRPr="00835DF4" w:rsidRDefault="005C4453" w:rsidP="000910E8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0BB469B9" w:rsidR="000910E8" w:rsidRPr="0078232D" w:rsidRDefault="002C4D8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18CB8C7B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052BB050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48415F7E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0A057663" w:rsidR="000910E8" w:rsidRPr="0078232D" w:rsidRDefault="005C4453" w:rsidP="000910E8">
            <w:pPr>
              <w:rPr>
                <w:sz w:val="22"/>
                <w:szCs w:val="22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5DB980B8" w:rsidR="00073002" w:rsidRPr="003213EC" w:rsidRDefault="005C4453" w:rsidP="000910E8">
            <w:r w:rsidRPr="00AF3EEF">
              <w:rPr>
                <w:lang w:val="en-GB" w:eastAsia="en-US"/>
              </w:rPr>
              <w:t>Tony Haddou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347835C3" w:rsidR="00073002" w:rsidRDefault="005C4453" w:rsidP="000910E8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6DA49BC8" w:rsidR="00073002" w:rsidRDefault="005C4453" w:rsidP="000910E8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1E794632" w:rsidR="00073002" w:rsidRDefault="005C4453" w:rsidP="000910E8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3383ECEF" w:rsidR="00073002" w:rsidRDefault="005C4453" w:rsidP="000910E8">
            <w:r>
              <w:rPr>
                <w:lang w:val="en-GB" w:eastAsia="en-US"/>
              </w:rPr>
              <w:t>Janine Alm Ericson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521909C9" w:rsidR="00073002" w:rsidRPr="00BB38A5" w:rsidRDefault="00253E1E" w:rsidP="000910E8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1BA7DBF0" w:rsidR="00073002" w:rsidRDefault="005C4453" w:rsidP="000910E8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32D57010" w:rsidR="00073002" w:rsidRDefault="005C4453" w:rsidP="000910E8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4453" w14:paraId="249F1BD1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D0F1" w14:textId="345EF06E" w:rsidR="005C4453" w:rsidRDefault="00791C46" w:rsidP="000910E8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B7F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8546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9769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6DD7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8AA7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F53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280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9AEF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A43B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4A5E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D76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9F4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FDA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8C2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C46" w14:paraId="13BFCF57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50BA" w14:textId="0C962928" w:rsidR="00791C46" w:rsidRPr="008E3845" w:rsidRDefault="00791C46" w:rsidP="000910E8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Jessica Rosencrantz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9D3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9F1F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29D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5B0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A0B6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546A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285F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2916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6ABD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C473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7047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4169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4F7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0E13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23DF" w14:paraId="7DB8F9AB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1DADA" w14:textId="4F447538" w:rsidR="002323DF" w:rsidRPr="00380283" w:rsidRDefault="002323DF" w:rsidP="000910E8">
            <w:pPr>
              <w:rPr>
                <w:lang w:val="en-GB" w:eastAsia="en-US"/>
              </w:rPr>
            </w:pPr>
            <w:r w:rsidRPr="002323DF">
              <w:rPr>
                <w:lang w:val="en-GB" w:eastAsia="en-US"/>
              </w:rPr>
              <w:t>Amir Jawad (L) 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BA54" w14:textId="2348A0D2" w:rsidR="002323DF" w:rsidRPr="0078232D" w:rsidRDefault="002C4D8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2041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1B48" w14:textId="66F3C8F3" w:rsidR="002323DF" w:rsidRPr="0078232D" w:rsidRDefault="00761B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5F70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5340F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24B4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CD9A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8057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3297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B268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1AAB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F89F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D82F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4568B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6E766C1F" w14:textId="77777777" w:rsidTr="00761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9B4DA77" w:rsidR="00E02BEB" w:rsidRDefault="005C4453" w:rsidP="000910E8">
            <w:r w:rsidRPr="00380283">
              <w:rPr>
                <w:lang w:val="en-GB" w:eastAsia="en-US"/>
              </w:rPr>
              <w:t xml:space="preserve">Merit </w:t>
            </w:r>
            <w:r>
              <w:rPr>
                <w:lang w:val="en-GB" w:eastAsia="en-US"/>
              </w:rPr>
              <w:t xml:space="preserve">Frost </w:t>
            </w:r>
            <w:r w:rsidRPr="00380283">
              <w:rPr>
                <w:lang w:val="en-GB" w:eastAsia="en-US"/>
              </w:rPr>
              <w:t>Lindberg 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85764C" w14:textId="03A7B32A" w:rsidR="00953D59" w:rsidRDefault="00953D59" w:rsidP="00592BE9">
      <w:pPr>
        <w:widowControl/>
      </w:pPr>
    </w:p>
    <w:p w14:paraId="5390FE64" w14:textId="7C7C1BA4" w:rsidR="008369A8" w:rsidRDefault="008369A8" w:rsidP="00592BE9">
      <w:pPr>
        <w:widowControl/>
      </w:pPr>
    </w:p>
    <w:p w14:paraId="403D5033" w14:textId="0B3A847B" w:rsidR="008369A8" w:rsidRDefault="008369A8" w:rsidP="00592BE9">
      <w:pPr>
        <w:widowControl/>
      </w:pPr>
    </w:p>
    <w:p w14:paraId="5EF90EE4" w14:textId="13BD211D" w:rsidR="008369A8" w:rsidRDefault="008369A8" w:rsidP="00592BE9">
      <w:pPr>
        <w:widowControl/>
      </w:pPr>
    </w:p>
    <w:p w14:paraId="59AC18AB" w14:textId="3A3B4EBC" w:rsidR="008369A8" w:rsidRDefault="008369A8" w:rsidP="00592BE9">
      <w:pPr>
        <w:widowControl/>
      </w:pPr>
    </w:p>
    <w:p w14:paraId="10484A62" w14:textId="405A3B0A" w:rsidR="008369A8" w:rsidRDefault="008369A8" w:rsidP="00592BE9">
      <w:pPr>
        <w:widowControl/>
      </w:pPr>
    </w:p>
    <w:p w14:paraId="6097B344" w14:textId="36C5203B" w:rsidR="008369A8" w:rsidRDefault="008369A8" w:rsidP="00592BE9">
      <w:pPr>
        <w:widowControl/>
      </w:pPr>
    </w:p>
    <w:p w14:paraId="437239D2" w14:textId="10210495" w:rsidR="008369A8" w:rsidRDefault="008369A8" w:rsidP="00592BE9">
      <w:pPr>
        <w:widowControl/>
      </w:pPr>
    </w:p>
    <w:p w14:paraId="5DB9930E" w14:textId="334B7281" w:rsidR="008369A8" w:rsidRDefault="008369A8" w:rsidP="00592BE9">
      <w:pPr>
        <w:widowControl/>
      </w:pPr>
    </w:p>
    <w:p w14:paraId="70748059" w14:textId="406CCD18" w:rsidR="008369A8" w:rsidRDefault="008369A8" w:rsidP="00592BE9">
      <w:pPr>
        <w:widowControl/>
      </w:pPr>
    </w:p>
    <w:p w14:paraId="2904E7D0" w14:textId="3C3DE517" w:rsidR="008369A8" w:rsidRDefault="008369A8" w:rsidP="00592BE9">
      <w:pPr>
        <w:widowControl/>
      </w:pPr>
    </w:p>
    <w:p w14:paraId="2D8A649F" w14:textId="3142E342" w:rsidR="008369A8" w:rsidRDefault="008369A8" w:rsidP="00592BE9">
      <w:pPr>
        <w:widowControl/>
      </w:pPr>
    </w:p>
    <w:p w14:paraId="6E1516FE" w14:textId="3A1FFB12" w:rsidR="008369A8" w:rsidRDefault="008369A8" w:rsidP="00592BE9">
      <w:pPr>
        <w:widowControl/>
      </w:pPr>
    </w:p>
    <w:p w14:paraId="77EFB17C" w14:textId="4178DAFB" w:rsidR="008369A8" w:rsidRDefault="008369A8" w:rsidP="00592BE9">
      <w:pPr>
        <w:widowControl/>
      </w:pPr>
    </w:p>
    <w:p w14:paraId="5475AF9E" w14:textId="41DF1179" w:rsidR="008369A8" w:rsidRDefault="008369A8" w:rsidP="00592BE9">
      <w:pPr>
        <w:widowControl/>
      </w:pPr>
    </w:p>
    <w:p w14:paraId="25AE16F7" w14:textId="22B3CA90" w:rsidR="008369A8" w:rsidRDefault="008369A8" w:rsidP="00592BE9">
      <w:pPr>
        <w:widowControl/>
      </w:pPr>
    </w:p>
    <w:p w14:paraId="666EBF11" w14:textId="41A4D754" w:rsidR="008369A8" w:rsidRDefault="008369A8" w:rsidP="00592BE9">
      <w:pPr>
        <w:widowControl/>
      </w:pPr>
    </w:p>
    <w:p w14:paraId="6BE5776C" w14:textId="5D235621" w:rsidR="008369A8" w:rsidRDefault="008369A8" w:rsidP="00592BE9">
      <w:pPr>
        <w:widowControl/>
      </w:pPr>
    </w:p>
    <w:p w14:paraId="2FAC1F68" w14:textId="793DB670" w:rsidR="008369A8" w:rsidRDefault="008369A8" w:rsidP="00592BE9">
      <w:pPr>
        <w:widowControl/>
      </w:pPr>
    </w:p>
    <w:p w14:paraId="4F8CE8D6" w14:textId="6BCD4736" w:rsidR="008369A8" w:rsidRDefault="008369A8" w:rsidP="00592BE9">
      <w:pPr>
        <w:widowControl/>
      </w:pPr>
    </w:p>
    <w:p w14:paraId="3D31CAEB" w14:textId="3A426D37" w:rsidR="008369A8" w:rsidRDefault="008369A8" w:rsidP="00592BE9">
      <w:pPr>
        <w:widowControl/>
      </w:pPr>
    </w:p>
    <w:p w14:paraId="2164BAA3" w14:textId="3058C905" w:rsidR="008369A8" w:rsidRDefault="008369A8" w:rsidP="00592BE9">
      <w:pPr>
        <w:widowControl/>
      </w:pPr>
    </w:p>
    <w:p w14:paraId="59249B6F" w14:textId="6C6BCA43" w:rsidR="008369A8" w:rsidRDefault="008369A8" w:rsidP="00592BE9">
      <w:pPr>
        <w:widowControl/>
      </w:pPr>
    </w:p>
    <w:p w14:paraId="7E3B5D7A" w14:textId="467E1C50" w:rsidR="008369A8" w:rsidRDefault="008369A8" w:rsidP="00592BE9">
      <w:pPr>
        <w:widowControl/>
      </w:pPr>
    </w:p>
    <w:p w14:paraId="6F1100CD" w14:textId="7A58AD35" w:rsidR="008369A8" w:rsidRDefault="008369A8" w:rsidP="00592BE9">
      <w:pPr>
        <w:widowControl/>
      </w:pPr>
    </w:p>
    <w:p w14:paraId="36F9CA75" w14:textId="27D8BC41" w:rsidR="008369A8" w:rsidRDefault="008369A8" w:rsidP="00592BE9">
      <w:pPr>
        <w:widowControl/>
      </w:pPr>
    </w:p>
    <w:p w14:paraId="40BAC39C" w14:textId="57EF01C6" w:rsidR="008369A8" w:rsidRDefault="008369A8" w:rsidP="00592BE9">
      <w:pPr>
        <w:widowControl/>
      </w:pPr>
    </w:p>
    <w:p w14:paraId="0723FB6D" w14:textId="0A7126B2" w:rsidR="008369A8" w:rsidRDefault="008369A8" w:rsidP="00592BE9">
      <w:pPr>
        <w:widowControl/>
      </w:pPr>
    </w:p>
    <w:p w14:paraId="31E62094" w14:textId="647CA428" w:rsidR="008369A8" w:rsidRDefault="008369A8" w:rsidP="00592BE9">
      <w:pPr>
        <w:widowControl/>
      </w:pPr>
    </w:p>
    <w:p w14:paraId="1CB27CEF" w14:textId="066F8D9B" w:rsidR="008369A8" w:rsidRDefault="008369A8" w:rsidP="00592BE9">
      <w:pPr>
        <w:widowControl/>
      </w:pPr>
    </w:p>
    <w:p w14:paraId="0098304E" w14:textId="6981CE44" w:rsidR="008369A8" w:rsidRDefault="008369A8" w:rsidP="00592BE9">
      <w:pPr>
        <w:widowControl/>
      </w:pPr>
    </w:p>
    <w:p w14:paraId="33D2EDCF" w14:textId="3DF9DABE" w:rsidR="008369A8" w:rsidRDefault="008369A8" w:rsidP="00592BE9">
      <w:pPr>
        <w:widowControl/>
      </w:pPr>
    </w:p>
    <w:p w14:paraId="35497BDF" w14:textId="5F21F379" w:rsidR="008369A8" w:rsidRDefault="008369A8" w:rsidP="00592BE9">
      <w:pPr>
        <w:widowControl/>
      </w:pPr>
    </w:p>
    <w:p w14:paraId="34866484" w14:textId="22CAE396" w:rsidR="008369A8" w:rsidRDefault="008369A8" w:rsidP="00592BE9">
      <w:pPr>
        <w:widowControl/>
      </w:pPr>
    </w:p>
    <w:p w14:paraId="5C89BDD8" w14:textId="2B44E4D5" w:rsidR="008369A8" w:rsidRDefault="008369A8" w:rsidP="00592BE9">
      <w:pPr>
        <w:widowControl/>
      </w:pPr>
    </w:p>
    <w:p w14:paraId="0D0B7F4C" w14:textId="0D1F37C4" w:rsidR="008369A8" w:rsidRDefault="008369A8" w:rsidP="00592BE9">
      <w:pPr>
        <w:widowControl/>
      </w:pPr>
    </w:p>
    <w:p w14:paraId="01AB13AD" w14:textId="1B1E938A" w:rsidR="008369A8" w:rsidRDefault="008369A8" w:rsidP="00592BE9">
      <w:pPr>
        <w:widowControl/>
      </w:pPr>
    </w:p>
    <w:p w14:paraId="7F0ED7BE" w14:textId="77779738" w:rsidR="008369A8" w:rsidRDefault="008369A8" w:rsidP="00592BE9">
      <w:pPr>
        <w:widowControl/>
      </w:pPr>
    </w:p>
    <w:p w14:paraId="41F141A5" w14:textId="5F702BFC" w:rsidR="008369A8" w:rsidRDefault="008369A8" w:rsidP="00592BE9">
      <w:pPr>
        <w:widowControl/>
      </w:pPr>
    </w:p>
    <w:p w14:paraId="6D54429A" w14:textId="548C08E7" w:rsidR="008369A8" w:rsidRDefault="008369A8" w:rsidP="00592BE9">
      <w:pPr>
        <w:widowControl/>
      </w:pPr>
    </w:p>
    <w:p w14:paraId="52994658" w14:textId="77777777" w:rsidR="008369A8" w:rsidRDefault="008369A8" w:rsidP="00592BE9">
      <w:pPr>
        <w:widowControl/>
      </w:pPr>
    </w:p>
    <w:sectPr w:rsidR="008369A8" w:rsidSect="00834D0F">
      <w:pgSz w:w="11906" w:h="16838"/>
      <w:pgMar w:top="851" w:right="1134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210BF"/>
    <w:multiLevelType w:val="multilevel"/>
    <w:tmpl w:val="6660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02A5"/>
    <w:rsid w:val="00012D39"/>
    <w:rsid w:val="0003470E"/>
    <w:rsid w:val="00034CDD"/>
    <w:rsid w:val="00035496"/>
    <w:rsid w:val="00037EDF"/>
    <w:rsid w:val="0004283E"/>
    <w:rsid w:val="00043563"/>
    <w:rsid w:val="0005319D"/>
    <w:rsid w:val="00054452"/>
    <w:rsid w:val="00064405"/>
    <w:rsid w:val="0006692A"/>
    <w:rsid w:val="00073002"/>
    <w:rsid w:val="000910E8"/>
    <w:rsid w:val="00092DB0"/>
    <w:rsid w:val="0009468C"/>
    <w:rsid w:val="000A10F5"/>
    <w:rsid w:val="000B2293"/>
    <w:rsid w:val="000B7C05"/>
    <w:rsid w:val="000C0F16"/>
    <w:rsid w:val="000D0939"/>
    <w:rsid w:val="000D3043"/>
    <w:rsid w:val="000D4D83"/>
    <w:rsid w:val="000D6CC8"/>
    <w:rsid w:val="000F2258"/>
    <w:rsid w:val="000F47DE"/>
    <w:rsid w:val="000F4B22"/>
    <w:rsid w:val="000F6C0E"/>
    <w:rsid w:val="000F7279"/>
    <w:rsid w:val="00102BE9"/>
    <w:rsid w:val="00104694"/>
    <w:rsid w:val="001104E1"/>
    <w:rsid w:val="00117506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A70F2"/>
    <w:rsid w:val="001B463E"/>
    <w:rsid w:val="001C74B4"/>
    <w:rsid w:val="001E1FAC"/>
    <w:rsid w:val="001F3A32"/>
    <w:rsid w:val="001F67F5"/>
    <w:rsid w:val="002174A8"/>
    <w:rsid w:val="002323DF"/>
    <w:rsid w:val="002348E1"/>
    <w:rsid w:val="002373C0"/>
    <w:rsid w:val="00245992"/>
    <w:rsid w:val="00245F1C"/>
    <w:rsid w:val="00246D79"/>
    <w:rsid w:val="00246FAC"/>
    <w:rsid w:val="00253E1E"/>
    <w:rsid w:val="002544E0"/>
    <w:rsid w:val="0025581D"/>
    <w:rsid w:val="00256C69"/>
    <w:rsid w:val="002624FF"/>
    <w:rsid w:val="00274266"/>
    <w:rsid w:val="00275CD2"/>
    <w:rsid w:val="00277F93"/>
    <w:rsid w:val="00283BB1"/>
    <w:rsid w:val="00296D10"/>
    <w:rsid w:val="002A092F"/>
    <w:rsid w:val="002B1854"/>
    <w:rsid w:val="002B51DB"/>
    <w:rsid w:val="002C2B98"/>
    <w:rsid w:val="002C4D8D"/>
    <w:rsid w:val="002D2AB5"/>
    <w:rsid w:val="002E1614"/>
    <w:rsid w:val="002F284C"/>
    <w:rsid w:val="003102EF"/>
    <w:rsid w:val="00314F14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94192"/>
    <w:rsid w:val="003952A4"/>
    <w:rsid w:val="0039591D"/>
    <w:rsid w:val="003A037A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53F5C"/>
    <w:rsid w:val="00461DD5"/>
    <w:rsid w:val="004673D5"/>
    <w:rsid w:val="00471B5C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0DBB"/>
    <w:rsid w:val="00502075"/>
    <w:rsid w:val="0050265E"/>
    <w:rsid w:val="005108E6"/>
    <w:rsid w:val="00511E86"/>
    <w:rsid w:val="00517B7E"/>
    <w:rsid w:val="00517E7E"/>
    <w:rsid w:val="005300FA"/>
    <w:rsid w:val="00533D68"/>
    <w:rsid w:val="00534A4D"/>
    <w:rsid w:val="00540AE9"/>
    <w:rsid w:val="00555EB7"/>
    <w:rsid w:val="00565087"/>
    <w:rsid w:val="00565B66"/>
    <w:rsid w:val="005734D7"/>
    <w:rsid w:val="00574036"/>
    <w:rsid w:val="00574897"/>
    <w:rsid w:val="00581568"/>
    <w:rsid w:val="00585B29"/>
    <w:rsid w:val="00592BE9"/>
    <w:rsid w:val="005A04E7"/>
    <w:rsid w:val="005B0262"/>
    <w:rsid w:val="005B0965"/>
    <w:rsid w:val="005B13B2"/>
    <w:rsid w:val="005B2625"/>
    <w:rsid w:val="005C1541"/>
    <w:rsid w:val="005C2F5F"/>
    <w:rsid w:val="005C3A33"/>
    <w:rsid w:val="005C445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3099E"/>
    <w:rsid w:val="0066413C"/>
    <w:rsid w:val="00672AAE"/>
    <w:rsid w:val="00681B04"/>
    <w:rsid w:val="00697EB5"/>
    <w:rsid w:val="006A4141"/>
    <w:rsid w:val="006A511D"/>
    <w:rsid w:val="006B7B0C"/>
    <w:rsid w:val="006C21FA"/>
    <w:rsid w:val="006C34A5"/>
    <w:rsid w:val="006D3126"/>
    <w:rsid w:val="006F03D9"/>
    <w:rsid w:val="006F13AE"/>
    <w:rsid w:val="006F5FFE"/>
    <w:rsid w:val="0071220E"/>
    <w:rsid w:val="00723D66"/>
    <w:rsid w:val="0072602E"/>
    <w:rsid w:val="00726EE5"/>
    <w:rsid w:val="00731EE4"/>
    <w:rsid w:val="007463B5"/>
    <w:rsid w:val="00750FF0"/>
    <w:rsid w:val="007515BB"/>
    <w:rsid w:val="00751CCC"/>
    <w:rsid w:val="007557B6"/>
    <w:rsid w:val="00755B50"/>
    <w:rsid w:val="00761B7A"/>
    <w:rsid w:val="00767BDA"/>
    <w:rsid w:val="00771B76"/>
    <w:rsid w:val="007772FB"/>
    <w:rsid w:val="00780720"/>
    <w:rsid w:val="00785299"/>
    <w:rsid w:val="00791C46"/>
    <w:rsid w:val="007B00E8"/>
    <w:rsid w:val="007D2629"/>
    <w:rsid w:val="007E4B5A"/>
    <w:rsid w:val="007F2EDA"/>
    <w:rsid w:val="007F44EB"/>
    <w:rsid w:val="007F6240"/>
    <w:rsid w:val="007F6B0D"/>
    <w:rsid w:val="00815B5B"/>
    <w:rsid w:val="00817E6D"/>
    <w:rsid w:val="00820AC7"/>
    <w:rsid w:val="00834B38"/>
    <w:rsid w:val="00834D0F"/>
    <w:rsid w:val="00835DF4"/>
    <w:rsid w:val="008369A8"/>
    <w:rsid w:val="008378F7"/>
    <w:rsid w:val="008557FA"/>
    <w:rsid w:val="0086262B"/>
    <w:rsid w:val="00867CF0"/>
    <w:rsid w:val="0087359E"/>
    <w:rsid w:val="008760B7"/>
    <w:rsid w:val="008808A5"/>
    <w:rsid w:val="008838CD"/>
    <w:rsid w:val="008C2DE4"/>
    <w:rsid w:val="008C68ED"/>
    <w:rsid w:val="008D12B1"/>
    <w:rsid w:val="008D5C1B"/>
    <w:rsid w:val="008D7CB3"/>
    <w:rsid w:val="008F1A6E"/>
    <w:rsid w:val="008F4562"/>
    <w:rsid w:val="008F4D68"/>
    <w:rsid w:val="008F5701"/>
    <w:rsid w:val="008F656A"/>
    <w:rsid w:val="00905D60"/>
    <w:rsid w:val="00906C2D"/>
    <w:rsid w:val="00915674"/>
    <w:rsid w:val="009216D5"/>
    <w:rsid w:val="00921E58"/>
    <w:rsid w:val="009249A0"/>
    <w:rsid w:val="0092534F"/>
    <w:rsid w:val="00926A5A"/>
    <w:rsid w:val="00937BF3"/>
    <w:rsid w:val="00945344"/>
    <w:rsid w:val="00946978"/>
    <w:rsid w:val="00947B1B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2085"/>
    <w:rsid w:val="00A55748"/>
    <w:rsid w:val="00A56B0A"/>
    <w:rsid w:val="00A63738"/>
    <w:rsid w:val="00A644C7"/>
    <w:rsid w:val="00A70B78"/>
    <w:rsid w:val="00A744C3"/>
    <w:rsid w:val="00A81721"/>
    <w:rsid w:val="00A82EA8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46B48"/>
    <w:rsid w:val="00B500A1"/>
    <w:rsid w:val="00B53BB5"/>
    <w:rsid w:val="00B54D41"/>
    <w:rsid w:val="00B60B32"/>
    <w:rsid w:val="00B64A91"/>
    <w:rsid w:val="00B722B3"/>
    <w:rsid w:val="00B8125F"/>
    <w:rsid w:val="00B81A4A"/>
    <w:rsid w:val="00B85160"/>
    <w:rsid w:val="00B918AE"/>
    <w:rsid w:val="00B9203B"/>
    <w:rsid w:val="00BB38A5"/>
    <w:rsid w:val="00BE56A5"/>
    <w:rsid w:val="00BE7A1F"/>
    <w:rsid w:val="00BF03FD"/>
    <w:rsid w:val="00BF4C14"/>
    <w:rsid w:val="00C00A8E"/>
    <w:rsid w:val="00C00C2D"/>
    <w:rsid w:val="00C03BBC"/>
    <w:rsid w:val="00C07438"/>
    <w:rsid w:val="00C137FA"/>
    <w:rsid w:val="00C16B87"/>
    <w:rsid w:val="00C25306"/>
    <w:rsid w:val="00C3591B"/>
    <w:rsid w:val="00C3694B"/>
    <w:rsid w:val="00C4713F"/>
    <w:rsid w:val="00C53B1C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C7F48"/>
    <w:rsid w:val="00CF4289"/>
    <w:rsid w:val="00D12EAD"/>
    <w:rsid w:val="00D226B6"/>
    <w:rsid w:val="00D27180"/>
    <w:rsid w:val="00D360F7"/>
    <w:rsid w:val="00D44270"/>
    <w:rsid w:val="00D47AB1"/>
    <w:rsid w:val="00D52626"/>
    <w:rsid w:val="00D5385D"/>
    <w:rsid w:val="00D55F95"/>
    <w:rsid w:val="00D67826"/>
    <w:rsid w:val="00D75837"/>
    <w:rsid w:val="00D77353"/>
    <w:rsid w:val="00D86979"/>
    <w:rsid w:val="00D87775"/>
    <w:rsid w:val="00D90620"/>
    <w:rsid w:val="00D93637"/>
    <w:rsid w:val="00D96F98"/>
    <w:rsid w:val="00D97B6A"/>
    <w:rsid w:val="00DA15EE"/>
    <w:rsid w:val="00DA3029"/>
    <w:rsid w:val="00DA7DB7"/>
    <w:rsid w:val="00DC2D9C"/>
    <w:rsid w:val="00DC58D9"/>
    <w:rsid w:val="00DD0388"/>
    <w:rsid w:val="00DD0A83"/>
    <w:rsid w:val="00DD2E3A"/>
    <w:rsid w:val="00DD7DC3"/>
    <w:rsid w:val="00E02BEB"/>
    <w:rsid w:val="00E066D8"/>
    <w:rsid w:val="00E31AA3"/>
    <w:rsid w:val="00E33857"/>
    <w:rsid w:val="00E44C9C"/>
    <w:rsid w:val="00E45D77"/>
    <w:rsid w:val="00E5295C"/>
    <w:rsid w:val="00E57DF8"/>
    <w:rsid w:val="00E67EBA"/>
    <w:rsid w:val="00E70A95"/>
    <w:rsid w:val="00E731D4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229C"/>
    <w:rsid w:val="00EE30AF"/>
    <w:rsid w:val="00EE7FFE"/>
    <w:rsid w:val="00EF70DA"/>
    <w:rsid w:val="00F0569E"/>
    <w:rsid w:val="00F064EF"/>
    <w:rsid w:val="00F217BA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189</TotalTime>
  <Pages>5</Pages>
  <Words>665</Words>
  <Characters>4669</Characters>
  <Application>Microsoft Office Word</Application>
  <DocSecurity>0</DocSecurity>
  <Lines>1167</Lines>
  <Paragraphs>222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Olof Möller</cp:lastModifiedBy>
  <cp:revision>71</cp:revision>
  <cp:lastPrinted>2023-06-14T09:40:00Z</cp:lastPrinted>
  <dcterms:created xsi:type="dcterms:W3CDTF">2023-06-12T12:52:00Z</dcterms:created>
  <dcterms:modified xsi:type="dcterms:W3CDTF">2023-06-14T11:47:00Z</dcterms:modified>
</cp:coreProperties>
</file>