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C47E77" w:rsidRPr="001E241C">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C47E77" w:rsidRPr="001E241C" w:rsidRDefault="001E241C" w:rsidP="008637E9">
            <w:pPr>
              <w:pStyle w:val="EntLogo"/>
            </w:pPr>
            <w:r w:rsidRPr="001E241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7E77" w:rsidRPr="001E241C">
        <w:tblPrEx>
          <w:tblCellMar>
            <w:top w:w="0" w:type="dxa"/>
            <w:left w:w="0" w:type="dxa"/>
            <w:bottom w:w="0" w:type="dxa"/>
            <w:right w:w="0" w:type="dxa"/>
          </w:tblCellMar>
        </w:tblPrEx>
        <w:trPr>
          <w:cantSplit/>
          <w:trHeight w:val="1120"/>
        </w:trPr>
        <w:tc>
          <w:tcPr>
            <w:tcW w:w="4820" w:type="dxa"/>
            <w:gridSpan w:val="2"/>
          </w:tcPr>
          <w:p w:rsidR="00C47E77" w:rsidRPr="001E241C" w:rsidRDefault="00C47E77" w:rsidP="008637E9">
            <w:pPr>
              <w:pStyle w:val="EntInstit"/>
            </w:pPr>
            <w:r w:rsidRPr="001E241C">
              <w:t>COUNCIL OF</w:t>
            </w:r>
          </w:p>
          <w:p w:rsidR="00C47E77" w:rsidRPr="001E241C" w:rsidRDefault="00C47E77" w:rsidP="008637E9">
            <w:pPr>
              <w:pStyle w:val="EntInstit"/>
            </w:pPr>
            <w:r w:rsidRPr="001E241C">
              <w:t>THE EUROPEAN UNION</w:t>
            </w:r>
          </w:p>
          <w:p w:rsidR="00C47E77" w:rsidRPr="001E241C" w:rsidRDefault="00C47E77" w:rsidP="008637E9">
            <w:pPr>
              <w:pStyle w:val="EntInstit"/>
            </w:pPr>
          </w:p>
          <w:p w:rsidR="00C47E77" w:rsidRPr="001E241C" w:rsidRDefault="00C47E77" w:rsidP="008637E9">
            <w:pPr>
              <w:pStyle w:val="EntInstit"/>
            </w:pPr>
          </w:p>
        </w:tc>
        <w:tc>
          <w:tcPr>
            <w:tcW w:w="1701" w:type="dxa"/>
          </w:tcPr>
          <w:p w:rsidR="00C47E77" w:rsidRPr="001E241C" w:rsidRDefault="00C47E77" w:rsidP="008637E9">
            <w:pPr>
              <w:jc w:val="right"/>
              <w:rPr>
                <w:b/>
              </w:rPr>
            </w:pPr>
          </w:p>
        </w:tc>
        <w:tc>
          <w:tcPr>
            <w:tcW w:w="4820" w:type="dxa"/>
            <w:gridSpan w:val="2"/>
          </w:tcPr>
          <w:p w:rsidR="00C47E77" w:rsidRPr="001E241C" w:rsidRDefault="00C47E77" w:rsidP="008637E9">
            <w:pPr>
              <w:pStyle w:val="EntRefer"/>
            </w:pPr>
            <w:bookmarkStart w:id="0" w:name="Lieu"/>
            <w:bookmarkEnd w:id="0"/>
            <w:r w:rsidRPr="001E241C">
              <w:t xml:space="preserve">Brussels, </w:t>
            </w:r>
            <w:bookmarkStart w:id="1" w:name="Date"/>
            <w:bookmarkEnd w:id="1"/>
            <w:r w:rsidR="00B46127" w:rsidRPr="001E241C">
              <w:t>19</w:t>
            </w:r>
            <w:r w:rsidRPr="001E241C">
              <w:t xml:space="preserve"> May 2006 </w:t>
            </w:r>
            <w:bookmarkStart w:id="2" w:name="DateEntree"/>
            <w:bookmarkEnd w:id="2"/>
          </w:p>
          <w:p w:rsidR="00C47E77" w:rsidRPr="001E241C" w:rsidRDefault="00C47E77" w:rsidP="008637E9">
            <w:pPr>
              <w:pStyle w:val="EntRefer"/>
            </w:pPr>
            <w:bookmarkStart w:id="3" w:name="LangueOrig"/>
            <w:bookmarkEnd w:id="3"/>
          </w:p>
        </w:tc>
      </w:tr>
      <w:tr w:rsidR="00C47E77" w:rsidRPr="001E241C">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C47E77" w:rsidRPr="001E241C" w:rsidRDefault="00C47E77" w:rsidP="008637E9">
            <w:pPr>
              <w:pStyle w:val="EntRefer"/>
              <w:jc w:val="center"/>
            </w:pPr>
            <w:bookmarkStart w:id="4" w:name="DossierInterInst"/>
            <w:bookmarkEnd w:id="4"/>
          </w:p>
        </w:tc>
        <w:tc>
          <w:tcPr>
            <w:tcW w:w="1701" w:type="dxa"/>
            <w:vAlign w:val="center"/>
          </w:tcPr>
          <w:p w:rsidR="00C47E77" w:rsidRPr="001E241C" w:rsidRDefault="00C47E77" w:rsidP="008637E9">
            <w:pPr>
              <w:rPr>
                <w:b/>
              </w:rPr>
            </w:pPr>
          </w:p>
        </w:tc>
        <w:tc>
          <w:tcPr>
            <w:tcW w:w="3969" w:type="dxa"/>
          </w:tcPr>
          <w:p w:rsidR="00C47E77" w:rsidRPr="001E241C" w:rsidRDefault="00C47E77" w:rsidP="008637E9">
            <w:pPr>
              <w:pStyle w:val="EntRefer"/>
            </w:pPr>
            <w:bookmarkStart w:id="5" w:name="Cote"/>
            <w:bookmarkEnd w:id="5"/>
            <w:r w:rsidRPr="001E241C">
              <w:t>9633/06</w:t>
            </w:r>
          </w:p>
          <w:p w:rsidR="00C47E77" w:rsidRPr="001E241C" w:rsidRDefault="00C47E77" w:rsidP="008637E9">
            <w:pPr>
              <w:pStyle w:val="EntRefer"/>
            </w:pPr>
            <w:bookmarkStart w:id="6" w:name="CoteRev"/>
            <w:bookmarkEnd w:id="6"/>
          </w:p>
          <w:p w:rsidR="00C47E77" w:rsidRPr="001E241C" w:rsidRDefault="00C47E77" w:rsidP="008637E9">
            <w:pPr>
              <w:pStyle w:val="EntRefer"/>
            </w:pPr>
          </w:p>
          <w:p w:rsidR="00C47E77" w:rsidRPr="001E241C" w:rsidRDefault="00C47E77" w:rsidP="008637E9">
            <w:pPr>
              <w:pStyle w:val="EntRefer"/>
            </w:pPr>
            <w:bookmarkStart w:id="7" w:name="CoteSec"/>
            <w:bookmarkEnd w:id="7"/>
          </w:p>
          <w:p w:rsidR="00C47E77" w:rsidRPr="001E241C" w:rsidRDefault="00C47E77" w:rsidP="008637E9">
            <w:pPr>
              <w:pStyle w:val="EntRefer"/>
            </w:pPr>
          </w:p>
        </w:tc>
      </w:tr>
      <w:tr w:rsidR="00C47E77" w:rsidRPr="001E241C">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C47E77" w:rsidRPr="001E241C" w:rsidRDefault="00847C19" w:rsidP="008637E9">
            <w:pPr>
              <w:pStyle w:val="EntRefer"/>
            </w:pPr>
            <w:r w:rsidRPr="001E241C">
              <w:t>SOC 254</w:t>
            </w:r>
          </w:p>
          <w:p w:rsidR="00847C19" w:rsidRPr="001E241C" w:rsidRDefault="00847C19" w:rsidP="008637E9">
            <w:pPr>
              <w:pStyle w:val="EntRefer"/>
            </w:pPr>
            <w:r w:rsidRPr="001E241C">
              <w:t>ECOFIN 179</w:t>
            </w:r>
          </w:p>
        </w:tc>
      </w:tr>
    </w:tbl>
    <w:p w:rsidR="00C47E77" w:rsidRPr="001E241C" w:rsidRDefault="00C47E77" w:rsidP="00C47E77">
      <w:pPr>
        <w:pStyle w:val="EntRefer"/>
      </w:pPr>
    </w:p>
    <w:p w:rsidR="00C47E77" w:rsidRPr="001E241C" w:rsidRDefault="00C47E77" w:rsidP="00C47E77">
      <w:pPr>
        <w:pStyle w:val="EntRefer"/>
        <w:outlineLvl w:val="0"/>
      </w:pPr>
      <w:bookmarkStart w:id="8" w:name="txt_Ntr"/>
      <w:r w:rsidRPr="001E241C">
        <w:t>COVER 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847C19" w:rsidRPr="001E241C">
        <w:tblPrEx>
          <w:tblCellMar>
            <w:top w:w="0" w:type="dxa"/>
            <w:left w:w="0" w:type="dxa"/>
            <w:bottom w:w="0" w:type="dxa"/>
            <w:right w:w="0" w:type="dxa"/>
          </w:tblCellMar>
        </w:tblPrEx>
        <w:tc>
          <w:tcPr>
            <w:tcW w:w="1701" w:type="dxa"/>
            <w:tcBorders>
              <w:top w:val="single" w:sz="4" w:space="0" w:color="auto"/>
            </w:tcBorders>
          </w:tcPr>
          <w:p w:rsidR="00847C19" w:rsidRPr="001E241C" w:rsidRDefault="00847C19" w:rsidP="008637E9">
            <w:pPr>
              <w:pStyle w:val="EntEmet"/>
            </w:pPr>
            <w:bookmarkStart w:id="9" w:name="Ref"/>
            <w:bookmarkStart w:id="10" w:name="RefDu"/>
            <w:r w:rsidRPr="001E241C">
              <w:t>from :</w:t>
            </w:r>
            <w:bookmarkEnd w:id="10"/>
          </w:p>
        </w:tc>
        <w:tc>
          <w:tcPr>
            <w:tcW w:w="7938" w:type="dxa"/>
            <w:tcBorders>
              <w:top w:val="single" w:sz="4" w:space="0" w:color="auto"/>
            </w:tcBorders>
          </w:tcPr>
          <w:p w:rsidR="00847C19" w:rsidRPr="001E241C" w:rsidRDefault="00847C19" w:rsidP="008637E9">
            <w:pPr>
              <w:pStyle w:val="EntEmet"/>
            </w:pPr>
            <w:r w:rsidRPr="001E241C">
              <w:t>The Employment and the Social Protection Committees</w:t>
            </w:r>
          </w:p>
        </w:tc>
      </w:tr>
      <w:tr w:rsidR="00847C19" w:rsidRPr="001E241C">
        <w:tblPrEx>
          <w:tblCellMar>
            <w:top w:w="0" w:type="dxa"/>
            <w:left w:w="0" w:type="dxa"/>
            <w:bottom w:w="0" w:type="dxa"/>
            <w:right w:w="0" w:type="dxa"/>
          </w:tblCellMar>
        </w:tblPrEx>
        <w:tc>
          <w:tcPr>
            <w:tcW w:w="1701" w:type="dxa"/>
          </w:tcPr>
          <w:p w:rsidR="00847C19" w:rsidRPr="001E241C" w:rsidRDefault="00847C19" w:rsidP="008637E9">
            <w:pPr>
              <w:pStyle w:val="EntEmet"/>
            </w:pPr>
            <w:bookmarkStart w:id="11" w:name="RefEnDateDu"/>
            <w:r w:rsidRPr="001E241C">
              <w:t>to :</w:t>
            </w:r>
            <w:bookmarkEnd w:id="11"/>
          </w:p>
        </w:tc>
        <w:tc>
          <w:tcPr>
            <w:tcW w:w="7938" w:type="dxa"/>
          </w:tcPr>
          <w:p w:rsidR="00847C19" w:rsidRPr="001E241C" w:rsidRDefault="00847C19" w:rsidP="008637E9">
            <w:pPr>
              <w:pStyle w:val="EntEmet"/>
            </w:pPr>
            <w:r w:rsidRPr="001E241C">
              <w:t>Delegations</w:t>
            </w:r>
          </w:p>
        </w:tc>
      </w:tr>
      <w:bookmarkEnd w:id="9"/>
      <w:tr w:rsidR="00847C19" w:rsidRPr="001E241C">
        <w:tblPrEx>
          <w:tblCellMar>
            <w:top w:w="0" w:type="dxa"/>
            <w:left w:w="0" w:type="dxa"/>
            <w:bottom w:w="0" w:type="dxa"/>
            <w:right w:w="0" w:type="dxa"/>
          </w:tblCellMar>
        </w:tblPrEx>
        <w:tc>
          <w:tcPr>
            <w:tcW w:w="1701" w:type="dxa"/>
            <w:tcBorders>
              <w:top w:val="single" w:sz="4" w:space="0" w:color="auto"/>
              <w:bottom w:val="single" w:sz="4" w:space="0" w:color="auto"/>
            </w:tcBorders>
          </w:tcPr>
          <w:p w:rsidR="00847C19" w:rsidRPr="001E241C" w:rsidRDefault="00847C19" w:rsidP="008637E9">
            <w:pPr>
              <w:pStyle w:val="EntEmet"/>
              <w:rPr>
                <w:b/>
              </w:rPr>
            </w:pPr>
            <w:r w:rsidRPr="001E241C">
              <w:rPr>
                <w:b/>
              </w:rPr>
              <w:t>Subject :</w:t>
            </w:r>
          </w:p>
        </w:tc>
        <w:tc>
          <w:tcPr>
            <w:tcW w:w="7938" w:type="dxa"/>
            <w:tcBorders>
              <w:top w:val="single" w:sz="4" w:space="0" w:color="auto"/>
              <w:bottom w:val="single" w:sz="4" w:space="0" w:color="auto"/>
            </w:tcBorders>
          </w:tcPr>
          <w:p w:rsidR="00901ABE" w:rsidRPr="001E241C" w:rsidRDefault="00901ABE" w:rsidP="008637E9">
            <w:pPr>
              <w:pStyle w:val="EntEmet"/>
              <w:rPr>
                <w:b/>
                <w:szCs w:val="28"/>
              </w:rPr>
            </w:pPr>
            <w:bookmarkStart w:id="12" w:name="Subject"/>
            <w:bookmarkEnd w:id="12"/>
            <w:r w:rsidRPr="001E241C">
              <w:rPr>
                <w:b/>
                <w:szCs w:val="28"/>
              </w:rPr>
              <w:t xml:space="preserve">Flexicurity </w:t>
            </w:r>
          </w:p>
          <w:p w:rsidR="00847C19" w:rsidRPr="001E241C" w:rsidRDefault="00901ABE" w:rsidP="00901ABE">
            <w:pPr>
              <w:pStyle w:val="EntEmet"/>
              <w:ind w:left="99" w:hanging="99"/>
              <w:rPr>
                <w:b/>
              </w:rPr>
            </w:pPr>
            <w:r w:rsidRPr="001E241C">
              <w:rPr>
                <w:b/>
                <w:szCs w:val="28"/>
              </w:rPr>
              <w:t xml:space="preserve">- </w:t>
            </w:r>
            <w:r w:rsidR="00847C19" w:rsidRPr="001E241C">
              <w:rPr>
                <w:b/>
                <w:szCs w:val="28"/>
              </w:rPr>
              <w:t xml:space="preserve">Joint Contribution of the Employment Committee and the Social Protection Committee </w:t>
            </w:r>
          </w:p>
        </w:tc>
      </w:tr>
    </w:tbl>
    <w:p w:rsidR="00847C19" w:rsidRPr="001E241C" w:rsidRDefault="00847C19" w:rsidP="00847C19"/>
    <w:p w:rsidR="00C47E77" w:rsidRPr="001E241C" w:rsidRDefault="00C47E77" w:rsidP="00C47E77">
      <w:pPr>
        <w:pStyle w:val="NormalConseil"/>
      </w:pPr>
    </w:p>
    <w:p w:rsidR="00847C19" w:rsidRPr="001E241C" w:rsidRDefault="00847C19" w:rsidP="00847C19">
      <w:pPr>
        <w:spacing w:line="360" w:lineRule="auto"/>
        <w:rPr>
          <w:szCs w:val="28"/>
        </w:rPr>
      </w:pPr>
      <w:r w:rsidRPr="001E241C">
        <w:rPr>
          <w:u w:val="single"/>
        </w:rPr>
        <w:t>Delegations</w:t>
      </w:r>
      <w:r w:rsidRPr="001E241C">
        <w:t xml:space="preserve"> will find attached a joint contribution </w:t>
      </w:r>
      <w:r w:rsidR="008F041E" w:rsidRPr="001E241C">
        <w:t>f</w:t>
      </w:r>
      <w:r w:rsidR="004549FB" w:rsidRPr="001E241C">
        <w:t>rom</w:t>
      </w:r>
      <w:r w:rsidR="008F041E" w:rsidRPr="001E241C">
        <w:t xml:space="preserve"> </w:t>
      </w:r>
      <w:r w:rsidRPr="001E241C">
        <w:rPr>
          <w:szCs w:val="28"/>
        </w:rPr>
        <w:t>the Employment Committee and the Social Protection Committee</w:t>
      </w:r>
      <w:r w:rsidR="004549FB" w:rsidRPr="001E241C">
        <w:rPr>
          <w:szCs w:val="28"/>
        </w:rPr>
        <w:t xml:space="preserve"> on flexicurity</w:t>
      </w:r>
      <w:r w:rsidR="00B46127" w:rsidRPr="001E241C">
        <w:rPr>
          <w:szCs w:val="28"/>
        </w:rPr>
        <w:t>, presented with a view to the session of the Council (EPSCO) on 1/2 June 2006</w:t>
      </w:r>
      <w:r w:rsidR="004549FB" w:rsidRPr="001E241C">
        <w:rPr>
          <w:szCs w:val="28"/>
        </w:rPr>
        <w:t>.</w:t>
      </w:r>
    </w:p>
    <w:p w:rsidR="00C47E77" w:rsidRPr="001E241C" w:rsidRDefault="00C47E77" w:rsidP="00C47E77">
      <w:pPr>
        <w:pStyle w:val="NormalConseil"/>
      </w:pPr>
    </w:p>
    <w:p w:rsidR="00C47E77" w:rsidRPr="001E241C" w:rsidRDefault="00C47E77" w:rsidP="00C47E77">
      <w:pPr>
        <w:pStyle w:val="NormalConseil"/>
      </w:pPr>
    </w:p>
    <w:p w:rsidR="00C47E77" w:rsidRPr="001E241C" w:rsidRDefault="00C47E77" w:rsidP="00C47E77">
      <w:pPr>
        <w:pStyle w:val="NormalConseil"/>
        <w:jc w:val="center"/>
      </w:pPr>
      <w:r w:rsidRPr="001E241C">
        <w:t>________________________</w:t>
      </w:r>
    </w:p>
    <w:p w:rsidR="00C47E77" w:rsidRPr="001E241C" w:rsidRDefault="00C47E77" w:rsidP="00C47E77">
      <w:pPr>
        <w:pStyle w:val="NormalConseil"/>
      </w:pPr>
    </w:p>
    <w:p w:rsidR="00C47E77" w:rsidRPr="001E241C" w:rsidRDefault="00C47E77" w:rsidP="00C47E77">
      <w:pPr>
        <w:pStyle w:val="NormalConseil"/>
      </w:pPr>
    </w:p>
    <w:p w:rsidR="00C47E77" w:rsidRPr="001E241C" w:rsidRDefault="00C47E77" w:rsidP="00C47E77">
      <w:pPr>
        <w:pStyle w:val="NormalConseil"/>
        <w:outlineLvl w:val="0"/>
      </w:pPr>
    </w:p>
    <w:p w:rsidR="00C47E77" w:rsidRPr="001E241C" w:rsidRDefault="00C47E77" w:rsidP="00C47E77">
      <w:pPr>
        <w:pStyle w:val="NormalConseil"/>
      </w:pPr>
    </w:p>
    <w:bookmarkEnd w:id="8"/>
    <w:p w:rsidR="00C47E77" w:rsidRPr="001E241C" w:rsidRDefault="00C47E77" w:rsidP="00C47E77">
      <w:pPr>
        <w:pStyle w:val="NormalConseil"/>
        <w:sectPr w:rsidR="00C47E77" w:rsidRPr="001E241C">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096783" w:rsidRPr="001E241C" w:rsidRDefault="00096783" w:rsidP="00CF106D">
      <w:pPr>
        <w:jc w:val="right"/>
      </w:pPr>
    </w:p>
    <w:p w:rsidR="00F3505E" w:rsidRPr="001E241C" w:rsidRDefault="00491C17" w:rsidP="00096783">
      <w:pPr>
        <w:jc w:val="right"/>
      </w:pPr>
      <w:r w:rsidRPr="001E241C">
        <w:rPr>
          <w:sz w:val="22"/>
          <w:szCs w:val="22"/>
        </w:rPr>
        <w:t>12 May 2006 (final)</w:t>
      </w:r>
    </w:p>
    <w:p w:rsidR="003178F3" w:rsidRPr="001E241C" w:rsidRDefault="003178F3" w:rsidP="00F3505E">
      <w:pPr>
        <w:pStyle w:val="Brdtext2"/>
        <w:jc w:val="center"/>
        <w:rPr>
          <w:rFonts w:ascii="Times New Roman" w:hAnsi="Times New Roman"/>
        </w:rPr>
      </w:pPr>
    </w:p>
    <w:p w:rsidR="00072BB1" w:rsidRPr="001E241C" w:rsidRDefault="00072BB1" w:rsidP="00072BB1">
      <w:pPr>
        <w:pStyle w:val="Brdtext2"/>
        <w:jc w:val="center"/>
        <w:rPr>
          <w:rFonts w:ascii="Times New Roman" w:hAnsi="Times New Roman"/>
          <w:szCs w:val="28"/>
        </w:rPr>
      </w:pPr>
      <w:r w:rsidRPr="001E241C">
        <w:rPr>
          <w:rFonts w:ascii="Times New Roman" w:hAnsi="Times New Roman"/>
          <w:szCs w:val="28"/>
        </w:rPr>
        <w:t>Flexicurity</w:t>
      </w:r>
    </w:p>
    <w:p w:rsidR="00096783" w:rsidRPr="001E241C" w:rsidRDefault="00096783" w:rsidP="00072BB1">
      <w:pPr>
        <w:pStyle w:val="Brdtext2"/>
        <w:jc w:val="center"/>
        <w:rPr>
          <w:rFonts w:ascii="Times New Roman" w:hAnsi="Times New Roman"/>
          <w:szCs w:val="28"/>
        </w:rPr>
      </w:pPr>
      <w:r w:rsidRPr="001E241C">
        <w:rPr>
          <w:rFonts w:ascii="Times New Roman" w:hAnsi="Times New Roman"/>
          <w:szCs w:val="28"/>
        </w:rPr>
        <w:t>Joint Contribution of the Employment Committee and the Social Protection Committee</w:t>
      </w:r>
    </w:p>
    <w:p w:rsidR="0029689E" w:rsidRPr="001E241C" w:rsidRDefault="0029689E" w:rsidP="00C40239">
      <w:pPr>
        <w:pStyle w:val="Brdtext2"/>
        <w:jc w:val="both"/>
        <w:rPr>
          <w:rFonts w:ascii="Times New Roman" w:hAnsi="Times New Roman"/>
          <w:b w:val="0"/>
          <w:sz w:val="22"/>
          <w:szCs w:val="22"/>
        </w:rPr>
      </w:pPr>
    </w:p>
    <w:p w:rsidR="00C40239" w:rsidRPr="001E241C" w:rsidRDefault="00625BCD" w:rsidP="00625BCD">
      <w:pPr>
        <w:pStyle w:val="Rubrik1"/>
      </w:pPr>
      <w:r w:rsidRPr="001E241C">
        <w:t>1</w:t>
      </w:r>
      <w:r w:rsidRPr="001E241C">
        <w:rPr>
          <w:sz w:val="24"/>
          <w:szCs w:val="24"/>
        </w:rPr>
        <w:t>.</w:t>
      </w:r>
      <w:r w:rsidRPr="001E241C">
        <w:rPr>
          <w:sz w:val="24"/>
          <w:szCs w:val="24"/>
        </w:rPr>
        <w:tab/>
      </w:r>
      <w:r w:rsidR="00C40239" w:rsidRPr="001E241C">
        <w:rPr>
          <w:sz w:val="24"/>
          <w:szCs w:val="24"/>
        </w:rPr>
        <w:t xml:space="preserve">The </w:t>
      </w:r>
      <w:smartTag w:uri="urn:schemas-microsoft-com:office:smarttags" w:element="City">
        <w:smartTag w:uri="urn:schemas-microsoft-com:office:smarttags" w:element="place">
          <w:r w:rsidR="00C40239" w:rsidRPr="001E241C">
            <w:rPr>
              <w:sz w:val="24"/>
              <w:szCs w:val="24"/>
            </w:rPr>
            <w:t>Lisbon</w:t>
          </w:r>
        </w:smartTag>
      </w:smartTag>
      <w:r w:rsidR="00C40239" w:rsidRPr="001E241C">
        <w:rPr>
          <w:sz w:val="24"/>
          <w:szCs w:val="24"/>
        </w:rPr>
        <w:t xml:space="preserve"> strategy and flexicurity</w:t>
      </w:r>
      <w:r w:rsidR="00C40239" w:rsidRPr="001E241C">
        <w:t xml:space="preserve"> </w:t>
      </w:r>
    </w:p>
    <w:p w:rsidR="00491C17" w:rsidRPr="001E241C" w:rsidRDefault="00491C17" w:rsidP="00C40239">
      <w:pPr>
        <w:pStyle w:val="Brdtext2"/>
        <w:jc w:val="both"/>
        <w:rPr>
          <w:rFonts w:ascii="Times New Roman" w:hAnsi="Times New Roman"/>
          <w:b w:val="0"/>
          <w:sz w:val="22"/>
          <w:szCs w:val="22"/>
        </w:rPr>
      </w:pPr>
    </w:p>
    <w:p w:rsidR="00092F13" w:rsidRPr="001E241C" w:rsidRDefault="007E0717" w:rsidP="00C40239">
      <w:pPr>
        <w:pStyle w:val="Brdtext2"/>
        <w:jc w:val="both"/>
        <w:rPr>
          <w:rFonts w:ascii="Times New Roman" w:hAnsi="Times New Roman"/>
          <w:b w:val="0"/>
          <w:sz w:val="22"/>
          <w:szCs w:val="22"/>
        </w:rPr>
      </w:pPr>
      <w:r w:rsidRPr="001E241C">
        <w:rPr>
          <w:rFonts w:ascii="Times New Roman" w:hAnsi="Times New Roman"/>
          <w:b w:val="0"/>
          <w:sz w:val="22"/>
          <w:szCs w:val="22"/>
        </w:rPr>
        <w:t xml:space="preserve">The </w:t>
      </w:r>
      <w:smartTag w:uri="urn:schemas-microsoft-com:office:smarttags" w:element="place">
        <w:smartTag w:uri="urn:schemas-microsoft-com:office:smarttags" w:element="City">
          <w:r w:rsidRPr="001E241C">
            <w:rPr>
              <w:rFonts w:ascii="Times New Roman" w:hAnsi="Times New Roman"/>
              <w:b w:val="0"/>
              <w:sz w:val="22"/>
              <w:szCs w:val="22"/>
            </w:rPr>
            <w:t>Lisbon</w:t>
          </w:r>
        </w:smartTag>
      </w:smartTag>
      <w:r w:rsidRPr="001E241C">
        <w:rPr>
          <w:rFonts w:ascii="Times New Roman" w:hAnsi="Times New Roman"/>
          <w:b w:val="0"/>
          <w:sz w:val="22"/>
          <w:szCs w:val="22"/>
        </w:rPr>
        <w:t xml:space="preserve"> strategy calls in its Integrated Guidelines </w:t>
      </w:r>
      <w:r w:rsidR="00092F13" w:rsidRPr="001E241C">
        <w:rPr>
          <w:rFonts w:ascii="Times New Roman" w:hAnsi="Times New Roman"/>
          <w:b w:val="0"/>
          <w:sz w:val="22"/>
          <w:szCs w:val="22"/>
        </w:rPr>
        <w:t xml:space="preserve">for growth and jobs </w:t>
      </w:r>
      <w:r w:rsidRPr="001E241C">
        <w:rPr>
          <w:rFonts w:ascii="Times New Roman" w:hAnsi="Times New Roman"/>
          <w:b w:val="0"/>
          <w:sz w:val="22"/>
          <w:szCs w:val="22"/>
        </w:rPr>
        <w:t>for the improvement of the adaptability of workers and enterprises</w:t>
      </w:r>
      <w:r w:rsidR="00092F13" w:rsidRPr="001E241C">
        <w:rPr>
          <w:rFonts w:ascii="Times New Roman" w:hAnsi="Times New Roman"/>
          <w:b w:val="0"/>
          <w:sz w:val="22"/>
          <w:szCs w:val="22"/>
        </w:rPr>
        <w:t>. It hereto calls upon the Member States to promote flexibility combined with employment security and reduce labour market segmentation, having due regard to the role of the social partners (IG 21).</w:t>
      </w:r>
    </w:p>
    <w:p w:rsidR="00092F13" w:rsidRPr="001E241C" w:rsidRDefault="00092F13" w:rsidP="00C40239">
      <w:pPr>
        <w:pStyle w:val="Brdtext2"/>
        <w:jc w:val="both"/>
        <w:rPr>
          <w:rFonts w:ascii="Times New Roman" w:hAnsi="Times New Roman"/>
          <w:b w:val="0"/>
          <w:sz w:val="22"/>
          <w:szCs w:val="22"/>
        </w:rPr>
      </w:pPr>
    </w:p>
    <w:p w:rsidR="00381205" w:rsidRPr="001E241C" w:rsidRDefault="00092F13" w:rsidP="00C40239">
      <w:pPr>
        <w:pStyle w:val="Brdtext2"/>
        <w:jc w:val="both"/>
        <w:rPr>
          <w:rFonts w:ascii="Times New Roman" w:hAnsi="Times New Roman"/>
          <w:b w:val="0"/>
          <w:sz w:val="22"/>
          <w:szCs w:val="22"/>
        </w:rPr>
      </w:pPr>
      <w:r w:rsidRPr="001E241C">
        <w:rPr>
          <w:rFonts w:ascii="Times New Roman" w:hAnsi="Times New Roman"/>
          <w:b w:val="0"/>
          <w:sz w:val="22"/>
          <w:szCs w:val="22"/>
        </w:rPr>
        <w:t>The Joint Employment Report 2005/2006</w:t>
      </w:r>
      <w:r w:rsidR="00381205" w:rsidRPr="001E241C">
        <w:rPr>
          <w:rFonts w:ascii="Times New Roman" w:hAnsi="Times New Roman"/>
          <w:b w:val="0"/>
          <w:sz w:val="22"/>
          <w:szCs w:val="22"/>
        </w:rPr>
        <w:t xml:space="preserve"> signalled that th</w:t>
      </w:r>
      <w:r w:rsidR="00DD5FCF" w:rsidRPr="001E241C">
        <w:rPr>
          <w:rFonts w:ascii="Times New Roman" w:hAnsi="Times New Roman"/>
          <w:b w:val="0"/>
          <w:sz w:val="22"/>
          <w:szCs w:val="22"/>
        </w:rPr>
        <w:t xml:space="preserve">e </w:t>
      </w:r>
      <w:r w:rsidR="00381205" w:rsidRPr="001E241C">
        <w:rPr>
          <w:rFonts w:ascii="Times New Roman" w:hAnsi="Times New Roman"/>
          <w:b w:val="0"/>
          <w:sz w:val="22"/>
          <w:szCs w:val="22"/>
        </w:rPr>
        <w:t xml:space="preserve">priority </w:t>
      </w:r>
      <w:r w:rsidR="00B14F28" w:rsidRPr="001E241C">
        <w:rPr>
          <w:rFonts w:ascii="Times New Roman" w:hAnsi="Times New Roman"/>
          <w:b w:val="0"/>
          <w:sz w:val="22"/>
          <w:szCs w:val="22"/>
        </w:rPr>
        <w:t xml:space="preserve">of adaptability </w:t>
      </w:r>
      <w:r w:rsidR="00381205" w:rsidRPr="001E241C">
        <w:rPr>
          <w:rFonts w:ascii="Times New Roman" w:hAnsi="Times New Roman"/>
          <w:b w:val="0"/>
          <w:sz w:val="22"/>
          <w:szCs w:val="22"/>
        </w:rPr>
        <w:t xml:space="preserve">received the least attention in the employment part of the </w:t>
      </w:r>
      <w:r w:rsidRPr="001E241C">
        <w:rPr>
          <w:rFonts w:ascii="Times New Roman" w:hAnsi="Times New Roman"/>
          <w:b w:val="0"/>
          <w:sz w:val="22"/>
          <w:szCs w:val="22"/>
        </w:rPr>
        <w:t>National Reform Programmes</w:t>
      </w:r>
      <w:r w:rsidR="00381205" w:rsidRPr="001E241C">
        <w:rPr>
          <w:rFonts w:ascii="Times New Roman" w:hAnsi="Times New Roman"/>
          <w:b w:val="0"/>
          <w:sz w:val="22"/>
          <w:szCs w:val="22"/>
        </w:rPr>
        <w:t xml:space="preserve"> and concluded that this is worrying given the increasingly segmented nature of labour markets. </w:t>
      </w:r>
    </w:p>
    <w:p w:rsidR="00B14F28" w:rsidRPr="001E241C" w:rsidRDefault="00B14F28" w:rsidP="00C40239">
      <w:pPr>
        <w:pStyle w:val="Brdtext2"/>
        <w:jc w:val="both"/>
        <w:rPr>
          <w:rFonts w:ascii="Times New Roman" w:hAnsi="Times New Roman"/>
          <w:b w:val="0"/>
          <w:sz w:val="22"/>
          <w:szCs w:val="22"/>
        </w:rPr>
      </w:pPr>
    </w:p>
    <w:p w:rsidR="00B14F28" w:rsidRPr="001E241C" w:rsidRDefault="00B14F28" w:rsidP="00C40239">
      <w:pPr>
        <w:pStyle w:val="Brdtext2"/>
        <w:jc w:val="both"/>
        <w:rPr>
          <w:rFonts w:ascii="Times New Roman" w:hAnsi="Times New Roman"/>
          <w:b w:val="0"/>
          <w:sz w:val="22"/>
          <w:szCs w:val="22"/>
        </w:rPr>
      </w:pPr>
      <w:r w:rsidRPr="001E241C">
        <w:rPr>
          <w:rFonts w:ascii="Times New Roman" w:hAnsi="Times New Roman"/>
          <w:b w:val="0"/>
          <w:sz w:val="22"/>
          <w:szCs w:val="22"/>
        </w:rPr>
        <w:t>In the Joint Employment report four ingredients</w:t>
      </w:r>
      <w:r w:rsidR="00B87C90" w:rsidRPr="001E241C">
        <w:rPr>
          <w:rFonts w:ascii="Times New Roman" w:hAnsi="Times New Roman"/>
          <w:b w:val="0"/>
          <w:sz w:val="22"/>
          <w:szCs w:val="22"/>
        </w:rPr>
        <w:t xml:space="preserve"> were identified to achieve a good balance between flexibility and security without increasing the risk of labour market segmentation: availability of contractual arrangements, active labour market policies, credible lifelong learning systems, and modern social security systems.</w:t>
      </w:r>
    </w:p>
    <w:p w:rsidR="00381205" w:rsidRPr="001E241C" w:rsidRDefault="00381205" w:rsidP="00C40239">
      <w:pPr>
        <w:pStyle w:val="Brdtext2"/>
        <w:jc w:val="both"/>
        <w:rPr>
          <w:rFonts w:ascii="Times New Roman" w:hAnsi="Times New Roman"/>
          <w:b w:val="0"/>
          <w:sz w:val="22"/>
          <w:szCs w:val="22"/>
        </w:rPr>
      </w:pPr>
    </w:p>
    <w:p w:rsidR="00742868" w:rsidRPr="001E241C" w:rsidRDefault="00381205" w:rsidP="00C40239">
      <w:pPr>
        <w:pStyle w:val="Brdtext2"/>
        <w:jc w:val="both"/>
        <w:rPr>
          <w:rFonts w:ascii="Times New Roman" w:hAnsi="Times New Roman"/>
          <w:b w:val="0"/>
          <w:sz w:val="22"/>
          <w:szCs w:val="22"/>
        </w:rPr>
      </w:pPr>
      <w:r w:rsidRPr="001E241C">
        <w:rPr>
          <w:rFonts w:ascii="Times New Roman" w:hAnsi="Times New Roman"/>
          <w:b w:val="0"/>
          <w:sz w:val="22"/>
          <w:szCs w:val="22"/>
        </w:rPr>
        <w:t>The 2006 Spring European Council</w:t>
      </w:r>
      <w:r w:rsidR="00DD5FCF" w:rsidRPr="001E241C">
        <w:rPr>
          <w:rFonts w:ascii="Times New Roman" w:hAnsi="Times New Roman"/>
          <w:b w:val="0"/>
          <w:sz w:val="22"/>
          <w:szCs w:val="22"/>
        </w:rPr>
        <w:t xml:space="preserve"> stressed the need to develop more systematically in the NRPs comprehensive policy strategies to improve the adaptability of workers and enterprises. </w:t>
      </w:r>
      <w:r w:rsidRPr="001E241C">
        <w:rPr>
          <w:rFonts w:ascii="Times New Roman" w:hAnsi="Times New Roman"/>
          <w:b w:val="0"/>
          <w:sz w:val="22"/>
          <w:szCs w:val="22"/>
        </w:rPr>
        <w:t xml:space="preserve"> </w:t>
      </w:r>
      <w:r w:rsidR="00DD5FCF" w:rsidRPr="001E241C">
        <w:rPr>
          <w:rFonts w:ascii="Times New Roman" w:hAnsi="Times New Roman"/>
          <w:b w:val="0"/>
          <w:sz w:val="22"/>
          <w:szCs w:val="22"/>
        </w:rPr>
        <w:t xml:space="preserve">It therefore invited </w:t>
      </w:r>
      <w:r w:rsidR="00C40239" w:rsidRPr="001E241C">
        <w:rPr>
          <w:rFonts w:ascii="Times New Roman" w:hAnsi="Times New Roman"/>
          <w:b w:val="0"/>
          <w:sz w:val="22"/>
          <w:szCs w:val="22"/>
        </w:rPr>
        <w:t>M</w:t>
      </w:r>
      <w:r w:rsidR="00DD5FCF" w:rsidRPr="001E241C">
        <w:rPr>
          <w:rFonts w:ascii="Times New Roman" w:hAnsi="Times New Roman"/>
          <w:b w:val="0"/>
          <w:sz w:val="22"/>
          <w:szCs w:val="22"/>
        </w:rPr>
        <w:t xml:space="preserve">ember States to pursue, in accordance with their individual labour market situations, reforms in labour market and social policies under an integrated flexicurity approach, adequately adapted to specific institutional environments and taking into account labour market segmentation. It </w:t>
      </w:r>
      <w:r w:rsidR="00742868" w:rsidRPr="001E241C">
        <w:rPr>
          <w:rFonts w:ascii="Times New Roman" w:hAnsi="Times New Roman"/>
          <w:b w:val="0"/>
          <w:sz w:val="22"/>
          <w:szCs w:val="22"/>
        </w:rPr>
        <w:t xml:space="preserve">noted that the Commission, jointly with </w:t>
      </w:r>
      <w:smartTag w:uri="urn:schemas-microsoft-com:office:smarttags" w:element="place">
        <w:smartTag w:uri="urn:schemas-microsoft-com:office:smarttags" w:element="PlaceName">
          <w:r w:rsidR="00742868" w:rsidRPr="001E241C">
            <w:rPr>
              <w:rFonts w:ascii="Times New Roman" w:hAnsi="Times New Roman"/>
              <w:b w:val="0"/>
              <w:sz w:val="22"/>
              <w:szCs w:val="22"/>
            </w:rPr>
            <w:t>member</w:t>
          </w:r>
        </w:smartTag>
        <w:r w:rsidR="00742868" w:rsidRPr="001E241C">
          <w:rPr>
            <w:rFonts w:ascii="Times New Roman" w:hAnsi="Times New Roman"/>
            <w:b w:val="0"/>
            <w:sz w:val="22"/>
            <w:szCs w:val="22"/>
          </w:rPr>
          <w:t xml:space="preserve"> </w:t>
        </w:r>
        <w:smartTag w:uri="urn:schemas-microsoft-com:office:smarttags" w:element="PlaceType">
          <w:r w:rsidR="00742868" w:rsidRPr="001E241C">
            <w:rPr>
              <w:rFonts w:ascii="Times New Roman" w:hAnsi="Times New Roman"/>
              <w:b w:val="0"/>
              <w:sz w:val="22"/>
              <w:szCs w:val="22"/>
            </w:rPr>
            <w:t>States</w:t>
          </w:r>
        </w:smartTag>
      </w:smartTag>
      <w:r w:rsidR="00742868" w:rsidRPr="001E241C">
        <w:rPr>
          <w:rFonts w:ascii="Times New Roman" w:hAnsi="Times New Roman"/>
          <w:b w:val="0"/>
          <w:sz w:val="22"/>
          <w:szCs w:val="22"/>
        </w:rPr>
        <w:t xml:space="preserve"> and social partners, will explore the development of a set of common principles on flexicurity. </w:t>
      </w:r>
    </w:p>
    <w:p w:rsidR="00742868" w:rsidRPr="001E241C" w:rsidRDefault="00742868" w:rsidP="00C40239">
      <w:pPr>
        <w:pStyle w:val="Brdtext2"/>
        <w:jc w:val="both"/>
        <w:rPr>
          <w:rFonts w:ascii="Times New Roman" w:hAnsi="Times New Roman"/>
          <w:b w:val="0"/>
          <w:sz w:val="22"/>
          <w:szCs w:val="22"/>
        </w:rPr>
      </w:pPr>
    </w:p>
    <w:p w:rsidR="00381205" w:rsidRPr="001E241C" w:rsidRDefault="00AE40E3" w:rsidP="00C40239">
      <w:pPr>
        <w:pStyle w:val="Brdtext2"/>
        <w:jc w:val="both"/>
        <w:rPr>
          <w:rFonts w:ascii="Times New Roman" w:hAnsi="Times New Roman"/>
          <w:b w:val="0"/>
          <w:sz w:val="22"/>
          <w:szCs w:val="22"/>
        </w:rPr>
      </w:pPr>
      <w:r w:rsidRPr="001E241C">
        <w:rPr>
          <w:rFonts w:ascii="Times New Roman" w:hAnsi="Times New Roman"/>
          <w:b w:val="0"/>
          <w:sz w:val="22"/>
          <w:szCs w:val="22"/>
        </w:rPr>
        <w:t>Th</w:t>
      </w:r>
      <w:r w:rsidR="005D2CCA" w:rsidRPr="001E241C">
        <w:rPr>
          <w:rFonts w:ascii="Times New Roman" w:hAnsi="Times New Roman"/>
          <w:b w:val="0"/>
          <w:sz w:val="22"/>
          <w:szCs w:val="22"/>
        </w:rPr>
        <w:t>is</w:t>
      </w:r>
      <w:r w:rsidRPr="001E241C">
        <w:rPr>
          <w:rFonts w:ascii="Times New Roman" w:hAnsi="Times New Roman"/>
          <w:b w:val="0"/>
          <w:sz w:val="22"/>
          <w:szCs w:val="22"/>
        </w:rPr>
        <w:t xml:space="preserve"> </w:t>
      </w:r>
      <w:r w:rsidR="00096783" w:rsidRPr="001E241C">
        <w:rPr>
          <w:rFonts w:ascii="Times New Roman" w:hAnsi="Times New Roman"/>
          <w:b w:val="0"/>
          <w:sz w:val="22"/>
          <w:szCs w:val="22"/>
        </w:rPr>
        <w:t xml:space="preserve">joint contribution </w:t>
      </w:r>
      <w:r w:rsidR="005D2CCA" w:rsidRPr="001E241C">
        <w:rPr>
          <w:rFonts w:ascii="Times New Roman" w:hAnsi="Times New Roman"/>
          <w:b w:val="0"/>
          <w:sz w:val="22"/>
          <w:szCs w:val="22"/>
        </w:rPr>
        <w:t xml:space="preserve">is based on work done by the Employment Committee and Social Protection Committee and </w:t>
      </w:r>
      <w:r w:rsidR="001550AC" w:rsidRPr="001E241C">
        <w:rPr>
          <w:rFonts w:ascii="Times New Roman" w:hAnsi="Times New Roman"/>
          <w:b w:val="0"/>
          <w:sz w:val="22"/>
          <w:szCs w:val="22"/>
        </w:rPr>
        <w:t>pr</w:t>
      </w:r>
      <w:r w:rsidR="00096783" w:rsidRPr="001E241C">
        <w:rPr>
          <w:rFonts w:ascii="Times New Roman" w:hAnsi="Times New Roman"/>
          <w:b w:val="0"/>
          <w:sz w:val="22"/>
          <w:szCs w:val="22"/>
        </w:rPr>
        <w:t xml:space="preserve">ovides </w:t>
      </w:r>
      <w:r w:rsidR="001550AC" w:rsidRPr="001E241C">
        <w:rPr>
          <w:rFonts w:ascii="Times New Roman" w:hAnsi="Times New Roman"/>
          <w:b w:val="0"/>
          <w:sz w:val="22"/>
          <w:szCs w:val="22"/>
        </w:rPr>
        <w:t xml:space="preserve">a state of play on the analysis </w:t>
      </w:r>
      <w:r w:rsidR="00C40239" w:rsidRPr="001E241C">
        <w:rPr>
          <w:rFonts w:ascii="Times New Roman" w:hAnsi="Times New Roman"/>
          <w:b w:val="0"/>
          <w:sz w:val="22"/>
          <w:szCs w:val="22"/>
        </w:rPr>
        <w:t>undertaken and on the key issues drawn up on that basis.</w:t>
      </w:r>
      <w:r w:rsidR="001550AC" w:rsidRPr="001E241C">
        <w:rPr>
          <w:rFonts w:ascii="Times New Roman" w:hAnsi="Times New Roman"/>
          <w:b w:val="0"/>
          <w:sz w:val="22"/>
          <w:szCs w:val="22"/>
        </w:rPr>
        <w:t xml:space="preserve"> </w:t>
      </w:r>
    </w:p>
    <w:p w:rsidR="0003019D" w:rsidRPr="001E241C" w:rsidRDefault="0003019D" w:rsidP="00C40239">
      <w:pPr>
        <w:jc w:val="both"/>
      </w:pPr>
    </w:p>
    <w:p w:rsidR="0003019D" w:rsidRPr="001E241C" w:rsidRDefault="00625BCD" w:rsidP="00625BCD">
      <w:pPr>
        <w:pStyle w:val="Rubrik1"/>
        <w:rPr>
          <w:sz w:val="28"/>
          <w:szCs w:val="28"/>
        </w:rPr>
      </w:pPr>
      <w:r w:rsidRPr="001E241C">
        <w:rPr>
          <w:sz w:val="28"/>
          <w:szCs w:val="28"/>
        </w:rPr>
        <w:t>2.</w:t>
      </w:r>
      <w:r w:rsidRPr="001E241C">
        <w:rPr>
          <w:sz w:val="28"/>
          <w:szCs w:val="28"/>
        </w:rPr>
        <w:tab/>
      </w:r>
      <w:r w:rsidR="0003019D" w:rsidRPr="001E241C">
        <w:rPr>
          <w:sz w:val="24"/>
          <w:szCs w:val="24"/>
        </w:rPr>
        <w:t>Key issues</w:t>
      </w:r>
    </w:p>
    <w:p w:rsidR="0003019D" w:rsidRPr="001E241C" w:rsidRDefault="0003019D" w:rsidP="0003019D"/>
    <w:p w:rsidR="00B77147" w:rsidRPr="001E241C" w:rsidRDefault="0003019D" w:rsidP="00C40239">
      <w:pPr>
        <w:jc w:val="both"/>
        <w:rPr>
          <w:sz w:val="22"/>
          <w:szCs w:val="22"/>
        </w:rPr>
      </w:pPr>
      <w:r w:rsidRPr="001E241C">
        <w:rPr>
          <w:sz w:val="22"/>
          <w:szCs w:val="22"/>
        </w:rPr>
        <w:t xml:space="preserve">The </w:t>
      </w:r>
      <w:r w:rsidR="00B77147" w:rsidRPr="001E241C">
        <w:rPr>
          <w:sz w:val="22"/>
          <w:szCs w:val="22"/>
        </w:rPr>
        <w:t>discussions and preparatory work</w:t>
      </w:r>
      <w:r w:rsidR="00DB1D06" w:rsidRPr="001E241C">
        <w:rPr>
          <w:rStyle w:val="Fotnotsreferens"/>
          <w:sz w:val="22"/>
          <w:szCs w:val="22"/>
        </w:rPr>
        <w:footnoteReference w:id="1"/>
      </w:r>
      <w:r w:rsidR="00B77147" w:rsidRPr="001E241C">
        <w:rPr>
          <w:sz w:val="22"/>
          <w:szCs w:val="22"/>
        </w:rPr>
        <w:t xml:space="preserve"> leading to this </w:t>
      </w:r>
      <w:r w:rsidR="005D2CCA" w:rsidRPr="001E241C">
        <w:rPr>
          <w:sz w:val="22"/>
          <w:szCs w:val="22"/>
        </w:rPr>
        <w:t xml:space="preserve">contribution </w:t>
      </w:r>
      <w:r w:rsidR="00B77147" w:rsidRPr="001E241C">
        <w:rPr>
          <w:sz w:val="22"/>
          <w:szCs w:val="22"/>
        </w:rPr>
        <w:t xml:space="preserve">have confirmed the commitment to explore flexicurity policies as a way to achieve the common objectives of the European Employment Strategy. A number of key issues can be listed for further exploration and debate. As a preemptive remark, it is important </w:t>
      </w:r>
      <w:r w:rsidR="00EB76C6" w:rsidRPr="001E241C">
        <w:rPr>
          <w:sz w:val="22"/>
          <w:szCs w:val="22"/>
        </w:rPr>
        <w:t xml:space="preserve">to put the issue of flexicurity in the broader context of the European employment strategy and at the same time </w:t>
      </w:r>
      <w:r w:rsidR="00B77147" w:rsidRPr="001E241C">
        <w:rPr>
          <w:i/>
          <w:iCs/>
          <w:sz w:val="22"/>
          <w:szCs w:val="22"/>
        </w:rPr>
        <w:t>not</w:t>
      </w:r>
      <w:r w:rsidR="00B77147" w:rsidRPr="001E241C">
        <w:rPr>
          <w:sz w:val="22"/>
          <w:szCs w:val="22"/>
        </w:rPr>
        <w:t xml:space="preserve"> to make the flexicurity discussion into a debate about any of the individual components alone. </w:t>
      </w:r>
    </w:p>
    <w:p w:rsidR="00B77147" w:rsidRPr="001E241C" w:rsidRDefault="00B77147" w:rsidP="00C40239">
      <w:pPr>
        <w:jc w:val="both"/>
        <w:rPr>
          <w:sz w:val="22"/>
          <w:szCs w:val="22"/>
        </w:rPr>
      </w:pPr>
    </w:p>
    <w:p w:rsidR="00E049EC" w:rsidRPr="001E241C" w:rsidRDefault="00B77147" w:rsidP="00C40239">
      <w:pPr>
        <w:jc w:val="both"/>
        <w:rPr>
          <w:sz w:val="22"/>
          <w:szCs w:val="22"/>
        </w:rPr>
      </w:pPr>
      <w:r w:rsidRPr="001E241C">
        <w:rPr>
          <w:sz w:val="22"/>
          <w:szCs w:val="22"/>
        </w:rPr>
        <w:t xml:space="preserve">Focus should be on the synergies between the core aspects (labour market flexibility and security) and the need to </w:t>
      </w:r>
      <w:r w:rsidR="003F5E8B" w:rsidRPr="001E241C">
        <w:rPr>
          <w:sz w:val="22"/>
          <w:szCs w:val="22"/>
        </w:rPr>
        <w:t xml:space="preserve">deliberately </w:t>
      </w:r>
      <w:r w:rsidRPr="001E241C">
        <w:rPr>
          <w:sz w:val="22"/>
          <w:szCs w:val="22"/>
        </w:rPr>
        <w:t xml:space="preserve">combine </w:t>
      </w:r>
      <w:r w:rsidR="003F5E8B" w:rsidRPr="001E241C">
        <w:rPr>
          <w:sz w:val="22"/>
          <w:szCs w:val="22"/>
        </w:rPr>
        <w:t>in a synchronic way</w:t>
      </w:r>
      <w:r w:rsidRPr="001E241C">
        <w:rPr>
          <w:sz w:val="22"/>
          <w:szCs w:val="22"/>
        </w:rPr>
        <w:t xml:space="preserve"> </w:t>
      </w:r>
      <w:r w:rsidR="001C42A9" w:rsidRPr="001E241C">
        <w:rPr>
          <w:sz w:val="22"/>
          <w:szCs w:val="22"/>
        </w:rPr>
        <w:t>the availability of contractual arrangements, active labour market policies, credible lifelong learning systems and modern social security systems.</w:t>
      </w:r>
    </w:p>
    <w:p w:rsidR="00E049EC" w:rsidRPr="001E241C" w:rsidRDefault="00E049EC" w:rsidP="00C40239">
      <w:pPr>
        <w:jc w:val="both"/>
        <w:rPr>
          <w:sz w:val="22"/>
          <w:szCs w:val="22"/>
        </w:rPr>
      </w:pPr>
    </w:p>
    <w:p w:rsidR="00663E41" w:rsidRPr="001E241C" w:rsidRDefault="00FD3B78" w:rsidP="00C40239">
      <w:pPr>
        <w:jc w:val="both"/>
        <w:rPr>
          <w:sz w:val="22"/>
          <w:szCs w:val="22"/>
        </w:rPr>
      </w:pPr>
      <w:r w:rsidRPr="001E241C">
        <w:rPr>
          <w:sz w:val="22"/>
          <w:szCs w:val="22"/>
        </w:rPr>
        <w:t xml:space="preserve">Such synergies have the potential to </w:t>
      </w:r>
      <w:r w:rsidR="001C42A9" w:rsidRPr="001E241C">
        <w:rPr>
          <w:sz w:val="22"/>
          <w:szCs w:val="22"/>
        </w:rPr>
        <w:t xml:space="preserve">create more and better jobs, </w:t>
      </w:r>
      <w:r w:rsidRPr="001E241C">
        <w:rPr>
          <w:sz w:val="22"/>
          <w:szCs w:val="22"/>
        </w:rPr>
        <w:t xml:space="preserve">strengthen social cohesion and fight poverty and exclusion by </w:t>
      </w:r>
      <w:r w:rsidR="00E049EC" w:rsidRPr="001E241C">
        <w:rPr>
          <w:sz w:val="22"/>
          <w:szCs w:val="22"/>
        </w:rPr>
        <w:t xml:space="preserve">pursuing </w:t>
      </w:r>
      <w:r w:rsidR="005E5026" w:rsidRPr="001E241C">
        <w:rPr>
          <w:sz w:val="22"/>
          <w:szCs w:val="22"/>
        </w:rPr>
        <w:t xml:space="preserve">active inclusion of all and </w:t>
      </w:r>
      <w:r w:rsidRPr="001E241C">
        <w:rPr>
          <w:sz w:val="22"/>
          <w:szCs w:val="22"/>
        </w:rPr>
        <w:t>spreading the benefits of more open and flexible labour markets to all citizens</w:t>
      </w:r>
      <w:r w:rsidR="00FE6F98" w:rsidRPr="001E241C">
        <w:rPr>
          <w:sz w:val="22"/>
          <w:szCs w:val="22"/>
        </w:rPr>
        <w:t>, including disadvantaged groups</w:t>
      </w:r>
      <w:r w:rsidRPr="001E241C">
        <w:rPr>
          <w:sz w:val="22"/>
          <w:szCs w:val="22"/>
        </w:rPr>
        <w:t xml:space="preserve">. </w:t>
      </w:r>
      <w:r w:rsidR="0059797E" w:rsidRPr="001E241C">
        <w:rPr>
          <w:sz w:val="22"/>
          <w:szCs w:val="22"/>
        </w:rPr>
        <w:t>E</w:t>
      </w:r>
      <w:r w:rsidR="00663E41" w:rsidRPr="001E241C">
        <w:rPr>
          <w:sz w:val="22"/>
          <w:szCs w:val="22"/>
        </w:rPr>
        <w:t xml:space="preserve">qual opportunities </w:t>
      </w:r>
      <w:r w:rsidR="003F6EC8" w:rsidRPr="001E241C">
        <w:rPr>
          <w:sz w:val="22"/>
          <w:szCs w:val="22"/>
        </w:rPr>
        <w:t xml:space="preserve">and gender equality </w:t>
      </w:r>
      <w:r w:rsidR="00663E41" w:rsidRPr="001E241C">
        <w:rPr>
          <w:sz w:val="22"/>
          <w:szCs w:val="22"/>
        </w:rPr>
        <w:t>are an integral part of flexicurity policies.</w:t>
      </w:r>
    </w:p>
    <w:p w:rsidR="00E049EC" w:rsidRPr="001E241C" w:rsidRDefault="00E049EC" w:rsidP="00C40239">
      <w:pPr>
        <w:jc w:val="both"/>
        <w:rPr>
          <w:sz w:val="22"/>
          <w:szCs w:val="22"/>
        </w:rPr>
      </w:pPr>
    </w:p>
    <w:p w:rsidR="00165F8C" w:rsidRPr="001E241C" w:rsidRDefault="00165F8C" w:rsidP="00C40239">
      <w:pPr>
        <w:jc w:val="both"/>
        <w:rPr>
          <w:sz w:val="22"/>
          <w:szCs w:val="22"/>
        </w:rPr>
      </w:pPr>
      <w:r w:rsidRPr="001E241C">
        <w:rPr>
          <w:sz w:val="22"/>
          <w:szCs w:val="22"/>
        </w:rPr>
        <w:t>As Member States start from different starting positions and have different institutional environments, a one-size-fits-all approach to respond to the flexicurity challenge is not an option</w:t>
      </w:r>
      <w:r w:rsidR="00504278" w:rsidRPr="001E241C">
        <w:rPr>
          <w:sz w:val="22"/>
          <w:szCs w:val="22"/>
        </w:rPr>
        <w:t xml:space="preserve"> and pathways therefore differ.</w:t>
      </w:r>
      <w:r w:rsidRPr="001E241C">
        <w:rPr>
          <w:sz w:val="22"/>
          <w:szCs w:val="22"/>
        </w:rPr>
        <w:t xml:space="preserve"> </w:t>
      </w:r>
    </w:p>
    <w:p w:rsidR="00165F8C" w:rsidRPr="001E241C" w:rsidRDefault="00165F8C" w:rsidP="00C40239">
      <w:pPr>
        <w:jc w:val="both"/>
        <w:rPr>
          <w:sz w:val="22"/>
          <w:szCs w:val="22"/>
        </w:rPr>
      </w:pPr>
    </w:p>
    <w:p w:rsidR="00B77147" w:rsidRPr="001E241C" w:rsidRDefault="00B77147" w:rsidP="00C40239">
      <w:pPr>
        <w:jc w:val="both"/>
        <w:rPr>
          <w:sz w:val="22"/>
          <w:szCs w:val="22"/>
        </w:rPr>
      </w:pPr>
      <w:r w:rsidRPr="001E241C">
        <w:rPr>
          <w:sz w:val="22"/>
          <w:szCs w:val="22"/>
        </w:rPr>
        <w:t>In addition, it is relevant to consider the roles and contribution of the various stakeholders, particularly the social partners.</w:t>
      </w:r>
    </w:p>
    <w:p w:rsidR="00B77147" w:rsidRPr="001E241C" w:rsidRDefault="00B77147" w:rsidP="00C40239">
      <w:pPr>
        <w:jc w:val="both"/>
        <w:rPr>
          <w:sz w:val="22"/>
          <w:szCs w:val="22"/>
        </w:rPr>
      </w:pPr>
    </w:p>
    <w:p w:rsidR="00E03081" w:rsidRPr="001E241C" w:rsidRDefault="00E03081" w:rsidP="00C40239">
      <w:pPr>
        <w:jc w:val="both"/>
        <w:rPr>
          <w:sz w:val="22"/>
          <w:szCs w:val="22"/>
        </w:rPr>
      </w:pPr>
    </w:p>
    <w:p w:rsidR="00813F66" w:rsidRPr="001E241C" w:rsidRDefault="00813F66" w:rsidP="00C40239">
      <w:pPr>
        <w:jc w:val="both"/>
        <w:rPr>
          <w:i/>
          <w:szCs w:val="24"/>
        </w:rPr>
      </w:pPr>
      <w:r w:rsidRPr="001E241C">
        <w:rPr>
          <w:i/>
          <w:szCs w:val="24"/>
        </w:rPr>
        <w:t>Core elements of flexicurity</w:t>
      </w:r>
    </w:p>
    <w:p w:rsidR="00B77147" w:rsidRPr="001E241C" w:rsidRDefault="00B77147" w:rsidP="00C40239">
      <w:pPr>
        <w:pStyle w:val="Rubrik5"/>
        <w:jc w:val="both"/>
        <w:rPr>
          <w:rFonts w:ascii="Times New Roman" w:hAnsi="Times New Roman"/>
          <w:i w:val="0"/>
          <w:sz w:val="24"/>
        </w:rPr>
      </w:pPr>
    </w:p>
    <w:p w:rsidR="00FE6F98" w:rsidRPr="001E241C" w:rsidRDefault="00D52206" w:rsidP="00677EC0">
      <w:pPr>
        <w:numPr>
          <w:ilvl w:val="0"/>
          <w:numId w:val="41"/>
        </w:numPr>
        <w:jc w:val="both"/>
        <w:rPr>
          <w:sz w:val="22"/>
          <w:szCs w:val="22"/>
        </w:rPr>
      </w:pPr>
      <w:r w:rsidRPr="001E241C">
        <w:rPr>
          <w:sz w:val="22"/>
          <w:szCs w:val="22"/>
        </w:rPr>
        <w:t xml:space="preserve">The availability of </w:t>
      </w:r>
      <w:r w:rsidR="00930B89" w:rsidRPr="001E241C">
        <w:rPr>
          <w:sz w:val="22"/>
          <w:szCs w:val="22"/>
        </w:rPr>
        <w:t>contractual arrangements</w:t>
      </w:r>
      <w:r w:rsidRPr="001E241C">
        <w:rPr>
          <w:sz w:val="22"/>
          <w:szCs w:val="22"/>
        </w:rPr>
        <w:t>, providing adequate flexibility for both workers and employers</w:t>
      </w:r>
      <w:r w:rsidR="00724AE4" w:rsidRPr="001E241C">
        <w:rPr>
          <w:sz w:val="22"/>
          <w:szCs w:val="22"/>
        </w:rPr>
        <w:t xml:space="preserve"> </w:t>
      </w:r>
      <w:r w:rsidR="00B77147" w:rsidRPr="001E241C">
        <w:rPr>
          <w:sz w:val="22"/>
          <w:szCs w:val="22"/>
        </w:rPr>
        <w:t>in a balanced combination with security and activation offers</w:t>
      </w:r>
      <w:r w:rsidR="00724AE4" w:rsidRPr="001E241C">
        <w:rPr>
          <w:sz w:val="22"/>
          <w:szCs w:val="22"/>
        </w:rPr>
        <w:t xml:space="preserve">, </w:t>
      </w:r>
      <w:r w:rsidR="00B77147" w:rsidRPr="001E241C">
        <w:rPr>
          <w:sz w:val="22"/>
          <w:szCs w:val="22"/>
        </w:rPr>
        <w:t xml:space="preserve"> may support the creation of full employment, higher labour market participation, more inclusive labour markets and help to prevent labour market segmentation. </w:t>
      </w:r>
      <w:r w:rsidR="003A5273" w:rsidRPr="001E241C">
        <w:rPr>
          <w:sz w:val="22"/>
          <w:szCs w:val="22"/>
        </w:rPr>
        <w:t>Regular review and appropriate adjustment where needed of e</w:t>
      </w:r>
      <w:r w:rsidRPr="001E241C">
        <w:rPr>
          <w:sz w:val="22"/>
          <w:szCs w:val="22"/>
        </w:rPr>
        <w:t>mployment protection legislation is an important issue in this respect.</w:t>
      </w:r>
    </w:p>
    <w:p w:rsidR="00FE6F98" w:rsidRPr="001E241C" w:rsidRDefault="00FE6F98" w:rsidP="00C40239">
      <w:pPr>
        <w:jc w:val="both"/>
        <w:rPr>
          <w:sz w:val="22"/>
          <w:szCs w:val="22"/>
        </w:rPr>
      </w:pPr>
    </w:p>
    <w:p w:rsidR="00813F66" w:rsidRPr="001E241C" w:rsidRDefault="0070687F" w:rsidP="003F30DF">
      <w:pPr>
        <w:numPr>
          <w:ilvl w:val="0"/>
          <w:numId w:val="36"/>
        </w:numPr>
        <w:jc w:val="both"/>
        <w:rPr>
          <w:sz w:val="22"/>
          <w:szCs w:val="22"/>
        </w:rPr>
      </w:pPr>
      <w:r w:rsidRPr="001E241C">
        <w:rPr>
          <w:sz w:val="22"/>
          <w:szCs w:val="22"/>
        </w:rPr>
        <w:t xml:space="preserve">To achieve </w:t>
      </w:r>
      <w:r w:rsidR="00B77147" w:rsidRPr="001E241C">
        <w:rPr>
          <w:sz w:val="22"/>
          <w:szCs w:val="22"/>
        </w:rPr>
        <w:t xml:space="preserve">fair and sustainable results it is important to ensure adequate rights for employees in all kinds of contracts. </w:t>
      </w:r>
      <w:r w:rsidR="00FE6F98" w:rsidRPr="001E241C">
        <w:rPr>
          <w:sz w:val="22"/>
          <w:szCs w:val="22"/>
        </w:rPr>
        <w:t>This facilitates occupational mobility</w:t>
      </w:r>
      <w:r w:rsidR="00A044BD" w:rsidRPr="001E241C">
        <w:rPr>
          <w:sz w:val="22"/>
          <w:szCs w:val="22"/>
        </w:rPr>
        <w:t xml:space="preserve"> and the opening up of labour markets</w:t>
      </w:r>
      <w:r w:rsidR="00FE6F98" w:rsidRPr="001E241C">
        <w:rPr>
          <w:sz w:val="22"/>
          <w:szCs w:val="22"/>
        </w:rPr>
        <w:t xml:space="preserve">, not just from one employer or </w:t>
      </w:r>
      <w:r w:rsidR="00813F66" w:rsidRPr="001E241C">
        <w:rPr>
          <w:sz w:val="22"/>
          <w:szCs w:val="22"/>
        </w:rPr>
        <w:t>job</w:t>
      </w:r>
      <w:r w:rsidR="00FE6F98" w:rsidRPr="001E241C">
        <w:rPr>
          <w:sz w:val="22"/>
          <w:szCs w:val="22"/>
        </w:rPr>
        <w:t xml:space="preserve"> to another, but also </w:t>
      </w:r>
      <w:r w:rsidR="00813F66" w:rsidRPr="001E241C">
        <w:rPr>
          <w:sz w:val="22"/>
          <w:szCs w:val="22"/>
        </w:rPr>
        <w:t>between part-time and</w:t>
      </w:r>
      <w:r w:rsidR="00FE6F98" w:rsidRPr="001E241C">
        <w:rPr>
          <w:sz w:val="22"/>
          <w:szCs w:val="22"/>
        </w:rPr>
        <w:t xml:space="preserve"> full-time work, </w:t>
      </w:r>
      <w:r w:rsidR="00194A07" w:rsidRPr="001E241C">
        <w:rPr>
          <w:sz w:val="22"/>
          <w:szCs w:val="22"/>
        </w:rPr>
        <w:t xml:space="preserve">from </w:t>
      </w:r>
      <w:r w:rsidR="000E29D5" w:rsidRPr="001E241C">
        <w:rPr>
          <w:sz w:val="22"/>
          <w:szCs w:val="22"/>
        </w:rPr>
        <w:t xml:space="preserve">precarious </w:t>
      </w:r>
      <w:r w:rsidR="00194A07" w:rsidRPr="001E241C">
        <w:rPr>
          <w:sz w:val="22"/>
          <w:szCs w:val="22"/>
        </w:rPr>
        <w:t xml:space="preserve"> to stable employment, </w:t>
      </w:r>
      <w:r w:rsidR="00813F66" w:rsidRPr="001E241C">
        <w:rPr>
          <w:sz w:val="22"/>
          <w:szCs w:val="22"/>
        </w:rPr>
        <w:t>between</w:t>
      </w:r>
      <w:r w:rsidR="00FE6F98" w:rsidRPr="001E241C">
        <w:rPr>
          <w:sz w:val="22"/>
          <w:szCs w:val="22"/>
        </w:rPr>
        <w:t xml:space="preserve"> being an employee </w:t>
      </w:r>
      <w:r w:rsidR="00813F66" w:rsidRPr="001E241C">
        <w:rPr>
          <w:sz w:val="22"/>
          <w:szCs w:val="22"/>
        </w:rPr>
        <w:t>and</w:t>
      </w:r>
      <w:r w:rsidR="00FE6F98" w:rsidRPr="001E241C">
        <w:rPr>
          <w:sz w:val="22"/>
          <w:szCs w:val="22"/>
        </w:rPr>
        <w:t xml:space="preserve"> becoming self-employed, and creates opportunities for career progression</w:t>
      </w:r>
      <w:r w:rsidR="000E29D5" w:rsidRPr="001E241C">
        <w:rPr>
          <w:sz w:val="22"/>
          <w:szCs w:val="22"/>
        </w:rPr>
        <w:t xml:space="preserve"> and work-life reconciliation</w:t>
      </w:r>
      <w:r w:rsidR="00FE6F98" w:rsidRPr="001E241C">
        <w:rPr>
          <w:sz w:val="22"/>
          <w:szCs w:val="22"/>
        </w:rPr>
        <w:t>.</w:t>
      </w:r>
      <w:r w:rsidR="007C25D6" w:rsidRPr="001E241C">
        <w:rPr>
          <w:sz w:val="22"/>
          <w:szCs w:val="22"/>
        </w:rPr>
        <w:t xml:space="preserve"> </w:t>
      </w:r>
    </w:p>
    <w:p w:rsidR="00813F66" w:rsidRPr="001E241C" w:rsidRDefault="00813F66" w:rsidP="007C25D6">
      <w:pPr>
        <w:jc w:val="both"/>
        <w:rPr>
          <w:sz w:val="22"/>
          <w:szCs w:val="22"/>
        </w:rPr>
      </w:pPr>
    </w:p>
    <w:p w:rsidR="007C25D6" w:rsidRPr="001E241C" w:rsidRDefault="007C25D6" w:rsidP="003F30DF">
      <w:pPr>
        <w:numPr>
          <w:ilvl w:val="0"/>
          <w:numId w:val="36"/>
        </w:numPr>
        <w:jc w:val="both"/>
        <w:rPr>
          <w:sz w:val="22"/>
          <w:szCs w:val="22"/>
        </w:rPr>
      </w:pPr>
      <w:r w:rsidRPr="001E241C">
        <w:rPr>
          <w:sz w:val="22"/>
          <w:szCs w:val="22"/>
        </w:rPr>
        <w:t xml:space="preserve">Pension provision </w:t>
      </w:r>
      <w:r w:rsidR="00054137" w:rsidRPr="001E241C">
        <w:rPr>
          <w:sz w:val="22"/>
          <w:szCs w:val="22"/>
        </w:rPr>
        <w:t>and other forms</w:t>
      </w:r>
      <w:r w:rsidR="00D12DD1" w:rsidRPr="001E241C">
        <w:rPr>
          <w:sz w:val="22"/>
          <w:szCs w:val="22"/>
        </w:rPr>
        <w:t xml:space="preserve"> of social protection </w:t>
      </w:r>
      <w:r w:rsidRPr="001E241C">
        <w:rPr>
          <w:sz w:val="22"/>
          <w:szCs w:val="22"/>
        </w:rPr>
        <w:t xml:space="preserve">should be modernised by taking better account of new forms of work and of career breaks notably for care, and by ensuring that women can build up their own pension rights. </w:t>
      </w:r>
    </w:p>
    <w:p w:rsidR="00B77147" w:rsidRPr="001E241C" w:rsidRDefault="00B77147" w:rsidP="00C40239">
      <w:pPr>
        <w:jc w:val="both"/>
        <w:rPr>
          <w:sz w:val="22"/>
          <w:szCs w:val="22"/>
        </w:rPr>
      </w:pPr>
    </w:p>
    <w:p w:rsidR="00B77147" w:rsidRPr="001E241C" w:rsidRDefault="0046243D" w:rsidP="003F30DF">
      <w:pPr>
        <w:numPr>
          <w:ilvl w:val="0"/>
          <w:numId w:val="38"/>
        </w:numPr>
        <w:jc w:val="both"/>
        <w:rPr>
          <w:sz w:val="22"/>
          <w:szCs w:val="22"/>
        </w:rPr>
      </w:pPr>
      <w:r w:rsidRPr="001E241C">
        <w:rPr>
          <w:sz w:val="22"/>
          <w:szCs w:val="22"/>
        </w:rPr>
        <w:t xml:space="preserve">Modern social security systems should be in place to ensure that all workers are adequately supported during absences from the labour market </w:t>
      </w:r>
      <w:r w:rsidR="00D26C38" w:rsidRPr="001E241C">
        <w:rPr>
          <w:sz w:val="22"/>
          <w:szCs w:val="22"/>
        </w:rPr>
        <w:t xml:space="preserve">and to facilitate labour market </w:t>
      </w:r>
      <w:r w:rsidRPr="001E241C">
        <w:rPr>
          <w:sz w:val="22"/>
          <w:szCs w:val="22"/>
        </w:rPr>
        <w:t xml:space="preserve">mobility and transition. </w:t>
      </w:r>
      <w:r w:rsidR="00B77147" w:rsidRPr="001E241C">
        <w:rPr>
          <w:sz w:val="22"/>
          <w:szCs w:val="22"/>
        </w:rPr>
        <w:t xml:space="preserve">Promoting a better linkage between social protection, lifelong learning and labour market policies so that they are mutually reinforcing is important. </w:t>
      </w:r>
      <w:r w:rsidR="00FD3B78" w:rsidRPr="001E241C">
        <w:rPr>
          <w:sz w:val="22"/>
          <w:szCs w:val="22"/>
        </w:rPr>
        <w:t xml:space="preserve">Social protection systems should equip </w:t>
      </w:r>
      <w:r w:rsidR="00E049EC" w:rsidRPr="001E241C">
        <w:rPr>
          <w:sz w:val="22"/>
          <w:szCs w:val="22"/>
        </w:rPr>
        <w:t xml:space="preserve">people </w:t>
      </w:r>
      <w:r w:rsidR="00B77147" w:rsidRPr="001E241C">
        <w:rPr>
          <w:sz w:val="22"/>
          <w:szCs w:val="22"/>
        </w:rPr>
        <w:t xml:space="preserve">  to </w:t>
      </w:r>
      <w:r w:rsidR="00E049EC" w:rsidRPr="001E241C">
        <w:rPr>
          <w:sz w:val="22"/>
          <w:szCs w:val="22"/>
        </w:rPr>
        <w:t xml:space="preserve">adapt to change during their life-cycle so that they </w:t>
      </w:r>
      <w:r w:rsidR="00B77147" w:rsidRPr="001E241C">
        <w:rPr>
          <w:sz w:val="22"/>
          <w:szCs w:val="22"/>
        </w:rPr>
        <w:t xml:space="preserve">feel more secure and see globalisation and labour market changes as </w:t>
      </w:r>
      <w:r w:rsidR="004F3677" w:rsidRPr="001E241C">
        <w:rPr>
          <w:sz w:val="22"/>
          <w:szCs w:val="22"/>
        </w:rPr>
        <w:t xml:space="preserve">an opportunity </w:t>
      </w:r>
      <w:r w:rsidR="00B77147" w:rsidRPr="001E241C">
        <w:rPr>
          <w:sz w:val="22"/>
          <w:szCs w:val="22"/>
        </w:rPr>
        <w:t xml:space="preserve">and </w:t>
      </w:r>
      <w:r w:rsidR="003F30DF" w:rsidRPr="001E241C">
        <w:rPr>
          <w:sz w:val="22"/>
          <w:szCs w:val="22"/>
        </w:rPr>
        <w:t xml:space="preserve">an </w:t>
      </w:r>
      <w:r w:rsidR="00B77147" w:rsidRPr="001E241C">
        <w:rPr>
          <w:sz w:val="22"/>
          <w:szCs w:val="22"/>
        </w:rPr>
        <w:t>acceptable part of one’s working life</w:t>
      </w:r>
      <w:r w:rsidR="004F3677" w:rsidRPr="001E241C">
        <w:rPr>
          <w:sz w:val="22"/>
          <w:szCs w:val="22"/>
        </w:rPr>
        <w:t xml:space="preserve"> rather than a threat</w:t>
      </w:r>
      <w:r w:rsidR="00B77147" w:rsidRPr="001E241C">
        <w:rPr>
          <w:sz w:val="22"/>
          <w:szCs w:val="22"/>
        </w:rPr>
        <w:t xml:space="preserve">. </w:t>
      </w:r>
    </w:p>
    <w:p w:rsidR="00B77147" w:rsidRPr="001E241C" w:rsidRDefault="00B77147" w:rsidP="00C40239">
      <w:pPr>
        <w:jc w:val="both"/>
        <w:rPr>
          <w:sz w:val="22"/>
          <w:szCs w:val="22"/>
        </w:rPr>
      </w:pPr>
    </w:p>
    <w:p w:rsidR="00B77147" w:rsidRPr="001E241C" w:rsidRDefault="00B77147" w:rsidP="003F30DF">
      <w:pPr>
        <w:numPr>
          <w:ilvl w:val="0"/>
          <w:numId w:val="38"/>
        </w:numPr>
        <w:jc w:val="both"/>
        <w:rPr>
          <w:color w:val="000000"/>
          <w:sz w:val="22"/>
          <w:szCs w:val="22"/>
        </w:rPr>
      </w:pPr>
      <w:r w:rsidRPr="001E241C">
        <w:rPr>
          <w:sz w:val="22"/>
          <w:szCs w:val="22"/>
        </w:rPr>
        <w:t>While ensuring that social protection systems are adequate for all to have a sufficient income when work is not an option</w:t>
      </w:r>
      <w:r w:rsidR="00D26C38" w:rsidRPr="001E241C">
        <w:rPr>
          <w:sz w:val="22"/>
          <w:szCs w:val="22"/>
        </w:rPr>
        <w:t>,</w:t>
      </w:r>
      <w:r w:rsidRPr="001E241C">
        <w:rPr>
          <w:sz w:val="22"/>
          <w:szCs w:val="22"/>
        </w:rPr>
        <w:t xml:space="preserve"> it is important to ensure incentives and assistance to find work. </w:t>
      </w:r>
      <w:r w:rsidR="005E5026" w:rsidRPr="001E241C">
        <w:rPr>
          <w:sz w:val="22"/>
          <w:szCs w:val="22"/>
        </w:rPr>
        <w:t xml:space="preserve">Therefore, income support should be accompanied by </w:t>
      </w:r>
      <w:r w:rsidR="00D26C38" w:rsidRPr="001E241C">
        <w:rPr>
          <w:sz w:val="22"/>
          <w:szCs w:val="22"/>
        </w:rPr>
        <w:t xml:space="preserve">rights and duties with respect to </w:t>
      </w:r>
      <w:r w:rsidR="005E5026" w:rsidRPr="001E241C">
        <w:rPr>
          <w:sz w:val="22"/>
          <w:szCs w:val="22"/>
        </w:rPr>
        <w:t xml:space="preserve">job opportunities or vocational training to ensure a link with the labour market. </w:t>
      </w:r>
      <w:r w:rsidRPr="001E241C">
        <w:rPr>
          <w:sz w:val="22"/>
          <w:szCs w:val="22"/>
        </w:rPr>
        <w:t>When</w:t>
      </w:r>
      <w:r w:rsidRPr="001E241C">
        <w:rPr>
          <w:color w:val="000000"/>
          <w:sz w:val="22"/>
          <w:szCs w:val="22"/>
        </w:rPr>
        <w:t xml:space="preserve"> making work more attractive both financial and non-financial incentives may be relevant</w:t>
      </w:r>
      <w:r w:rsidR="007C25D6" w:rsidRPr="001E241C">
        <w:rPr>
          <w:color w:val="000000"/>
          <w:sz w:val="22"/>
          <w:szCs w:val="22"/>
        </w:rPr>
        <w:t>, such as making work pay</w:t>
      </w:r>
      <w:r w:rsidR="003F30DF" w:rsidRPr="001E241C">
        <w:rPr>
          <w:color w:val="000000"/>
          <w:sz w:val="22"/>
          <w:szCs w:val="22"/>
        </w:rPr>
        <w:t xml:space="preserve">, </w:t>
      </w:r>
      <w:r w:rsidR="007C25D6" w:rsidRPr="001E241C">
        <w:rPr>
          <w:color w:val="000000"/>
          <w:sz w:val="22"/>
          <w:szCs w:val="22"/>
        </w:rPr>
        <w:t>accessible and affordable child care and long-term care</w:t>
      </w:r>
      <w:r w:rsidR="00194A07" w:rsidRPr="001E241C">
        <w:rPr>
          <w:color w:val="000000"/>
          <w:sz w:val="22"/>
          <w:szCs w:val="22"/>
        </w:rPr>
        <w:t xml:space="preserve">, as well as other services which promote labour market integration. </w:t>
      </w:r>
    </w:p>
    <w:p w:rsidR="00B77147" w:rsidRPr="001E241C" w:rsidRDefault="00B77147" w:rsidP="00C40239">
      <w:pPr>
        <w:jc w:val="both"/>
        <w:rPr>
          <w:sz w:val="22"/>
          <w:szCs w:val="22"/>
        </w:rPr>
      </w:pPr>
    </w:p>
    <w:p w:rsidR="00787273" w:rsidRPr="001E241C" w:rsidRDefault="00B77147" w:rsidP="003F30DF">
      <w:pPr>
        <w:numPr>
          <w:ilvl w:val="0"/>
          <w:numId w:val="39"/>
        </w:numPr>
        <w:jc w:val="both"/>
        <w:rPr>
          <w:sz w:val="22"/>
          <w:szCs w:val="22"/>
        </w:rPr>
      </w:pPr>
      <w:r w:rsidRPr="001E241C">
        <w:rPr>
          <w:sz w:val="22"/>
          <w:szCs w:val="22"/>
        </w:rPr>
        <w:t>Active labour market policies</w:t>
      </w:r>
      <w:r w:rsidR="00194A07" w:rsidRPr="001E241C">
        <w:rPr>
          <w:sz w:val="22"/>
          <w:szCs w:val="22"/>
        </w:rPr>
        <w:t>, lifelong learning</w:t>
      </w:r>
      <w:r w:rsidRPr="001E241C">
        <w:rPr>
          <w:sz w:val="22"/>
          <w:szCs w:val="22"/>
        </w:rPr>
        <w:t xml:space="preserve"> and in-company training are important to support the change from job security to employment security. </w:t>
      </w:r>
      <w:r w:rsidR="00E63566" w:rsidRPr="001E241C">
        <w:rPr>
          <w:sz w:val="22"/>
          <w:szCs w:val="22"/>
        </w:rPr>
        <w:t>Effective</w:t>
      </w:r>
      <w:r w:rsidRPr="001E241C">
        <w:rPr>
          <w:sz w:val="22"/>
          <w:szCs w:val="22"/>
        </w:rPr>
        <w:t xml:space="preserve"> </w:t>
      </w:r>
      <w:r w:rsidR="003F5E8B" w:rsidRPr="001E241C">
        <w:rPr>
          <w:sz w:val="22"/>
          <w:szCs w:val="22"/>
        </w:rPr>
        <w:t>a</w:t>
      </w:r>
      <w:r w:rsidR="00E63566" w:rsidRPr="001E241C">
        <w:rPr>
          <w:sz w:val="22"/>
          <w:szCs w:val="22"/>
        </w:rPr>
        <w:t xml:space="preserve">ctive </w:t>
      </w:r>
      <w:r w:rsidR="003F5E8B" w:rsidRPr="001E241C">
        <w:rPr>
          <w:sz w:val="22"/>
          <w:szCs w:val="22"/>
        </w:rPr>
        <w:t>l</w:t>
      </w:r>
      <w:r w:rsidR="00E63566" w:rsidRPr="001E241C">
        <w:rPr>
          <w:sz w:val="22"/>
          <w:szCs w:val="22"/>
        </w:rPr>
        <w:t xml:space="preserve">abour </w:t>
      </w:r>
      <w:r w:rsidR="003F5E8B" w:rsidRPr="001E241C">
        <w:rPr>
          <w:sz w:val="22"/>
          <w:szCs w:val="22"/>
        </w:rPr>
        <w:t>m</w:t>
      </w:r>
      <w:r w:rsidR="00E63566" w:rsidRPr="001E241C">
        <w:rPr>
          <w:sz w:val="22"/>
          <w:szCs w:val="22"/>
        </w:rPr>
        <w:t xml:space="preserve">arket </w:t>
      </w:r>
      <w:r w:rsidR="003F5E8B" w:rsidRPr="001E241C">
        <w:rPr>
          <w:sz w:val="22"/>
          <w:szCs w:val="22"/>
        </w:rPr>
        <w:t>p</w:t>
      </w:r>
      <w:r w:rsidR="00E63566" w:rsidRPr="001E241C">
        <w:rPr>
          <w:sz w:val="22"/>
          <w:szCs w:val="22"/>
        </w:rPr>
        <w:t>olicies</w:t>
      </w:r>
      <w:r w:rsidRPr="001E241C">
        <w:rPr>
          <w:sz w:val="22"/>
          <w:szCs w:val="22"/>
        </w:rPr>
        <w:t xml:space="preserve"> and training help people to find a job and sends a positive signal to citizens and companies that flexicurity is about investing in their needs. A</w:t>
      </w:r>
      <w:r w:rsidR="003F5E8B" w:rsidRPr="001E241C">
        <w:rPr>
          <w:sz w:val="22"/>
          <w:szCs w:val="22"/>
        </w:rPr>
        <w:t>ctive labour market policies</w:t>
      </w:r>
      <w:r w:rsidRPr="001E241C">
        <w:rPr>
          <w:sz w:val="22"/>
          <w:szCs w:val="22"/>
        </w:rPr>
        <w:t xml:space="preserve"> and training support - but do not replace - decisions to be taken on balances of security and flexibility policies</w:t>
      </w:r>
      <w:r w:rsidRPr="001E241C" w:rsidDel="00F6428F">
        <w:rPr>
          <w:rStyle w:val="Fotnotsreferens"/>
          <w:sz w:val="22"/>
          <w:szCs w:val="22"/>
        </w:rPr>
        <w:t xml:space="preserve"> </w:t>
      </w:r>
    </w:p>
    <w:p w:rsidR="00787273" w:rsidRPr="001E241C" w:rsidRDefault="00787273" w:rsidP="00C40239">
      <w:pPr>
        <w:jc w:val="both"/>
        <w:rPr>
          <w:szCs w:val="24"/>
        </w:rPr>
      </w:pPr>
    </w:p>
    <w:p w:rsidR="00E03081" w:rsidRPr="001E241C" w:rsidRDefault="00E03081" w:rsidP="00C40239">
      <w:pPr>
        <w:jc w:val="both"/>
        <w:rPr>
          <w:szCs w:val="24"/>
        </w:rPr>
      </w:pPr>
    </w:p>
    <w:p w:rsidR="00B77147" w:rsidRPr="001E241C" w:rsidRDefault="006A7ED1" w:rsidP="00C40239">
      <w:pPr>
        <w:jc w:val="both"/>
        <w:rPr>
          <w:szCs w:val="24"/>
        </w:rPr>
      </w:pPr>
      <w:r w:rsidRPr="001E241C">
        <w:rPr>
          <w:i/>
          <w:iCs/>
          <w:szCs w:val="24"/>
        </w:rPr>
        <w:t xml:space="preserve">The role of the </w:t>
      </w:r>
      <w:r w:rsidR="003F30DF" w:rsidRPr="001E241C">
        <w:rPr>
          <w:i/>
          <w:iCs/>
          <w:szCs w:val="24"/>
        </w:rPr>
        <w:t>s</w:t>
      </w:r>
      <w:r w:rsidR="00B77147" w:rsidRPr="001E241C">
        <w:rPr>
          <w:i/>
          <w:iCs/>
          <w:szCs w:val="24"/>
        </w:rPr>
        <w:t>takeholders</w:t>
      </w:r>
    </w:p>
    <w:p w:rsidR="00D43823" w:rsidRPr="001E241C" w:rsidRDefault="00D43823" w:rsidP="00C40239">
      <w:pPr>
        <w:jc w:val="both"/>
        <w:rPr>
          <w:szCs w:val="24"/>
        </w:rPr>
      </w:pPr>
    </w:p>
    <w:p w:rsidR="00B77147" w:rsidRPr="001E241C" w:rsidRDefault="00B77147" w:rsidP="00C40239">
      <w:pPr>
        <w:jc w:val="both"/>
        <w:rPr>
          <w:sz w:val="22"/>
          <w:szCs w:val="22"/>
        </w:rPr>
      </w:pPr>
      <w:r w:rsidRPr="001E241C">
        <w:rPr>
          <w:sz w:val="22"/>
          <w:szCs w:val="22"/>
        </w:rPr>
        <w:t xml:space="preserve">Public authorities have a prime responsibility to explain to their societies why changes are necessary and inevitable. It is their role to </w:t>
      </w:r>
      <w:r w:rsidR="0033558A" w:rsidRPr="001E241C">
        <w:rPr>
          <w:sz w:val="22"/>
          <w:szCs w:val="22"/>
        </w:rPr>
        <w:t>promote partnership</w:t>
      </w:r>
      <w:r w:rsidRPr="001E241C">
        <w:rPr>
          <w:sz w:val="22"/>
          <w:szCs w:val="22"/>
        </w:rPr>
        <w:t xml:space="preserve"> in which all partners are prepared to take responsibility for change. </w:t>
      </w:r>
    </w:p>
    <w:p w:rsidR="00B77147" w:rsidRPr="001E241C" w:rsidRDefault="00B77147" w:rsidP="00C40239">
      <w:pPr>
        <w:jc w:val="both"/>
        <w:rPr>
          <w:sz w:val="22"/>
          <w:szCs w:val="22"/>
        </w:rPr>
      </w:pPr>
    </w:p>
    <w:p w:rsidR="00B77147" w:rsidRPr="001E241C" w:rsidRDefault="0033558A" w:rsidP="00C40239">
      <w:pPr>
        <w:jc w:val="both"/>
        <w:rPr>
          <w:sz w:val="22"/>
          <w:szCs w:val="22"/>
        </w:rPr>
      </w:pPr>
      <w:r w:rsidRPr="001E241C">
        <w:rPr>
          <w:sz w:val="22"/>
          <w:szCs w:val="22"/>
        </w:rPr>
        <w:t xml:space="preserve">Many aspects relating to flexicurity belong to the competence of the social partners. The participation of social partners </w:t>
      </w:r>
      <w:r w:rsidR="003C217A" w:rsidRPr="001E241C">
        <w:rPr>
          <w:sz w:val="22"/>
          <w:szCs w:val="22"/>
        </w:rPr>
        <w:t xml:space="preserve">and </w:t>
      </w:r>
      <w:r w:rsidR="00194A07" w:rsidRPr="001E241C">
        <w:rPr>
          <w:sz w:val="22"/>
          <w:szCs w:val="22"/>
        </w:rPr>
        <w:t xml:space="preserve">other </w:t>
      </w:r>
      <w:r w:rsidR="003C217A" w:rsidRPr="001E241C">
        <w:rPr>
          <w:sz w:val="22"/>
          <w:szCs w:val="22"/>
        </w:rPr>
        <w:t xml:space="preserve">stakeholders </w:t>
      </w:r>
      <w:r w:rsidR="00B77147" w:rsidRPr="001E241C">
        <w:rPr>
          <w:sz w:val="22"/>
          <w:szCs w:val="22"/>
        </w:rPr>
        <w:t xml:space="preserve">should be </w:t>
      </w:r>
      <w:r w:rsidR="00194A07" w:rsidRPr="001E241C">
        <w:rPr>
          <w:sz w:val="22"/>
          <w:szCs w:val="22"/>
        </w:rPr>
        <w:t xml:space="preserve">ensured </w:t>
      </w:r>
      <w:r w:rsidRPr="001E241C">
        <w:rPr>
          <w:sz w:val="22"/>
          <w:szCs w:val="22"/>
        </w:rPr>
        <w:t xml:space="preserve">in the development of policies </w:t>
      </w:r>
      <w:r w:rsidR="00B77147" w:rsidRPr="001E241C">
        <w:rPr>
          <w:sz w:val="22"/>
          <w:szCs w:val="22"/>
        </w:rPr>
        <w:t xml:space="preserve">– in order to create a common agenda and joint responsibility for change. Social Partners have </w:t>
      </w:r>
      <w:r w:rsidR="007903B8" w:rsidRPr="001E241C">
        <w:rPr>
          <w:sz w:val="22"/>
          <w:szCs w:val="22"/>
        </w:rPr>
        <w:t>expert</w:t>
      </w:r>
      <w:r w:rsidR="00B77147" w:rsidRPr="001E241C">
        <w:rPr>
          <w:sz w:val="22"/>
          <w:szCs w:val="22"/>
        </w:rPr>
        <w:t xml:space="preserve"> knowledge of the concerns and needed qualifications in labour market</w:t>
      </w:r>
      <w:r w:rsidR="0084227B" w:rsidRPr="001E241C">
        <w:rPr>
          <w:sz w:val="22"/>
          <w:szCs w:val="22"/>
        </w:rPr>
        <w:t>s</w:t>
      </w:r>
      <w:r w:rsidR="00B77147" w:rsidRPr="001E241C">
        <w:rPr>
          <w:sz w:val="22"/>
          <w:szCs w:val="22"/>
        </w:rPr>
        <w:t xml:space="preserve"> and must </w:t>
      </w:r>
      <w:r w:rsidR="007903B8" w:rsidRPr="001E241C">
        <w:rPr>
          <w:sz w:val="22"/>
          <w:szCs w:val="22"/>
        </w:rPr>
        <w:t xml:space="preserve">take an active part in </w:t>
      </w:r>
      <w:r w:rsidR="0084227B" w:rsidRPr="001E241C">
        <w:rPr>
          <w:sz w:val="22"/>
          <w:szCs w:val="22"/>
        </w:rPr>
        <w:t xml:space="preserve">promoting acceptance of change and building support for change. </w:t>
      </w:r>
    </w:p>
    <w:p w:rsidR="0095666C" w:rsidRPr="001E241C" w:rsidRDefault="0095666C" w:rsidP="00C40239">
      <w:pPr>
        <w:pStyle w:val="Sidfot"/>
        <w:jc w:val="both"/>
        <w:rPr>
          <w:sz w:val="22"/>
          <w:szCs w:val="22"/>
        </w:rPr>
      </w:pPr>
    </w:p>
    <w:p w:rsidR="00787273" w:rsidRPr="001E241C" w:rsidRDefault="00B77147" w:rsidP="00C40239">
      <w:pPr>
        <w:pStyle w:val="Sidfot"/>
        <w:jc w:val="both"/>
        <w:rPr>
          <w:sz w:val="22"/>
          <w:szCs w:val="22"/>
        </w:rPr>
      </w:pPr>
      <w:r w:rsidRPr="001E241C">
        <w:rPr>
          <w:sz w:val="22"/>
          <w:szCs w:val="22"/>
        </w:rPr>
        <w:t xml:space="preserve">Collective agreements and companies can provide conditions for modern work organisations, improving internal quantitative as well as functional flexibility within a secure context. </w:t>
      </w:r>
      <w:r w:rsidR="0026678D" w:rsidRPr="001E241C">
        <w:rPr>
          <w:sz w:val="22"/>
          <w:szCs w:val="22"/>
        </w:rPr>
        <w:t>Governments can encourage social partners to do so.</w:t>
      </w:r>
    </w:p>
    <w:p w:rsidR="003957DC" w:rsidRPr="001E241C" w:rsidRDefault="003957DC" w:rsidP="00C40239">
      <w:pPr>
        <w:pStyle w:val="Sidfot"/>
        <w:jc w:val="both"/>
        <w:rPr>
          <w:sz w:val="22"/>
          <w:szCs w:val="22"/>
        </w:rPr>
      </w:pPr>
    </w:p>
    <w:p w:rsidR="003957DC" w:rsidRPr="001E241C" w:rsidRDefault="00625BCD" w:rsidP="00625BCD">
      <w:pPr>
        <w:pStyle w:val="Rubrik1"/>
        <w:rPr>
          <w:sz w:val="28"/>
          <w:szCs w:val="28"/>
        </w:rPr>
      </w:pPr>
      <w:r w:rsidRPr="001E241C">
        <w:rPr>
          <w:sz w:val="28"/>
          <w:szCs w:val="28"/>
        </w:rPr>
        <w:t>3.</w:t>
      </w:r>
      <w:r w:rsidRPr="001E241C">
        <w:rPr>
          <w:sz w:val="28"/>
          <w:szCs w:val="28"/>
        </w:rPr>
        <w:tab/>
      </w:r>
      <w:r w:rsidRPr="001E241C">
        <w:rPr>
          <w:sz w:val="24"/>
          <w:szCs w:val="24"/>
        </w:rPr>
        <w:t>N</w:t>
      </w:r>
      <w:r w:rsidR="003957DC" w:rsidRPr="001E241C">
        <w:rPr>
          <w:sz w:val="24"/>
          <w:szCs w:val="24"/>
        </w:rPr>
        <w:t>ext steps</w:t>
      </w:r>
    </w:p>
    <w:p w:rsidR="003F5E8B" w:rsidRPr="001E241C" w:rsidRDefault="003F5E8B" w:rsidP="003957DC">
      <w:pPr>
        <w:jc w:val="both"/>
        <w:rPr>
          <w:sz w:val="22"/>
          <w:szCs w:val="22"/>
        </w:rPr>
      </w:pPr>
    </w:p>
    <w:p w:rsidR="003957DC" w:rsidRPr="001E241C" w:rsidRDefault="003957DC" w:rsidP="003957DC">
      <w:pPr>
        <w:jc w:val="both"/>
        <w:rPr>
          <w:sz w:val="22"/>
          <w:szCs w:val="22"/>
        </w:rPr>
      </w:pPr>
      <w:r w:rsidRPr="001E241C">
        <w:rPr>
          <w:sz w:val="22"/>
          <w:szCs w:val="22"/>
        </w:rPr>
        <w:t xml:space="preserve">It is also clear that further analysis and discussions are needed in order to take sufficient account of the individual situations and starting points of Member States. This concerns i.a. </w:t>
      </w:r>
    </w:p>
    <w:p w:rsidR="00A450C1" w:rsidRPr="001E241C" w:rsidRDefault="00A450C1" w:rsidP="00A450C1">
      <w:pPr>
        <w:pStyle w:val="Sidfot"/>
        <w:numPr>
          <w:ilvl w:val="0"/>
          <w:numId w:val="34"/>
        </w:numPr>
        <w:jc w:val="both"/>
        <w:rPr>
          <w:sz w:val="22"/>
          <w:szCs w:val="22"/>
        </w:rPr>
      </w:pPr>
      <w:r w:rsidRPr="001E241C">
        <w:rPr>
          <w:sz w:val="22"/>
          <w:szCs w:val="22"/>
        </w:rPr>
        <w:t>specific cases of what works well in different countries</w:t>
      </w:r>
    </w:p>
    <w:p w:rsidR="00A450C1" w:rsidRPr="001E241C" w:rsidRDefault="00A450C1" w:rsidP="00A450C1">
      <w:pPr>
        <w:pStyle w:val="Sidfot"/>
        <w:numPr>
          <w:ilvl w:val="0"/>
          <w:numId w:val="34"/>
        </w:numPr>
        <w:jc w:val="both"/>
        <w:rPr>
          <w:sz w:val="22"/>
          <w:szCs w:val="22"/>
        </w:rPr>
      </w:pPr>
      <w:r w:rsidRPr="001E241C">
        <w:rPr>
          <w:sz w:val="22"/>
          <w:szCs w:val="22"/>
        </w:rPr>
        <w:t xml:space="preserve">internal quantitative and functional flexibility </w:t>
      </w:r>
      <w:r w:rsidR="003F5E8B" w:rsidRPr="001E241C">
        <w:rPr>
          <w:sz w:val="22"/>
          <w:szCs w:val="22"/>
        </w:rPr>
        <w:t xml:space="preserve">(i.e. the organisation of work) </w:t>
      </w:r>
      <w:r w:rsidRPr="001E241C">
        <w:rPr>
          <w:sz w:val="22"/>
          <w:szCs w:val="22"/>
        </w:rPr>
        <w:t>and various aspects of labour law</w:t>
      </w:r>
    </w:p>
    <w:p w:rsidR="00A450C1" w:rsidRPr="001E241C" w:rsidRDefault="00A450C1" w:rsidP="00A450C1">
      <w:pPr>
        <w:numPr>
          <w:ilvl w:val="0"/>
          <w:numId w:val="34"/>
        </w:numPr>
        <w:jc w:val="both"/>
        <w:rPr>
          <w:sz w:val="22"/>
          <w:szCs w:val="22"/>
        </w:rPr>
      </w:pPr>
      <w:r w:rsidRPr="001E241C">
        <w:rPr>
          <w:sz w:val="22"/>
          <w:szCs w:val="22"/>
        </w:rPr>
        <w:t xml:space="preserve">the measurement of flexicurity </w:t>
      </w:r>
    </w:p>
    <w:p w:rsidR="00A450C1" w:rsidRPr="001E241C" w:rsidRDefault="00A450C1" w:rsidP="00A450C1">
      <w:pPr>
        <w:numPr>
          <w:ilvl w:val="0"/>
          <w:numId w:val="34"/>
        </w:numPr>
        <w:jc w:val="both"/>
        <w:rPr>
          <w:sz w:val="22"/>
          <w:szCs w:val="22"/>
        </w:rPr>
      </w:pPr>
      <w:r w:rsidRPr="001E241C">
        <w:rPr>
          <w:sz w:val="22"/>
          <w:szCs w:val="22"/>
        </w:rPr>
        <w:t xml:space="preserve">the costs and benefits of flexicurity </w:t>
      </w:r>
      <w:r w:rsidR="003F5E8B" w:rsidRPr="001E241C">
        <w:rPr>
          <w:sz w:val="22"/>
          <w:szCs w:val="22"/>
        </w:rPr>
        <w:t>for</w:t>
      </w:r>
      <w:r w:rsidRPr="001E241C">
        <w:rPr>
          <w:sz w:val="22"/>
          <w:szCs w:val="22"/>
        </w:rPr>
        <w:t xml:space="preserve"> different groups on the labour market, including for people on its margins</w:t>
      </w:r>
    </w:p>
    <w:p w:rsidR="00A450C1" w:rsidRPr="001E241C" w:rsidRDefault="00A450C1" w:rsidP="00A450C1">
      <w:pPr>
        <w:pStyle w:val="Sidfot"/>
        <w:numPr>
          <w:ilvl w:val="0"/>
          <w:numId w:val="34"/>
        </w:numPr>
        <w:jc w:val="both"/>
        <w:rPr>
          <w:sz w:val="22"/>
          <w:szCs w:val="22"/>
        </w:rPr>
      </w:pPr>
      <w:r w:rsidRPr="001E241C">
        <w:rPr>
          <w:sz w:val="22"/>
          <w:szCs w:val="22"/>
        </w:rPr>
        <w:t>the cost</w:t>
      </w:r>
      <w:r w:rsidR="00E85725" w:rsidRPr="001E241C">
        <w:rPr>
          <w:sz w:val="22"/>
          <w:szCs w:val="22"/>
        </w:rPr>
        <w:t>s</w:t>
      </w:r>
      <w:r w:rsidRPr="001E241C">
        <w:rPr>
          <w:sz w:val="22"/>
          <w:szCs w:val="22"/>
        </w:rPr>
        <w:t xml:space="preserve"> and benefits of flexicurity for public finance and society as a whole</w:t>
      </w:r>
    </w:p>
    <w:p w:rsidR="006D2F6F" w:rsidRPr="001E241C" w:rsidRDefault="006D2F6F" w:rsidP="003957DC">
      <w:pPr>
        <w:numPr>
          <w:ilvl w:val="0"/>
          <w:numId w:val="34"/>
        </w:numPr>
        <w:jc w:val="both"/>
        <w:rPr>
          <w:sz w:val="22"/>
          <w:szCs w:val="22"/>
        </w:rPr>
      </w:pPr>
      <w:r w:rsidRPr="001E241C">
        <w:rPr>
          <w:sz w:val="22"/>
          <w:szCs w:val="22"/>
        </w:rPr>
        <w:t xml:space="preserve">sustainability of </w:t>
      </w:r>
      <w:r w:rsidR="00332B2F" w:rsidRPr="001E241C">
        <w:rPr>
          <w:sz w:val="22"/>
          <w:szCs w:val="22"/>
        </w:rPr>
        <w:t xml:space="preserve">social and financial </w:t>
      </w:r>
      <w:r w:rsidRPr="001E241C">
        <w:rPr>
          <w:sz w:val="22"/>
          <w:szCs w:val="22"/>
        </w:rPr>
        <w:t>commitments, especially in adverse economic conditions</w:t>
      </w:r>
    </w:p>
    <w:p w:rsidR="003957DC" w:rsidRPr="001E241C" w:rsidRDefault="003957DC" w:rsidP="003957DC">
      <w:pPr>
        <w:numPr>
          <w:ilvl w:val="0"/>
          <w:numId w:val="34"/>
        </w:numPr>
        <w:jc w:val="both"/>
        <w:rPr>
          <w:sz w:val="22"/>
          <w:szCs w:val="22"/>
        </w:rPr>
      </w:pPr>
      <w:r w:rsidRPr="001E241C">
        <w:rPr>
          <w:sz w:val="22"/>
          <w:szCs w:val="22"/>
        </w:rPr>
        <w:t xml:space="preserve">different pathways towards </w:t>
      </w:r>
      <w:r w:rsidR="00332B2F" w:rsidRPr="001E241C">
        <w:rPr>
          <w:sz w:val="22"/>
          <w:szCs w:val="22"/>
        </w:rPr>
        <w:t>(</w:t>
      </w:r>
      <w:r w:rsidRPr="001E241C">
        <w:rPr>
          <w:sz w:val="22"/>
          <w:szCs w:val="22"/>
        </w:rPr>
        <w:t>more</w:t>
      </w:r>
      <w:r w:rsidR="00332B2F" w:rsidRPr="001E241C">
        <w:rPr>
          <w:sz w:val="22"/>
          <w:szCs w:val="22"/>
        </w:rPr>
        <w:t>)</w:t>
      </w:r>
      <w:r w:rsidRPr="001E241C">
        <w:rPr>
          <w:sz w:val="22"/>
          <w:szCs w:val="22"/>
        </w:rPr>
        <w:t xml:space="preserve"> flexicurity for Member States with different starting points</w:t>
      </w:r>
      <w:r w:rsidR="00DB7F63" w:rsidRPr="001E241C">
        <w:rPr>
          <w:sz w:val="22"/>
          <w:szCs w:val="22"/>
        </w:rPr>
        <w:t>.</w:t>
      </w:r>
      <w:r w:rsidRPr="001E241C">
        <w:rPr>
          <w:sz w:val="22"/>
          <w:szCs w:val="22"/>
        </w:rPr>
        <w:t xml:space="preserve"> </w:t>
      </w:r>
    </w:p>
    <w:p w:rsidR="006D2F6F" w:rsidRPr="001E241C" w:rsidRDefault="006D2F6F" w:rsidP="006D2F6F">
      <w:pPr>
        <w:pStyle w:val="Sidfot"/>
        <w:ind w:left="360"/>
        <w:jc w:val="both"/>
        <w:rPr>
          <w:sz w:val="22"/>
          <w:szCs w:val="22"/>
        </w:rPr>
      </w:pPr>
    </w:p>
    <w:p w:rsidR="006D2F6F" w:rsidRPr="001E241C" w:rsidRDefault="00332B2F" w:rsidP="00D43823">
      <w:pPr>
        <w:pStyle w:val="Sidfot"/>
        <w:jc w:val="both"/>
        <w:rPr>
          <w:szCs w:val="24"/>
        </w:rPr>
      </w:pPr>
      <w:r w:rsidRPr="001E241C">
        <w:rPr>
          <w:sz w:val="22"/>
          <w:szCs w:val="22"/>
        </w:rPr>
        <w:t xml:space="preserve">The Committees note the intention of the Commission to publish a Green Paper on Labour law, analyse flexicurity aspects in the context of the Annual Progress Report and adopt a Communication on a set of common principles in 2007. </w:t>
      </w:r>
      <w:smartTag w:uri="urn:schemas-microsoft-com:office:smarttags" w:element="place">
        <w:smartTag w:uri="urn:schemas-microsoft-com:office:smarttags" w:element="PlaceName">
          <w:r w:rsidRPr="001E241C">
            <w:rPr>
              <w:sz w:val="22"/>
              <w:szCs w:val="22"/>
            </w:rPr>
            <w:t>Member</w:t>
          </w:r>
        </w:smartTag>
        <w:r w:rsidRPr="001E241C">
          <w:rPr>
            <w:sz w:val="22"/>
            <w:szCs w:val="22"/>
          </w:rPr>
          <w:t xml:space="preserve"> </w:t>
        </w:r>
        <w:smartTag w:uri="urn:schemas-microsoft-com:office:smarttags" w:element="PlaceType">
          <w:r w:rsidRPr="001E241C">
            <w:rPr>
              <w:sz w:val="22"/>
              <w:szCs w:val="22"/>
            </w:rPr>
            <w:t>States</w:t>
          </w:r>
        </w:smartTag>
      </w:smartTag>
      <w:r w:rsidRPr="001E241C">
        <w:rPr>
          <w:sz w:val="22"/>
          <w:szCs w:val="22"/>
        </w:rPr>
        <w:t xml:space="preserve"> and social partners will be fully involved. The Committees also note the intention of the incoming Finnish Presidency to engage a discussion on managing change and the role of flexicurity in the Social Summit in the </w:t>
      </w:r>
      <w:r w:rsidR="005A3BB4" w:rsidRPr="001E241C">
        <w:rPr>
          <w:sz w:val="22"/>
          <w:szCs w:val="22"/>
        </w:rPr>
        <w:t>autumn</w:t>
      </w:r>
      <w:r w:rsidRPr="001E241C">
        <w:rPr>
          <w:sz w:val="22"/>
          <w:szCs w:val="22"/>
        </w:rPr>
        <w:t xml:space="preserve"> of 2006.</w:t>
      </w:r>
      <w:r w:rsidR="006D2F6F" w:rsidRPr="001E241C">
        <w:rPr>
          <w:sz w:val="22"/>
          <w:szCs w:val="22"/>
        </w:rPr>
        <w:t xml:space="preserve"> </w:t>
      </w:r>
    </w:p>
    <w:p w:rsidR="00E849C5" w:rsidRPr="001E241C" w:rsidRDefault="00E849C5" w:rsidP="002E6C1A">
      <w:pPr>
        <w:jc w:val="both"/>
        <w:rPr>
          <w:vanish/>
          <w:szCs w:val="24"/>
          <w:specVanish/>
        </w:rPr>
      </w:pPr>
    </w:p>
    <w:sectPr w:rsidR="00E849C5" w:rsidRPr="001E241C" w:rsidSect="00C47E77">
      <w:headerReference w:type="default" r:id="rId9"/>
      <w:footerReference w:type="default" r:id="rId10"/>
      <w:headerReference w:type="first" r:id="rId11"/>
      <w:footerReference w:type="first" r:id="rId12"/>
      <w:pgSz w:w="11906" w:h="16838"/>
      <w:pgMar w:top="1440" w:right="1418" w:bottom="1440"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517" w:rsidRPr="001E241C" w:rsidRDefault="00854517">
      <w:r w:rsidRPr="001E241C">
        <w:separator/>
      </w:r>
    </w:p>
  </w:endnote>
  <w:endnote w:type="continuationSeparator" w:id="0">
    <w:p w:rsidR="00854517" w:rsidRPr="001E241C" w:rsidRDefault="00854517">
      <w:r w:rsidRPr="001E2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77" w:rsidRPr="001E241C" w:rsidRDefault="00C47E77">
    <w:pPr>
      <w:pStyle w:val="FooterConseil"/>
      <w:pBdr>
        <w:bottom w:val="single" w:sz="4" w:space="1" w:color="auto"/>
      </w:pBdr>
      <w:spacing w:after="60"/>
    </w:pPr>
  </w:p>
  <w:p w:rsidR="00C47E77" w:rsidRPr="001E241C" w:rsidRDefault="00C47E77">
    <w:pPr>
      <w:pStyle w:val="FooterConseil"/>
    </w:pPr>
    <w:bookmarkStart w:id="13" w:name="CoteFooter"/>
    <w:bookmarkEnd w:id="13"/>
    <w:r w:rsidRPr="001E241C">
      <w:t xml:space="preserve">9633/06 </w:t>
    </w:r>
    <w:r w:rsidRPr="001E241C">
      <w:tab/>
    </w:r>
    <w:r w:rsidRPr="001E241C">
      <w:tab/>
    </w:r>
    <w:bookmarkStart w:id="14" w:name="Init"/>
    <w:bookmarkEnd w:id="14"/>
    <w:r w:rsidRPr="001E241C">
      <w:t>MH/vk</w:t>
    </w:r>
    <w:r w:rsidRPr="001E241C">
      <w:tab/>
    </w:r>
    <w:r w:rsidRPr="001E241C">
      <w:fldChar w:fldCharType="begin" w:fldLock="1"/>
    </w:r>
    <w:r w:rsidRPr="001E241C">
      <w:instrText xml:space="preserve"> PAGE </w:instrText>
    </w:r>
    <w:r w:rsidRPr="001E241C">
      <w:fldChar w:fldCharType="separate"/>
    </w:r>
    <w:r w:rsidR="00B46127" w:rsidRPr="001E241C">
      <w:t>1</w:t>
    </w:r>
    <w:r w:rsidRPr="001E241C">
      <w:fldChar w:fldCharType="end"/>
    </w:r>
  </w:p>
  <w:p w:rsidR="00C47E77" w:rsidRPr="001E241C" w:rsidRDefault="00C47E77">
    <w:pPr>
      <w:pStyle w:val="FooterConseil"/>
      <w:tabs>
        <w:tab w:val="clear" w:pos="7371"/>
      </w:tabs>
      <w:spacing w:line="280" w:lineRule="exact"/>
      <w:rPr>
        <w:position w:val="-4"/>
      </w:rPr>
    </w:pPr>
    <w:r w:rsidRPr="001E241C">
      <w:tab/>
    </w:r>
    <w:bookmarkStart w:id="15" w:name="DG"/>
    <w:bookmarkEnd w:id="15"/>
    <w:r w:rsidRPr="001E241C">
      <w:t>DG G II</w:t>
    </w:r>
    <w:r w:rsidRPr="001E241C">
      <w:tab/>
    </w:r>
    <w:bookmarkStart w:id="16" w:name="FooterCoteSec"/>
    <w:r w:rsidRPr="001E241C">
      <w:rPr>
        <w:b/>
        <w:position w:val="-4"/>
        <w:sz w:val="36"/>
      </w:rPr>
      <w:t xml:space="preserve"> </w:t>
    </w:r>
    <w:bookmarkEnd w:id="16"/>
    <w:r w:rsidRPr="001E241C">
      <w:rPr>
        <w:position w:val="-4"/>
      </w:rPr>
      <w:t> </w:t>
    </w:r>
    <w:bookmarkStart w:id="17" w:name="Langue"/>
    <w:r w:rsidRPr="001E241C">
      <w:rPr>
        <w:b/>
        <w:position w:val="-4"/>
        <w:sz w:val="36"/>
      </w:rPr>
      <w:t>EN</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77" w:rsidRPr="001E241C" w:rsidRDefault="00C47E77">
    <w:pPr>
      <w:pStyle w:val="Sidfot"/>
      <w:framePr w:wrap="around" w:vAnchor="text" w:hAnchor="margin" w:xAlign="right" w:y="1"/>
      <w:rPr>
        <w:rStyle w:val="Sidnummer"/>
      </w:rPr>
    </w:pPr>
    <w:r w:rsidRPr="001E241C">
      <w:rPr>
        <w:rStyle w:val="Sidnummer"/>
      </w:rPr>
      <w:fldChar w:fldCharType="begin" w:fldLock="1"/>
    </w:r>
    <w:r w:rsidRPr="001E241C">
      <w:rPr>
        <w:rStyle w:val="Sidnummer"/>
      </w:rPr>
      <w:instrText xml:space="preserve">PAGE  </w:instrText>
    </w:r>
    <w:r w:rsidRPr="001E241C">
      <w:rPr>
        <w:rStyle w:val="Sidnummer"/>
      </w:rPr>
      <w:fldChar w:fldCharType="separate"/>
    </w:r>
    <w:r w:rsidR="00B46127" w:rsidRPr="001E241C">
      <w:rPr>
        <w:rStyle w:val="Sidnummer"/>
      </w:rPr>
      <w:t>3</w:t>
    </w:r>
    <w:r w:rsidRPr="001E241C">
      <w:rPr>
        <w:rStyle w:val="Sidnummer"/>
      </w:rPr>
      <w:fldChar w:fldCharType="end"/>
    </w:r>
  </w:p>
  <w:p w:rsidR="00C47E77" w:rsidRPr="001E241C" w:rsidRDefault="00C47E77">
    <w:pPr>
      <w:pStyle w:val="Sidfot"/>
      <w:ind w:right="360"/>
      <w:rPr>
        <w:sz w:val="17"/>
      </w:rPr>
    </w:pPr>
  </w:p>
  <w:p w:rsidR="00C47E77" w:rsidRPr="001E241C" w:rsidRDefault="00C47E77">
    <w:pPr>
      <w:pStyle w:val="Sidfot"/>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77" w:rsidRDefault="00C47E77">
    <w:pPr>
      <w:pStyle w:val="Sidfot"/>
      <w:tabs>
        <w:tab w:val="clear" w:pos="8306"/>
        <w:tab w:val="right" w:pos="8505"/>
      </w:tabs>
      <w:rPr>
        <w:rFonts w:ascii="Arial"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517" w:rsidRPr="001E241C" w:rsidRDefault="00854517">
      <w:r w:rsidRPr="001E241C">
        <w:separator/>
      </w:r>
    </w:p>
  </w:footnote>
  <w:footnote w:type="continuationSeparator" w:id="0">
    <w:p w:rsidR="00854517" w:rsidRPr="001E241C" w:rsidRDefault="00854517">
      <w:r w:rsidRPr="001E241C">
        <w:continuationSeparator/>
      </w:r>
    </w:p>
  </w:footnote>
  <w:footnote w:id="1">
    <w:p w:rsidR="00E03081" w:rsidRPr="001E241C" w:rsidRDefault="00E03081">
      <w:pPr>
        <w:pStyle w:val="Fotnotstext"/>
      </w:pPr>
      <w:r w:rsidRPr="001E241C">
        <w:rPr>
          <w:rStyle w:val="Fotnotsreferens"/>
        </w:rPr>
        <w:footnoteRef/>
      </w:r>
      <w:r w:rsidRPr="001E241C">
        <w:t xml:space="preserve"> See in particular the report prepared for the Employment Committee by the Working Group on Flexicurity and the contribution of the Social Protection Committee entitled Flexicurity: the role of social protection.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77" w:rsidRDefault="00C47E77">
    <w:pPr>
      <w:pStyle w:val="Sidhuvud"/>
      <w:rPr>
        <w:sz w:val="23"/>
      </w:rPr>
    </w:pPr>
    <w:r>
      <w:rPr>
        <w:sz w:val="23"/>
      </w:rPr>
      <w:tab/>
    </w:r>
  </w:p>
  <w:p w:rsidR="00C47E77" w:rsidRDefault="00C47E77">
    <w:pPr>
      <w:pStyle w:val="Sidhuvud"/>
      <w:rPr>
        <w:sz w:val="23"/>
      </w:rPr>
    </w:pPr>
  </w:p>
  <w:p w:rsidR="00C47E77" w:rsidRDefault="00C47E77">
    <w:pPr>
      <w:pStyle w:val="Sidhuvud"/>
      <w:rPr>
        <w:rFonts w:ascii="Arial" w:hAnsi="Arial"/>
        <w:i/>
        <w:sz w:val="23"/>
      </w:rPr>
    </w:pPr>
  </w:p>
  <w:p w:rsidR="00C47E77" w:rsidRDefault="00C47E77">
    <w:pPr>
      <w:pStyle w:val="Sidhuvud"/>
      <w:rPr>
        <w:rFonts w:ascii="Arial" w:hAnsi="Arial"/>
        <w:i/>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77" w:rsidRDefault="00C47E77">
    <w:pPr>
      <w:pStyle w:val="Sidhuvud"/>
      <w:framePr w:w="6646" w:h="976" w:hSpace="180" w:wrap="auto" w:vAnchor="page" w:hAnchor="page" w:x="3631" w:y="856"/>
      <w:jc w:val="center"/>
      <w:rPr>
        <w:rFonts w:ascii="Arial" w:hAnsi="Arial"/>
        <w:b/>
        <w:sz w:val="31"/>
      </w:rPr>
    </w:pPr>
    <w:r>
      <w:rPr>
        <w:rFonts w:ascii="Arial" w:hAnsi="Arial"/>
        <w:b/>
        <w:sz w:val="31"/>
      </w:rPr>
      <w:t>The Employment Committee</w:t>
    </w:r>
  </w:p>
  <w:p w:rsidR="00C47E77" w:rsidRDefault="00C47E77">
    <w:pPr>
      <w:pStyle w:val="Sidhuvud"/>
      <w:framePr w:w="6646" w:h="976" w:hSpace="180" w:wrap="auto" w:vAnchor="page" w:hAnchor="page" w:x="3631" w:y="856"/>
      <w:jc w:val="center"/>
      <w:rPr>
        <w:rFonts w:ascii="Arial" w:hAnsi="Arial"/>
        <w:b/>
        <w:sz w:val="31"/>
      </w:rPr>
    </w:pPr>
    <w:r>
      <w:rPr>
        <w:rFonts w:ascii="Arial" w:hAnsi="Arial"/>
        <w:b/>
        <w:sz w:val="31"/>
      </w:rPr>
      <w:t>The Social Protection Committee</w:t>
    </w:r>
  </w:p>
  <w:p w:rsidR="00C47E77" w:rsidRDefault="00C47E77">
    <w:pPr>
      <w:pStyle w:val="Sidhuvud"/>
      <w:framePr w:w="6646" w:h="976" w:hSpace="180" w:wrap="auto" w:vAnchor="page" w:hAnchor="page" w:x="3631" w:y="856"/>
      <w:jc w:val="center"/>
      <w:rPr>
        <w:i/>
      </w:rPr>
    </w:pPr>
  </w:p>
  <w:p w:rsidR="00C47E77" w:rsidRDefault="00C47E77">
    <w:pPr>
      <w:pStyle w:val="Sidhuvud"/>
      <w:framePr w:w="6646" w:h="976" w:hSpace="180" w:wrap="auto" w:vAnchor="page" w:hAnchor="page" w:x="3631" w:y="856"/>
      <w:jc w:val="center"/>
      <w:rPr>
        <w:i/>
      </w:rPr>
    </w:pPr>
  </w:p>
  <w:p w:rsidR="00C47E77" w:rsidRDefault="001E241C">
    <w:pPr>
      <w:pStyle w:val="Sidhuvud"/>
      <w:rPr>
        <w:sz w:val="23"/>
      </w:rPr>
    </w:pPr>
    <w:r>
      <w:rPr>
        <w:noProof/>
        <w:sz w:val="20"/>
      </w:rPr>
      <w:drawing>
        <wp:inline distT="0" distB="0" distL="0" distR="0">
          <wp:extent cx="935990" cy="6261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626110"/>
                  </a:xfrm>
                  <a:prstGeom prst="rect">
                    <a:avLst/>
                  </a:prstGeom>
                  <a:noFill/>
                  <a:ln>
                    <a:noFill/>
                  </a:ln>
                </pic:spPr>
              </pic:pic>
            </a:graphicData>
          </a:graphic>
        </wp:inline>
      </w:drawing>
    </w:r>
  </w:p>
  <w:p w:rsidR="00C47E77" w:rsidRDefault="00C47E77">
    <w:pPr>
      <w:pStyle w:val="Sidhuvud"/>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56"/>
    <w:multiLevelType w:val="hybridMultilevel"/>
    <w:tmpl w:val="003AF4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30B89"/>
    <w:multiLevelType w:val="hybridMultilevel"/>
    <w:tmpl w:val="5666E4C8"/>
    <w:lvl w:ilvl="0" w:tplc="533695AE">
      <w:start w:val="1"/>
      <w:numFmt w:val="decimal"/>
      <w:lvlText w:val="%1."/>
      <w:lvlJc w:val="left"/>
      <w:pPr>
        <w:tabs>
          <w:tab w:val="num" w:pos="360"/>
        </w:tabs>
        <w:ind w:left="360" w:hanging="360"/>
      </w:pPr>
      <w:rPr>
        <w:i w:val="0"/>
      </w:rPr>
    </w:lvl>
    <w:lvl w:ilvl="1" w:tplc="DCC4C778">
      <w:start w:val="1"/>
      <w:numFmt w:val="bullet"/>
      <w:lvlText w:val="–"/>
      <w:lvlJc w:val="left"/>
      <w:pPr>
        <w:tabs>
          <w:tab w:val="num" w:pos="1080"/>
        </w:tabs>
        <w:ind w:left="1080" w:hanging="360"/>
      </w:pPr>
      <w:rPr>
        <w:rFonts w:ascii="Courier New" w:hAnsi="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DE3061"/>
    <w:multiLevelType w:val="multilevel"/>
    <w:tmpl w:val="3926F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089C"/>
    <w:multiLevelType w:val="hybridMultilevel"/>
    <w:tmpl w:val="D728B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ED1E10"/>
    <w:multiLevelType w:val="hybridMultilevel"/>
    <w:tmpl w:val="F500B3D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D83DB2"/>
    <w:multiLevelType w:val="multilevel"/>
    <w:tmpl w:val="6CDA7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51183"/>
    <w:multiLevelType w:val="hybridMultilevel"/>
    <w:tmpl w:val="EDF4731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221E2"/>
    <w:multiLevelType w:val="multilevel"/>
    <w:tmpl w:val="7A72D3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4852FB"/>
    <w:multiLevelType w:val="hybridMultilevel"/>
    <w:tmpl w:val="BE58DC4A"/>
    <w:lvl w:ilvl="0" w:tplc="0406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F6B94"/>
    <w:multiLevelType w:val="hybridMultilevel"/>
    <w:tmpl w:val="3476E3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F27D86"/>
    <w:multiLevelType w:val="hybridMultilevel"/>
    <w:tmpl w:val="B7ACDC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E86477"/>
    <w:multiLevelType w:val="multilevel"/>
    <w:tmpl w:val="6CDA7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16934"/>
    <w:multiLevelType w:val="hybridMultilevel"/>
    <w:tmpl w:val="8E223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485410"/>
    <w:multiLevelType w:val="hybridMultilevel"/>
    <w:tmpl w:val="62189B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73F22C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86C37B0"/>
    <w:multiLevelType w:val="hybridMultilevel"/>
    <w:tmpl w:val="916C4A3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307D2"/>
    <w:multiLevelType w:val="hybridMultilevel"/>
    <w:tmpl w:val="5B42706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5793D"/>
    <w:multiLevelType w:val="multilevel"/>
    <w:tmpl w:val="D728B9C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29431C"/>
    <w:multiLevelType w:val="hybridMultilevel"/>
    <w:tmpl w:val="AE1E66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EB22AB"/>
    <w:multiLevelType w:val="hybridMultilevel"/>
    <w:tmpl w:val="6CDA7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265A1"/>
    <w:multiLevelType w:val="hybridMultilevel"/>
    <w:tmpl w:val="3CA4EC7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04F"/>
    <w:multiLevelType w:val="hybridMultilevel"/>
    <w:tmpl w:val="2C1C9D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ED0A74"/>
    <w:multiLevelType w:val="multilevel"/>
    <w:tmpl w:val="6CDA7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6B4EE9"/>
    <w:multiLevelType w:val="hybridMultilevel"/>
    <w:tmpl w:val="E94A7E7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846180"/>
    <w:multiLevelType w:val="hybridMultilevel"/>
    <w:tmpl w:val="A296EC16"/>
    <w:lvl w:ilvl="0" w:tplc="0809000B">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65511D"/>
    <w:multiLevelType w:val="hybridMultilevel"/>
    <w:tmpl w:val="3926F8B4"/>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8576DF"/>
    <w:multiLevelType w:val="hybridMultilevel"/>
    <w:tmpl w:val="7A965744"/>
    <w:lvl w:ilvl="0" w:tplc="0809000B">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CE4A9A"/>
    <w:multiLevelType w:val="hybridMultilevel"/>
    <w:tmpl w:val="7A7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5D7265"/>
    <w:multiLevelType w:val="multilevel"/>
    <w:tmpl w:val="6CDA7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E1A56"/>
    <w:multiLevelType w:val="hybridMultilevel"/>
    <w:tmpl w:val="E446DD4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DA7448"/>
    <w:multiLevelType w:val="multilevel"/>
    <w:tmpl w:val="6CDA7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14BA5"/>
    <w:multiLevelType w:val="hybridMultilevel"/>
    <w:tmpl w:val="71E273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C002F4"/>
    <w:multiLevelType w:val="hybridMultilevel"/>
    <w:tmpl w:val="0980CA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703C4B"/>
    <w:multiLevelType w:val="hybridMultilevel"/>
    <w:tmpl w:val="6E90FE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4E71E4"/>
    <w:multiLevelType w:val="singleLevel"/>
    <w:tmpl w:val="21145626"/>
    <w:lvl w:ilvl="0">
      <w:start w:val="1"/>
      <w:numFmt w:val="decimal"/>
      <w:pStyle w:val="Par-equal"/>
      <w:lvlText w:val="%1."/>
      <w:lvlJc w:val="left"/>
      <w:pPr>
        <w:tabs>
          <w:tab w:val="num" w:pos="567"/>
        </w:tabs>
        <w:ind w:left="567" w:hanging="567"/>
      </w:pPr>
    </w:lvl>
  </w:abstractNum>
  <w:abstractNum w:abstractNumId="35" w15:restartNumberingAfterBreak="0">
    <w:nsid w:val="6EEE7C30"/>
    <w:multiLevelType w:val="hybridMultilevel"/>
    <w:tmpl w:val="52C6D3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062EE1"/>
    <w:multiLevelType w:val="hybridMultilevel"/>
    <w:tmpl w:val="68227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8785DB9"/>
    <w:multiLevelType w:val="hybridMultilevel"/>
    <w:tmpl w:val="7998521A"/>
    <w:lvl w:ilvl="0" w:tplc="08090001">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70220C"/>
    <w:multiLevelType w:val="hybridMultilevel"/>
    <w:tmpl w:val="EE7A526C"/>
    <w:lvl w:ilvl="0" w:tplc="0809000B">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9D4C8C"/>
    <w:multiLevelType w:val="hybridMultilevel"/>
    <w:tmpl w:val="9D1239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9F74096"/>
    <w:multiLevelType w:val="hybridMultilevel"/>
    <w:tmpl w:val="E67238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16797624">
    <w:abstractNumId w:val="14"/>
  </w:num>
  <w:num w:numId="2" w16cid:durableId="1253050775">
    <w:abstractNumId w:val="1"/>
  </w:num>
  <w:num w:numId="3" w16cid:durableId="485168133">
    <w:abstractNumId w:val="10"/>
  </w:num>
  <w:num w:numId="4" w16cid:durableId="697237597">
    <w:abstractNumId w:val="13"/>
  </w:num>
  <w:num w:numId="5" w16cid:durableId="334648890">
    <w:abstractNumId w:val="25"/>
  </w:num>
  <w:num w:numId="6" w16cid:durableId="884147282">
    <w:abstractNumId w:val="2"/>
  </w:num>
  <w:num w:numId="7" w16cid:durableId="1673751615">
    <w:abstractNumId w:val="21"/>
  </w:num>
  <w:num w:numId="8" w16cid:durableId="2078355919">
    <w:abstractNumId w:val="24"/>
  </w:num>
  <w:num w:numId="9" w16cid:durableId="179438029">
    <w:abstractNumId w:val="32"/>
  </w:num>
  <w:num w:numId="10" w16cid:durableId="1120689652">
    <w:abstractNumId w:val="26"/>
  </w:num>
  <w:num w:numId="11" w16cid:durableId="577060231">
    <w:abstractNumId w:val="12"/>
  </w:num>
  <w:num w:numId="12" w16cid:durableId="880947262">
    <w:abstractNumId w:val="19"/>
  </w:num>
  <w:num w:numId="13" w16cid:durableId="124811290">
    <w:abstractNumId w:val="33"/>
  </w:num>
  <w:num w:numId="14" w16cid:durableId="1045715968">
    <w:abstractNumId w:val="27"/>
  </w:num>
  <w:num w:numId="15" w16cid:durableId="1137576764">
    <w:abstractNumId w:val="7"/>
  </w:num>
  <w:num w:numId="16" w16cid:durableId="533660267">
    <w:abstractNumId w:val="4"/>
  </w:num>
  <w:num w:numId="17" w16cid:durableId="76368261">
    <w:abstractNumId w:val="28"/>
  </w:num>
  <w:num w:numId="18" w16cid:durableId="1035347351">
    <w:abstractNumId w:val="23"/>
  </w:num>
  <w:num w:numId="19" w16cid:durableId="1047069220">
    <w:abstractNumId w:val="5"/>
  </w:num>
  <w:num w:numId="20" w16cid:durableId="1307078825">
    <w:abstractNumId w:val="6"/>
  </w:num>
  <w:num w:numId="21" w16cid:durableId="1349911370">
    <w:abstractNumId w:val="30"/>
  </w:num>
  <w:num w:numId="22" w16cid:durableId="1855873282">
    <w:abstractNumId w:val="15"/>
  </w:num>
  <w:num w:numId="23" w16cid:durableId="1264531102">
    <w:abstractNumId w:val="22"/>
  </w:num>
  <w:num w:numId="24" w16cid:durableId="431703508">
    <w:abstractNumId w:val="20"/>
  </w:num>
  <w:num w:numId="25" w16cid:durableId="253637442">
    <w:abstractNumId w:val="11"/>
  </w:num>
  <w:num w:numId="26" w16cid:durableId="942416845">
    <w:abstractNumId w:val="37"/>
  </w:num>
  <w:num w:numId="27" w16cid:durableId="914509587">
    <w:abstractNumId w:val="3"/>
  </w:num>
  <w:num w:numId="28" w16cid:durableId="1103956852">
    <w:abstractNumId w:val="17"/>
  </w:num>
  <w:num w:numId="29" w16cid:durableId="184172492">
    <w:abstractNumId w:val="29"/>
  </w:num>
  <w:num w:numId="30" w16cid:durableId="711272882">
    <w:abstractNumId w:val="38"/>
  </w:num>
  <w:num w:numId="31" w16cid:durableId="1516458676">
    <w:abstractNumId w:val="35"/>
  </w:num>
  <w:num w:numId="32" w16cid:durableId="164246106">
    <w:abstractNumId w:val="31"/>
  </w:num>
  <w:num w:numId="33" w16cid:durableId="1367875477">
    <w:abstractNumId w:val="9"/>
  </w:num>
  <w:num w:numId="34" w16cid:durableId="1440754135">
    <w:abstractNumId w:val="8"/>
  </w:num>
  <w:num w:numId="35" w16cid:durableId="1224828577">
    <w:abstractNumId w:val="34"/>
  </w:num>
  <w:num w:numId="36" w16cid:durableId="1842310139">
    <w:abstractNumId w:val="16"/>
  </w:num>
  <w:num w:numId="37" w16cid:durableId="1170951471">
    <w:abstractNumId w:val="36"/>
  </w:num>
  <w:num w:numId="38" w16cid:durableId="1534489739">
    <w:abstractNumId w:val="18"/>
  </w:num>
  <w:num w:numId="39" w16cid:durableId="1146046829">
    <w:abstractNumId w:val="40"/>
  </w:num>
  <w:num w:numId="40" w16cid:durableId="330371529">
    <w:abstractNumId w:val="39"/>
  </w:num>
  <w:num w:numId="41" w16cid:durableId="215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9746E"/>
    <w:rsid w:val="00010104"/>
    <w:rsid w:val="00025786"/>
    <w:rsid w:val="00025CA6"/>
    <w:rsid w:val="0003019D"/>
    <w:rsid w:val="00045125"/>
    <w:rsid w:val="00053C54"/>
    <w:rsid w:val="00054137"/>
    <w:rsid w:val="00054D11"/>
    <w:rsid w:val="00061C48"/>
    <w:rsid w:val="00067B88"/>
    <w:rsid w:val="00072BB1"/>
    <w:rsid w:val="00075364"/>
    <w:rsid w:val="0008022D"/>
    <w:rsid w:val="00090E62"/>
    <w:rsid w:val="00092F13"/>
    <w:rsid w:val="00096783"/>
    <w:rsid w:val="000A6AC7"/>
    <w:rsid w:val="000C0591"/>
    <w:rsid w:val="000C0E76"/>
    <w:rsid w:val="000C48CA"/>
    <w:rsid w:val="000D223E"/>
    <w:rsid w:val="000E29D5"/>
    <w:rsid w:val="000E46FD"/>
    <w:rsid w:val="000F133C"/>
    <w:rsid w:val="00103FA3"/>
    <w:rsid w:val="00104886"/>
    <w:rsid w:val="00106105"/>
    <w:rsid w:val="001100F1"/>
    <w:rsid w:val="00112864"/>
    <w:rsid w:val="0012356F"/>
    <w:rsid w:val="00124FD9"/>
    <w:rsid w:val="00125AFA"/>
    <w:rsid w:val="00136D6C"/>
    <w:rsid w:val="001550AC"/>
    <w:rsid w:val="001574BF"/>
    <w:rsid w:val="00161174"/>
    <w:rsid w:val="00165F8C"/>
    <w:rsid w:val="00170373"/>
    <w:rsid w:val="00180147"/>
    <w:rsid w:val="00194A07"/>
    <w:rsid w:val="001966B6"/>
    <w:rsid w:val="001A2185"/>
    <w:rsid w:val="001C24B2"/>
    <w:rsid w:val="001C42A9"/>
    <w:rsid w:val="001C46BF"/>
    <w:rsid w:val="001E241C"/>
    <w:rsid w:val="001F3B7E"/>
    <w:rsid w:val="0020440F"/>
    <w:rsid w:val="00223135"/>
    <w:rsid w:val="00224F72"/>
    <w:rsid w:val="002253CE"/>
    <w:rsid w:val="00233E9E"/>
    <w:rsid w:val="002614F4"/>
    <w:rsid w:val="0026678D"/>
    <w:rsid w:val="00267C31"/>
    <w:rsid w:val="00275276"/>
    <w:rsid w:val="002918AC"/>
    <w:rsid w:val="0029689E"/>
    <w:rsid w:val="002A6C99"/>
    <w:rsid w:val="002D25FD"/>
    <w:rsid w:val="002D534A"/>
    <w:rsid w:val="002E1691"/>
    <w:rsid w:val="002E6C1A"/>
    <w:rsid w:val="002F12B4"/>
    <w:rsid w:val="002F3946"/>
    <w:rsid w:val="003153F1"/>
    <w:rsid w:val="003178F3"/>
    <w:rsid w:val="003207E8"/>
    <w:rsid w:val="00325086"/>
    <w:rsid w:val="00332B2F"/>
    <w:rsid w:val="0033558A"/>
    <w:rsid w:val="0034066A"/>
    <w:rsid w:val="00347505"/>
    <w:rsid w:val="00381205"/>
    <w:rsid w:val="003827F0"/>
    <w:rsid w:val="00382E14"/>
    <w:rsid w:val="00394B06"/>
    <w:rsid w:val="003957DC"/>
    <w:rsid w:val="00396CA4"/>
    <w:rsid w:val="0039791E"/>
    <w:rsid w:val="003A5273"/>
    <w:rsid w:val="003C0E27"/>
    <w:rsid w:val="003C217A"/>
    <w:rsid w:val="003C31D0"/>
    <w:rsid w:val="003D6C7C"/>
    <w:rsid w:val="003F30DF"/>
    <w:rsid w:val="003F364E"/>
    <w:rsid w:val="003F41E5"/>
    <w:rsid w:val="003F5E8B"/>
    <w:rsid w:val="003F6EC8"/>
    <w:rsid w:val="0040098D"/>
    <w:rsid w:val="00401D87"/>
    <w:rsid w:val="00423798"/>
    <w:rsid w:val="00440EF3"/>
    <w:rsid w:val="00443720"/>
    <w:rsid w:val="00445136"/>
    <w:rsid w:val="00454554"/>
    <w:rsid w:val="004549FB"/>
    <w:rsid w:val="00454FCE"/>
    <w:rsid w:val="00456AB0"/>
    <w:rsid w:val="0046243D"/>
    <w:rsid w:val="00465F68"/>
    <w:rsid w:val="00482A2B"/>
    <w:rsid w:val="00491C17"/>
    <w:rsid w:val="004921CF"/>
    <w:rsid w:val="00497906"/>
    <w:rsid w:val="004A7F7A"/>
    <w:rsid w:val="004B6A6A"/>
    <w:rsid w:val="004D2C5C"/>
    <w:rsid w:val="004D6D1E"/>
    <w:rsid w:val="004E712C"/>
    <w:rsid w:val="004E7345"/>
    <w:rsid w:val="004F3677"/>
    <w:rsid w:val="004F750F"/>
    <w:rsid w:val="00504278"/>
    <w:rsid w:val="005060C1"/>
    <w:rsid w:val="00506AA2"/>
    <w:rsid w:val="00512CA9"/>
    <w:rsid w:val="00514368"/>
    <w:rsid w:val="00514A36"/>
    <w:rsid w:val="0051734F"/>
    <w:rsid w:val="005352E3"/>
    <w:rsid w:val="00541476"/>
    <w:rsid w:val="00543419"/>
    <w:rsid w:val="00551693"/>
    <w:rsid w:val="00551742"/>
    <w:rsid w:val="005624F8"/>
    <w:rsid w:val="00575AA0"/>
    <w:rsid w:val="005762D5"/>
    <w:rsid w:val="00586279"/>
    <w:rsid w:val="00595570"/>
    <w:rsid w:val="0059797E"/>
    <w:rsid w:val="005A007D"/>
    <w:rsid w:val="005A3BB4"/>
    <w:rsid w:val="005A6A95"/>
    <w:rsid w:val="005B1825"/>
    <w:rsid w:val="005B1870"/>
    <w:rsid w:val="005C0534"/>
    <w:rsid w:val="005D2CCA"/>
    <w:rsid w:val="005D5170"/>
    <w:rsid w:val="005E5026"/>
    <w:rsid w:val="005E7543"/>
    <w:rsid w:val="00600DDA"/>
    <w:rsid w:val="0060281C"/>
    <w:rsid w:val="0061297B"/>
    <w:rsid w:val="0061422E"/>
    <w:rsid w:val="00625BCD"/>
    <w:rsid w:val="00632033"/>
    <w:rsid w:val="00634A2D"/>
    <w:rsid w:val="00645D54"/>
    <w:rsid w:val="00650B6A"/>
    <w:rsid w:val="00651310"/>
    <w:rsid w:val="00653AD8"/>
    <w:rsid w:val="00663E41"/>
    <w:rsid w:val="00667271"/>
    <w:rsid w:val="00671E0C"/>
    <w:rsid w:val="00677EC0"/>
    <w:rsid w:val="00680797"/>
    <w:rsid w:val="00680E44"/>
    <w:rsid w:val="00682B1D"/>
    <w:rsid w:val="00682D89"/>
    <w:rsid w:val="00683907"/>
    <w:rsid w:val="006A16E2"/>
    <w:rsid w:val="006A21D6"/>
    <w:rsid w:val="006A7ED1"/>
    <w:rsid w:val="006B1173"/>
    <w:rsid w:val="006D2F6F"/>
    <w:rsid w:val="006D3385"/>
    <w:rsid w:val="006E0FB6"/>
    <w:rsid w:val="006F33E9"/>
    <w:rsid w:val="007034A6"/>
    <w:rsid w:val="00704207"/>
    <w:rsid w:val="0070687F"/>
    <w:rsid w:val="007163EC"/>
    <w:rsid w:val="007172D6"/>
    <w:rsid w:val="00724AE4"/>
    <w:rsid w:val="00726E5B"/>
    <w:rsid w:val="00732613"/>
    <w:rsid w:val="00732AB6"/>
    <w:rsid w:val="00742868"/>
    <w:rsid w:val="007445EC"/>
    <w:rsid w:val="007461F4"/>
    <w:rsid w:val="00753E17"/>
    <w:rsid w:val="00757262"/>
    <w:rsid w:val="00762C43"/>
    <w:rsid w:val="00765AD9"/>
    <w:rsid w:val="00771723"/>
    <w:rsid w:val="00781E47"/>
    <w:rsid w:val="0078307A"/>
    <w:rsid w:val="007850DB"/>
    <w:rsid w:val="00787273"/>
    <w:rsid w:val="007903B8"/>
    <w:rsid w:val="00796D05"/>
    <w:rsid w:val="007C25D6"/>
    <w:rsid w:val="007C3F6E"/>
    <w:rsid w:val="007E0717"/>
    <w:rsid w:val="008004B0"/>
    <w:rsid w:val="008041E8"/>
    <w:rsid w:val="00813F66"/>
    <w:rsid w:val="0081502E"/>
    <w:rsid w:val="00825195"/>
    <w:rsid w:val="008324EA"/>
    <w:rsid w:val="008379BC"/>
    <w:rsid w:val="00837FA7"/>
    <w:rsid w:val="0084227B"/>
    <w:rsid w:val="00843A86"/>
    <w:rsid w:val="00846D63"/>
    <w:rsid w:val="00847C19"/>
    <w:rsid w:val="0085037F"/>
    <w:rsid w:val="00854517"/>
    <w:rsid w:val="008637E9"/>
    <w:rsid w:val="008730E4"/>
    <w:rsid w:val="008A2387"/>
    <w:rsid w:val="008A452E"/>
    <w:rsid w:val="008A7336"/>
    <w:rsid w:val="008B167C"/>
    <w:rsid w:val="008B6F91"/>
    <w:rsid w:val="008C3983"/>
    <w:rsid w:val="008F0372"/>
    <w:rsid w:val="008F041E"/>
    <w:rsid w:val="008F3B9E"/>
    <w:rsid w:val="008F69B8"/>
    <w:rsid w:val="008F776E"/>
    <w:rsid w:val="00901ABE"/>
    <w:rsid w:val="00904A80"/>
    <w:rsid w:val="00915CAE"/>
    <w:rsid w:val="00930B89"/>
    <w:rsid w:val="0095666C"/>
    <w:rsid w:val="00957C41"/>
    <w:rsid w:val="009603ED"/>
    <w:rsid w:val="00966281"/>
    <w:rsid w:val="00970C35"/>
    <w:rsid w:val="0098213F"/>
    <w:rsid w:val="0098782B"/>
    <w:rsid w:val="0099489A"/>
    <w:rsid w:val="009E6482"/>
    <w:rsid w:val="009F1DBE"/>
    <w:rsid w:val="009F4541"/>
    <w:rsid w:val="009F46C2"/>
    <w:rsid w:val="00A03546"/>
    <w:rsid w:val="00A044BD"/>
    <w:rsid w:val="00A115BB"/>
    <w:rsid w:val="00A21608"/>
    <w:rsid w:val="00A30E60"/>
    <w:rsid w:val="00A358C0"/>
    <w:rsid w:val="00A35937"/>
    <w:rsid w:val="00A418D6"/>
    <w:rsid w:val="00A41996"/>
    <w:rsid w:val="00A450C1"/>
    <w:rsid w:val="00A53C30"/>
    <w:rsid w:val="00A561FF"/>
    <w:rsid w:val="00A60B19"/>
    <w:rsid w:val="00A664BC"/>
    <w:rsid w:val="00A71BAD"/>
    <w:rsid w:val="00A81D1C"/>
    <w:rsid w:val="00AA4943"/>
    <w:rsid w:val="00AA524E"/>
    <w:rsid w:val="00AA761F"/>
    <w:rsid w:val="00AB2739"/>
    <w:rsid w:val="00AB5D06"/>
    <w:rsid w:val="00AB796C"/>
    <w:rsid w:val="00AC64A6"/>
    <w:rsid w:val="00AC74FE"/>
    <w:rsid w:val="00AD03CF"/>
    <w:rsid w:val="00AD1F03"/>
    <w:rsid w:val="00AD441E"/>
    <w:rsid w:val="00AD4E0E"/>
    <w:rsid w:val="00AD52F3"/>
    <w:rsid w:val="00AD6623"/>
    <w:rsid w:val="00AE40E3"/>
    <w:rsid w:val="00B063AC"/>
    <w:rsid w:val="00B13708"/>
    <w:rsid w:val="00B14F28"/>
    <w:rsid w:val="00B20FB3"/>
    <w:rsid w:val="00B334C5"/>
    <w:rsid w:val="00B404FB"/>
    <w:rsid w:val="00B43F6A"/>
    <w:rsid w:val="00B46127"/>
    <w:rsid w:val="00B50061"/>
    <w:rsid w:val="00B77147"/>
    <w:rsid w:val="00B87C90"/>
    <w:rsid w:val="00B9746E"/>
    <w:rsid w:val="00BA4EFB"/>
    <w:rsid w:val="00BB03A1"/>
    <w:rsid w:val="00BB1475"/>
    <w:rsid w:val="00BB1FD1"/>
    <w:rsid w:val="00BB3494"/>
    <w:rsid w:val="00BB513A"/>
    <w:rsid w:val="00BC730E"/>
    <w:rsid w:val="00BD3CDA"/>
    <w:rsid w:val="00BF1126"/>
    <w:rsid w:val="00BF1182"/>
    <w:rsid w:val="00BF2D83"/>
    <w:rsid w:val="00C10CA4"/>
    <w:rsid w:val="00C11480"/>
    <w:rsid w:val="00C15752"/>
    <w:rsid w:val="00C33E10"/>
    <w:rsid w:val="00C353C3"/>
    <w:rsid w:val="00C40239"/>
    <w:rsid w:val="00C47E77"/>
    <w:rsid w:val="00C50256"/>
    <w:rsid w:val="00C5074A"/>
    <w:rsid w:val="00C51892"/>
    <w:rsid w:val="00C60E9B"/>
    <w:rsid w:val="00C62676"/>
    <w:rsid w:val="00C67E73"/>
    <w:rsid w:val="00C73D3F"/>
    <w:rsid w:val="00C76B67"/>
    <w:rsid w:val="00CA1BD8"/>
    <w:rsid w:val="00CB17C0"/>
    <w:rsid w:val="00CC51FF"/>
    <w:rsid w:val="00CC64E7"/>
    <w:rsid w:val="00CE0149"/>
    <w:rsid w:val="00CE2D77"/>
    <w:rsid w:val="00CE3F89"/>
    <w:rsid w:val="00CF106D"/>
    <w:rsid w:val="00CF1640"/>
    <w:rsid w:val="00CF2FFA"/>
    <w:rsid w:val="00D126C2"/>
    <w:rsid w:val="00D12DD1"/>
    <w:rsid w:val="00D14E1B"/>
    <w:rsid w:val="00D1551A"/>
    <w:rsid w:val="00D177CF"/>
    <w:rsid w:val="00D219BA"/>
    <w:rsid w:val="00D24AFA"/>
    <w:rsid w:val="00D26C38"/>
    <w:rsid w:val="00D31936"/>
    <w:rsid w:val="00D4168D"/>
    <w:rsid w:val="00D43823"/>
    <w:rsid w:val="00D454C0"/>
    <w:rsid w:val="00D456E2"/>
    <w:rsid w:val="00D46E7B"/>
    <w:rsid w:val="00D51F07"/>
    <w:rsid w:val="00D52206"/>
    <w:rsid w:val="00D53866"/>
    <w:rsid w:val="00D53E70"/>
    <w:rsid w:val="00D60E3E"/>
    <w:rsid w:val="00D647D5"/>
    <w:rsid w:val="00D67D18"/>
    <w:rsid w:val="00D747B2"/>
    <w:rsid w:val="00D76F6E"/>
    <w:rsid w:val="00D87189"/>
    <w:rsid w:val="00D92163"/>
    <w:rsid w:val="00D940F0"/>
    <w:rsid w:val="00D971A8"/>
    <w:rsid w:val="00DA2267"/>
    <w:rsid w:val="00DA5FB9"/>
    <w:rsid w:val="00DB026D"/>
    <w:rsid w:val="00DB1D06"/>
    <w:rsid w:val="00DB7F63"/>
    <w:rsid w:val="00DC3788"/>
    <w:rsid w:val="00DC3ADD"/>
    <w:rsid w:val="00DD5FCF"/>
    <w:rsid w:val="00DE050A"/>
    <w:rsid w:val="00DE0ABE"/>
    <w:rsid w:val="00DE54FF"/>
    <w:rsid w:val="00DE6B9F"/>
    <w:rsid w:val="00DF08DA"/>
    <w:rsid w:val="00E03081"/>
    <w:rsid w:val="00E049EC"/>
    <w:rsid w:val="00E04E2C"/>
    <w:rsid w:val="00E12757"/>
    <w:rsid w:val="00E63566"/>
    <w:rsid w:val="00E65BB7"/>
    <w:rsid w:val="00E71BED"/>
    <w:rsid w:val="00E74040"/>
    <w:rsid w:val="00E81BBD"/>
    <w:rsid w:val="00E82AFE"/>
    <w:rsid w:val="00E849C5"/>
    <w:rsid w:val="00E85725"/>
    <w:rsid w:val="00E96526"/>
    <w:rsid w:val="00EA3E94"/>
    <w:rsid w:val="00EB1219"/>
    <w:rsid w:val="00EB2D6D"/>
    <w:rsid w:val="00EB53A0"/>
    <w:rsid w:val="00EB5791"/>
    <w:rsid w:val="00EB6149"/>
    <w:rsid w:val="00EB76C6"/>
    <w:rsid w:val="00EC08D7"/>
    <w:rsid w:val="00EC5791"/>
    <w:rsid w:val="00EC6AEA"/>
    <w:rsid w:val="00ED06FB"/>
    <w:rsid w:val="00EE11D3"/>
    <w:rsid w:val="00EF3168"/>
    <w:rsid w:val="00F04C63"/>
    <w:rsid w:val="00F10C3B"/>
    <w:rsid w:val="00F13BD4"/>
    <w:rsid w:val="00F32001"/>
    <w:rsid w:val="00F3505E"/>
    <w:rsid w:val="00F429CE"/>
    <w:rsid w:val="00F566F3"/>
    <w:rsid w:val="00F70B18"/>
    <w:rsid w:val="00F72D52"/>
    <w:rsid w:val="00F822E5"/>
    <w:rsid w:val="00F92122"/>
    <w:rsid w:val="00F927B2"/>
    <w:rsid w:val="00FB3287"/>
    <w:rsid w:val="00FB354F"/>
    <w:rsid w:val="00FB5CAD"/>
    <w:rsid w:val="00FD3B78"/>
    <w:rsid w:val="00FE6F98"/>
    <w:rsid w:val="00FE7462"/>
    <w:rsid w:val="00FF0F32"/>
    <w:rsid w:val="00FF1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D741CBB-2617-46E2-970D-D160CE4A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42"/>
    <w:rPr>
      <w:sz w:val="24"/>
      <w:lang w:val="sv-SE" w:eastAsia="ko-KR"/>
    </w:rPr>
  </w:style>
  <w:style w:type="paragraph" w:styleId="Rubrik1">
    <w:name w:val="heading 1"/>
    <w:basedOn w:val="Normal"/>
    <w:next w:val="Normal"/>
    <w:qFormat/>
    <w:rsid w:val="00625BCD"/>
    <w:pPr>
      <w:keepNext/>
      <w:spacing w:before="240" w:after="60"/>
      <w:outlineLvl w:val="0"/>
    </w:pPr>
    <w:rPr>
      <w:rFonts w:ascii="Arial" w:hAnsi="Arial" w:cs="Arial"/>
      <w:b/>
      <w:bCs/>
      <w:kern w:val="32"/>
      <w:sz w:val="32"/>
      <w:szCs w:val="32"/>
    </w:rPr>
  </w:style>
  <w:style w:type="paragraph" w:styleId="Rubrik5">
    <w:name w:val="heading 5"/>
    <w:basedOn w:val="Normal"/>
    <w:next w:val="Normal"/>
    <w:qFormat/>
    <w:rsid w:val="00F3505E"/>
    <w:pPr>
      <w:keepNext/>
      <w:outlineLvl w:val="4"/>
    </w:pPr>
    <w:rPr>
      <w:rFonts w:ascii="Garamond" w:hAnsi="Garamond"/>
      <w:i/>
      <w:iCs/>
      <w:sz w:val="26"/>
      <w:szCs w:val="24"/>
      <w:lang w:eastAsia="da-DK"/>
    </w:rPr>
  </w:style>
  <w:style w:type="character" w:default="1" w:styleId="Standardstycketeckensnitt">
    <w:name w:val="Default Paragraph Font"/>
    <w:aliases w:val=" Char Char Char Char"/>
    <w:link w:val="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551742"/>
    <w:pPr>
      <w:tabs>
        <w:tab w:val="center" w:pos="4153"/>
        <w:tab w:val="right" w:pos="8306"/>
      </w:tabs>
    </w:pPr>
  </w:style>
  <w:style w:type="paragraph" w:styleId="Sidfot">
    <w:name w:val="footer"/>
    <w:basedOn w:val="Normal"/>
    <w:rsid w:val="00551742"/>
    <w:pPr>
      <w:tabs>
        <w:tab w:val="center" w:pos="4153"/>
        <w:tab w:val="right" w:pos="8306"/>
      </w:tabs>
    </w:pPr>
  </w:style>
  <w:style w:type="character" w:styleId="Sidnummer">
    <w:name w:val="page number"/>
    <w:basedOn w:val="Standardstycketeckensnitt"/>
    <w:rsid w:val="00551742"/>
  </w:style>
  <w:style w:type="character" w:customStyle="1" w:styleId="DefaultMargins">
    <w:name w:val="DefaultMargins"/>
    <w:basedOn w:val="Standardstycketeckensnitt"/>
    <w:rsid w:val="00551742"/>
    <w:rPr>
      <w:rFonts w:ascii="Courier New" w:hAnsi="Courier New"/>
      <w:noProof w:val="0"/>
      <w:sz w:val="24"/>
      <w:lang w:val="en-US"/>
    </w:rPr>
  </w:style>
  <w:style w:type="paragraph" w:customStyle="1" w:styleId="RKnormal">
    <w:name w:val="RKnormal"/>
    <w:basedOn w:val="Normal"/>
    <w:rsid w:val="002E6C1A"/>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Brdtext">
    <w:name w:val="Body Text"/>
    <w:basedOn w:val="Normal"/>
    <w:rsid w:val="002E6C1A"/>
    <w:pPr>
      <w:jc w:val="both"/>
    </w:pPr>
  </w:style>
  <w:style w:type="table" w:styleId="Tabellrutnt">
    <w:name w:val="Table Grid"/>
    <w:basedOn w:val="Normaltabell"/>
    <w:rsid w:val="00161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EC5791"/>
    <w:rPr>
      <w:rFonts w:ascii="Tahoma" w:hAnsi="Tahoma" w:cs="Tahoma"/>
      <w:sz w:val="16"/>
      <w:szCs w:val="16"/>
    </w:rPr>
  </w:style>
  <w:style w:type="paragraph" w:styleId="Fotnotstext">
    <w:name w:val="footnote text"/>
    <w:basedOn w:val="Normal"/>
    <w:semiHidden/>
    <w:rsid w:val="00A81D1C"/>
    <w:rPr>
      <w:sz w:val="20"/>
    </w:rPr>
  </w:style>
  <w:style w:type="character" w:styleId="Fotnotsreferens">
    <w:name w:val="footnote reference"/>
    <w:basedOn w:val="Standardstycketeckensnitt"/>
    <w:semiHidden/>
    <w:rsid w:val="00A81D1C"/>
    <w:rPr>
      <w:vertAlign w:val="superscript"/>
    </w:rPr>
  </w:style>
  <w:style w:type="character" w:customStyle="1" w:styleId="msoins0">
    <w:name w:val="msoins0"/>
    <w:basedOn w:val="Standardstycketeckensnitt"/>
    <w:rsid w:val="00B063AC"/>
  </w:style>
  <w:style w:type="paragraph" w:styleId="Brdtext2">
    <w:name w:val="Body Text 2"/>
    <w:basedOn w:val="Normal"/>
    <w:rsid w:val="00F3505E"/>
    <w:rPr>
      <w:rFonts w:ascii="Garamond" w:hAnsi="Garamond"/>
      <w:b/>
      <w:bCs/>
      <w:sz w:val="28"/>
      <w:szCs w:val="24"/>
      <w:lang w:eastAsia="da-DK"/>
    </w:rPr>
  </w:style>
  <w:style w:type="paragraph" w:customStyle="1" w:styleId="Par-equal">
    <w:name w:val="Par-equal"/>
    <w:basedOn w:val="Normal"/>
    <w:next w:val="Normal"/>
    <w:rsid w:val="00072BB1"/>
    <w:pPr>
      <w:widowControl w:val="0"/>
      <w:numPr>
        <w:numId w:val="35"/>
      </w:numPr>
      <w:spacing w:line="360" w:lineRule="auto"/>
    </w:pPr>
    <w:rPr>
      <w:lang w:eastAsia="fr-BE"/>
    </w:rPr>
  </w:style>
  <w:style w:type="paragraph" w:customStyle="1" w:styleId="Par-number1">
    <w:name w:val="Par-number 1."/>
    <w:basedOn w:val="Normal"/>
    <w:next w:val="Normal"/>
    <w:rsid w:val="00072BB1"/>
    <w:pPr>
      <w:widowControl w:val="0"/>
      <w:tabs>
        <w:tab w:val="num" w:pos="360"/>
      </w:tabs>
      <w:spacing w:line="360" w:lineRule="auto"/>
    </w:pPr>
    <w:rPr>
      <w:lang w:eastAsia="fr-BE"/>
    </w:rPr>
  </w:style>
  <w:style w:type="paragraph" w:customStyle="1" w:styleId="Text1">
    <w:name w:val="Text 1"/>
    <w:basedOn w:val="Normal"/>
    <w:rsid w:val="00AD52F3"/>
    <w:pPr>
      <w:spacing w:before="120" w:after="120"/>
      <w:ind w:left="850"/>
      <w:jc w:val="both"/>
    </w:pPr>
    <w:rPr>
      <w:lang w:eastAsia="zh-CN"/>
    </w:rPr>
  </w:style>
  <w:style w:type="paragraph" w:customStyle="1" w:styleId="CharCharChar">
    <w:name w:val=" Char Char Char"/>
    <w:basedOn w:val="Normal"/>
    <w:link w:val="Standardstycketeckensnitt"/>
    <w:rsid w:val="00FD3B78"/>
    <w:pPr>
      <w:spacing w:after="160" w:line="240" w:lineRule="exact"/>
    </w:pPr>
    <w:rPr>
      <w:rFonts w:ascii="Tahoma" w:hAnsi="Tahoma"/>
      <w:sz w:val="20"/>
      <w:lang w:val="en-US" w:eastAsia="en-US"/>
    </w:rPr>
  </w:style>
  <w:style w:type="paragraph" w:styleId="Dokumentversikt">
    <w:name w:val="Document Map"/>
    <w:basedOn w:val="Normal"/>
    <w:semiHidden/>
    <w:rsid w:val="00682B1D"/>
    <w:pPr>
      <w:shd w:val="clear" w:color="auto" w:fill="000080"/>
    </w:pPr>
    <w:rPr>
      <w:rFonts w:ascii="Tahoma" w:hAnsi="Tahoma" w:cs="Tahoma"/>
    </w:rPr>
  </w:style>
  <w:style w:type="paragraph" w:customStyle="1" w:styleId="EntInstit">
    <w:name w:val="EntInstit"/>
    <w:basedOn w:val="NormalConseil"/>
    <w:rsid w:val="00C47E77"/>
    <w:pPr>
      <w:jc w:val="right"/>
    </w:pPr>
    <w:rPr>
      <w:b/>
    </w:rPr>
  </w:style>
  <w:style w:type="paragraph" w:customStyle="1" w:styleId="NormalConseil">
    <w:name w:val="NormalConseil"/>
    <w:basedOn w:val="Normal"/>
    <w:rsid w:val="00C47E77"/>
    <w:rPr>
      <w:lang w:eastAsia="fr-BE"/>
    </w:rPr>
  </w:style>
  <w:style w:type="paragraph" w:customStyle="1" w:styleId="EntRefer">
    <w:name w:val="EntRefer"/>
    <w:basedOn w:val="NormalConseil"/>
    <w:rsid w:val="00C47E77"/>
    <w:rPr>
      <w:b/>
    </w:rPr>
  </w:style>
  <w:style w:type="paragraph" w:customStyle="1" w:styleId="EntEmet">
    <w:name w:val="EntEmet"/>
    <w:basedOn w:val="NormalConseil"/>
    <w:rsid w:val="00C47E77"/>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C47E77"/>
    <w:pPr>
      <w:spacing w:line="360" w:lineRule="auto"/>
    </w:pPr>
    <w:rPr>
      <w:b/>
    </w:rPr>
  </w:style>
  <w:style w:type="paragraph" w:customStyle="1" w:styleId="FooterConseil">
    <w:name w:val="FooterConseil"/>
    <w:basedOn w:val="NormalConseil"/>
    <w:rsid w:val="00C47E77"/>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1379</Words>
  <Characters>7797</Characters>
  <Application>Microsoft Office Word</Application>
  <DocSecurity>4</DocSecurity>
  <Lines>185</Lines>
  <Paragraphs>61</Paragraphs>
  <ScaleCrop>false</ScaleCrop>
  <HeadingPairs>
    <vt:vector size="2" baseType="variant">
      <vt:variant>
        <vt:lpstr>Title</vt:lpstr>
      </vt:variant>
      <vt:variant>
        <vt:i4>1</vt:i4>
      </vt:variant>
    </vt:vector>
  </HeadingPairs>
  <TitlesOfParts>
    <vt:vector size="1" baseType="lpstr">
      <vt:lpstr>Brussels, 26 April 2005</vt:lpstr>
    </vt:vector>
  </TitlesOfParts>
  <Company>European Commission</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Brussels, 26 April 2005</dc:title>
  <dc:subject>Brussels, 26 April 2005</dc:subject>
  <dc:creator>Riksdagen</dc:creator>
  <cp:keywords>Riksdagen</cp:keywords>
  <dc:description/>
  <cp:lastModifiedBy>Lars Brink</cp:lastModifiedBy>
  <cp:revision>2</cp:revision>
  <cp:lastPrinted>2006-05-19T13:25:00Z</cp:lastPrinted>
  <dcterms:created xsi:type="dcterms:W3CDTF">2025-12-16T23:10:00Z</dcterms:created>
  <dcterms:modified xsi:type="dcterms:W3CDTF">2025-12-16T23:10:00Z</dcterms:modified>
</cp:coreProperties>
</file>