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761C1">
        <w:tblPrEx>
          <w:tblCellMar>
            <w:top w:w="0" w:type="dxa"/>
            <w:bottom w:w="0" w:type="dxa"/>
          </w:tblCellMar>
        </w:tblPrEx>
        <w:trPr>
          <w:cantSplit/>
          <w:trHeight w:hRule="exact" w:val="1260"/>
        </w:trPr>
        <w:tc>
          <w:tcPr>
            <w:tcW w:w="6024" w:type="dxa"/>
            <w:gridSpan w:val="2"/>
            <w:vMerge w:val="restart"/>
          </w:tcPr>
          <w:p w:rsidR="0077093B" w:rsidRPr="000761C1" w:rsidRDefault="0077093B">
            <w:pPr>
              <w:pStyle w:val="HuvudRubrik"/>
            </w:pPr>
            <w:bookmarkStart w:id="0" w:name="BetänkandeRubrik"/>
            <w:bookmarkEnd w:id="0"/>
            <w:r w:rsidRPr="000761C1">
              <w:t>Utrikesutskottets betänkande</w:t>
            </w:r>
            <w:r w:rsidR="000761C1" w:rsidRPr="000761C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61398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7093B" w:rsidRPr="000761C1" w:rsidRDefault="0077093B">
                                  <w:pPr>
                                    <w:pStyle w:val="Logo"/>
                                  </w:pPr>
                                  <w:r w:rsidRPr="000761C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78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7093B" w:rsidRPr="000761C1" w:rsidRDefault="0077093B">
                            <w:pPr>
                              <w:pStyle w:val="Logo"/>
                            </w:pPr>
                            <w:r w:rsidRPr="000761C1">
                              <w:object w:dxaOrig="840" w:dyaOrig="1545">
                                <v:shape id="_x0000_i1025" type="#_x0000_t75" style="width:90.45pt;height:77.15pt" fillcolor="window">
                                  <v:imagedata r:id="rId7" o:title="" cropright="-75835f"/>
                                </v:shape>
                                <o:OLEObject Type="Embed" ProgID="Word.Picture.8" ShapeID="_x0000_i1025" DrawAspect="Content" ObjectID="_1827352789" r:id="rId9"/>
                              </w:object>
                            </w:r>
                          </w:p>
                        </w:txbxContent>
                      </v:textbox>
                      <w10:wrap anchorx="page" anchory="page"/>
                    </v:shape>
                  </w:pict>
                </mc:Fallback>
              </mc:AlternateContent>
            </w:r>
          </w:p>
          <w:p w:rsidR="0077093B" w:rsidRPr="000761C1" w:rsidRDefault="0077093B">
            <w:pPr>
              <w:pStyle w:val="HuvudRubrikRad2"/>
            </w:pPr>
            <w:bookmarkStart w:id="17" w:name="BetänkandeNr"/>
            <w:bookmarkEnd w:id="17"/>
            <w:r w:rsidRPr="000761C1">
              <w:t>2000/01:UU6</w:t>
            </w:r>
          </w:p>
          <w:p w:rsidR="0077093B" w:rsidRPr="000761C1" w:rsidRDefault="0077093B">
            <w:pPr>
              <w:pStyle w:val="BetnkandeRubrik"/>
            </w:pPr>
            <w:bookmarkStart w:id="18" w:name="Huvudrubrik"/>
            <w:bookmarkEnd w:id="18"/>
            <w:r w:rsidRPr="000761C1">
              <w:t>Avtalet mellan Europeiska gemenskapen och dess medlemsstater å ena sidan och Schweiz å andra s</w:t>
            </w:r>
            <w:r w:rsidRPr="000761C1">
              <w:t>i</w:t>
            </w:r>
            <w:r w:rsidRPr="000761C1">
              <w:t>dan. Ett avtal inom sju sektorer.</w:t>
            </w:r>
          </w:p>
        </w:tc>
        <w:tc>
          <w:tcPr>
            <w:tcW w:w="1559" w:type="dxa"/>
            <w:tcBorders>
              <w:bottom w:val="nil"/>
            </w:tcBorders>
          </w:tcPr>
          <w:p w:rsidR="0077093B" w:rsidRPr="000761C1" w:rsidRDefault="0077093B">
            <w:pPr>
              <w:spacing w:before="0" w:line="230" w:lineRule="auto"/>
              <w:rPr>
                <w:sz w:val="24"/>
              </w:rPr>
            </w:pPr>
          </w:p>
        </w:tc>
      </w:tr>
      <w:tr w:rsidR="00000000" w:rsidRPr="000761C1">
        <w:tblPrEx>
          <w:tblCellMar>
            <w:top w:w="0" w:type="dxa"/>
            <w:bottom w:w="0" w:type="dxa"/>
          </w:tblCellMar>
        </w:tblPrEx>
        <w:trPr>
          <w:cantSplit/>
          <w:trHeight w:hRule="exact" w:val="240"/>
        </w:trPr>
        <w:tc>
          <w:tcPr>
            <w:tcW w:w="6024" w:type="dxa"/>
            <w:gridSpan w:val="2"/>
            <w:vMerge/>
            <w:tcBorders>
              <w:top w:val="nil"/>
              <w:bottom w:val="nil"/>
            </w:tcBorders>
          </w:tcPr>
          <w:p w:rsidR="0077093B" w:rsidRPr="000761C1" w:rsidRDefault="0077093B">
            <w:pPr>
              <w:spacing w:before="40" w:after="900" w:line="280" w:lineRule="exact"/>
              <w:jc w:val="left"/>
              <w:rPr>
                <w:sz w:val="28"/>
              </w:rPr>
            </w:pPr>
          </w:p>
        </w:tc>
        <w:tc>
          <w:tcPr>
            <w:tcW w:w="1559" w:type="dxa"/>
          </w:tcPr>
          <w:p w:rsidR="0077093B" w:rsidRPr="000761C1" w:rsidRDefault="0077093B">
            <w:pPr>
              <w:pStyle w:val="rtal"/>
            </w:pPr>
            <w:r w:rsidRPr="000761C1">
              <w:t>2000/01</w:t>
            </w:r>
          </w:p>
        </w:tc>
      </w:tr>
      <w:tr w:rsidR="00000000" w:rsidRPr="000761C1">
        <w:tblPrEx>
          <w:tblCellMar>
            <w:top w:w="0" w:type="dxa"/>
            <w:bottom w:w="0" w:type="dxa"/>
          </w:tblCellMar>
        </w:tblPrEx>
        <w:trPr>
          <w:cantSplit/>
          <w:trHeight w:val="560"/>
        </w:trPr>
        <w:tc>
          <w:tcPr>
            <w:tcW w:w="6024" w:type="dxa"/>
            <w:gridSpan w:val="2"/>
            <w:vMerge/>
            <w:tcBorders>
              <w:top w:val="nil"/>
              <w:bottom w:val="single" w:sz="6" w:space="0" w:color="auto"/>
            </w:tcBorders>
          </w:tcPr>
          <w:p w:rsidR="0077093B" w:rsidRPr="000761C1" w:rsidRDefault="0077093B">
            <w:pPr>
              <w:spacing w:before="40" w:after="900" w:line="280" w:lineRule="exact"/>
              <w:jc w:val="left"/>
              <w:rPr>
                <w:sz w:val="28"/>
              </w:rPr>
            </w:pPr>
          </w:p>
        </w:tc>
        <w:tc>
          <w:tcPr>
            <w:tcW w:w="1559" w:type="dxa"/>
            <w:tcBorders>
              <w:bottom w:val="single" w:sz="6" w:space="0" w:color="auto"/>
            </w:tcBorders>
          </w:tcPr>
          <w:p w:rsidR="0077093B" w:rsidRPr="000761C1" w:rsidRDefault="0077093B">
            <w:pPr>
              <w:pStyle w:val="rtal"/>
            </w:pPr>
            <w:r w:rsidRPr="000761C1">
              <w:t>UU6</w:t>
            </w:r>
          </w:p>
        </w:tc>
      </w:tr>
      <w:tr w:rsidR="00000000" w:rsidRPr="000761C1">
        <w:tblPrEx>
          <w:tblCellMar>
            <w:top w:w="0" w:type="dxa"/>
            <w:bottom w:w="0" w:type="dxa"/>
          </w:tblCellMar>
        </w:tblPrEx>
        <w:trPr>
          <w:cantSplit/>
          <w:trHeight w:hRule="exact" w:val="660"/>
        </w:trPr>
        <w:tc>
          <w:tcPr>
            <w:tcW w:w="3012" w:type="dxa"/>
          </w:tcPr>
          <w:p w:rsidR="0077093B" w:rsidRPr="000761C1" w:rsidRDefault="0077093B">
            <w:pPr>
              <w:pStyle w:val="StatusSida1"/>
            </w:pPr>
            <w:r w:rsidRPr="000761C1">
              <w:t xml:space="preserve"> </w:t>
            </w:r>
          </w:p>
          <w:p w:rsidR="0077093B" w:rsidRPr="000761C1" w:rsidRDefault="0077093B">
            <w:pPr>
              <w:pStyle w:val="StatusSida1"/>
            </w:pPr>
          </w:p>
        </w:tc>
        <w:tc>
          <w:tcPr>
            <w:tcW w:w="3012" w:type="dxa"/>
          </w:tcPr>
          <w:p w:rsidR="0077093B" w:rsidRPr="000761C1" w:rsidRDefault="0077093B">
            <w:pPr>
              <w:pStyle w:val="UtskriftsdatumSida1"/>
              <w:rPr>
                <w:b/>
                <w:sz w:val="28"/>
              </w:rPr>
            </w:pPr>
          </w:p>
        </w:tc>
        <w:tc>
          <w:tcPr>
            <w:tcW w:w="1559" w:type="dxa"/>
          </w:tcPr>
          <w:p w:rsidR="0077093B" w:rsidRPr="000761C1" w:rsidRDefault="0077093B"/>
        </w:tc>
      </w:tr>
    </w:tbl>
    <w:p w:rsidR="0077093B" w:rsidRPr="000761C1" w:rsidRDefault="0077093B">
      <w:pPr>
        <w:pStyle w:val="Rubrik1"/>
        <w:spacing w:before="0"/>
      </w:pPr>
      <w:bookmarkStart w:id="19" w:name="_Toc505417739"/>
      <w:r w:rsidRPr="000761C1">
        <w:t>Sammanfattning</w:t>
      </w:r>
      <w:bookmarkEnd w:id="19"/>
    </w:p>
    <w:p w:rsidR="0077093B" w:rsidRPr="000761C1" w:rsidRDefault="0077093B">
      <w:bookmarkStart w:id="20" w:name="Textstart"/>
      <w:bookmarkEnd w:id="20"/>
      <w:r w:rsidRPr="000761C1">
        <w:t>Utskottet tillstyrker i detta betänkande regeringens förslag om godkännande av avtalet mellan Europeiska gemenskapen och dess medlemsstater å ena sidan och Schweiz å andra sidan om fri rörlighet för personer. Avtalet ingår i ett gemensamt paket tillsammans med sex EG-avtal med Schweiz rörande transporter m.m. Riksdagen har endast att ta ställning till avtalet om fri rö</w:t>
      </w:r>
      <w:r w:rsidRPr="000761C1">
        <w:t>r</w:t>
      </w:r>
      <w:r w:rsidRPr="000761C1">
        <w:t>ligheter för personer. Avtalet medför vissa lagändringar som även tillstyrks av utskottet.</w:t>
      </w:r>
    </w:p>
    <w:p w:rsidR="0077093B" w:rsidRPr="000761C1" w:rsidRDefault="0077093B">
      <w:pPr>
        <w:pStyle w:val="Normaltindrag"/>
      </w:pPr>
      <w:r w:rsidRPr="000761C1">
        <w:t>Inga motioner har väckts med anledning av betänkandet.</w:t>
      </w:r>
    </w:p>
    <w:p w:rsidR="0077093B" w:rsidRPr="000761C1" w:rsidRDefault="0077093B">
      <w:pPr>
        <w:pStyle w:val="Normaltindrag"/>
      </w:pPr>
    </w:p>
    <w:p w:rsidR="0077093B" w:rsidRPr="000761C1" w:rsidRDefault="0077093B">
      <w:pPr>
        <w:pStyle w:val="Rubrik1"/>
      </w:pPr>
      <w:bookmarkStart w:id="21" w:name="_Toc505417740"/>
      <w:r w:rsidRPr="000761C1">
        <w:t>Propositionen</w:t>
      </w:r>
      <w:bookmarkEnd w:id="21"/>
    </w:p>
    <w:p w:rsidR="0077093B" w:rsidRPr="000761C1" w:rsidRDefault="0077093B">
      <w:r w:rsidRPr="000761C1">
        <w:t xml:space="preserve">Regeringen föreslår i proposition 2000/01:55 Avtalet mellan Europeiska gemenskapen och dess medlemsstater å ena sidan och Schweiz å andra sidan. Ett avtal inom sju sektorer, att riksdagen </w:t>
      </w:r>
    </w:p>
    <w:p w:rsidR="0077093B" w:rsidRPr="000761C1" w:rsidRDefault="0077093B">
      <w:pPr>
        <w:pStyle w:val="Normaltindrag"/>
      </w:pPr>
      <w:r w:rsidRPr="000761C1">
        <w:rPr>
          <w:i/>
        </w:rPr>
        <w:t>dels</w:t>
      </w:r>
      <w:r w:rsidRPr="000761C1">
        <w:t xml:space="preserve"> godkänner </w:t>
      </w:r>
    </w:p>
    <w:p w:rsidR="0077093B" w:rsidRPr="000761C1" w:rsidRDefault="0077093B">
      <w:pPr>
        <w:pStyle w:val="Normaltindrag"/>
      </w:pPr>
      <w:r w:rsidRPr="000761C1">
        <w:t>avtalet mellan Europeiska gemenskapen och dess medlemsstater å ena s</w:t>
      </w:r>
      <w:r w:rsidRPr="000761C1">
        <w:t>i</w:t>
      </w:r>
      <w:r w:rsidRPr="000761C1">
        <w:t>dan och Schweiz å andra sidan om fri rörlighet för personer,</w:t>
      </w:r>
    </w:p>
    <w:p w:rsidR="0077093B" w:rsidRPr="000761C1" w:rsidRDefault="0077093B">
      <w:pPr>
        <w:pStyle w:val="Normaltindrag"/>
      </w:pPr>
      <w:r w:rsidRPr="000761C1">
        <w:rPr>
          <w:i/>
        </w:rPr>
        <w:t>dels</w:t>
      </w:r>
      <w:r w:rsidRPr="000761C1">
        <w:t xml:space="preserve"> antar regeringens förslag till </w:t>
      </w:r>
    </w:p>
    <w:p w:rsidR="0077093B" w:rsidRPr="000761C1" w:rsidRDefault="0077093B">
      <w:pPr>
        <w:pStyle w:val="Normaltindrag"/>
      </w:pPr>
      <w:r w:rsidRPr="000761C1">
        <w:t>1. lag om ändring i rättegångsbalken,</w:t>
      </w:r>
    </w:p>
    <w:p w:rsidR="0077093B" w:rsidRPr="000761C1" w:rsidRDefault="0077093B">
      <w:pPr>
        <w:pStyle w:val="Normaltindrag"/>
      </w:pPr>
      <w:r w:rsidRPr="000761C1">
        <w:t>2. lag om ändring i lagen (1946:819) om upptagande av ed för rättighets tillvaratagande i utlandet,</w:t>
      </w:r>
    </w:p>
    <w:p w:rsidR="0077093B" w:rsidRPr="000761C1" w:rsidRDefault="0077093B">
      <w:pPr>
        <w:pStyle w:val="Normaltindrag"/>
      </w:pPr>
      <w:r w:rsidRPr="000761C1">
        <w:t>3. lag om ändring i passlagen (1978:302),</w:t>
      </w:r>
    </w:p>
    <w:p w:rsidR="0077093B" w:rsidRPr="000761C1" w:rsidRDefault="0077093B">
      <w:pPr>
        <w:pStyle w:val="Normaltindrag"/>
      </w:pPr>
      <w:r w:rsidRPr="000761C1">
        <w:t>4. lag om ändring i utlänningslagen (1989:529),</w:t>
      </w:r>
    </w:p>
    <w:p w:rsidR="0077093B" w:rsidRPr="000761C1" w:rsidRDefault="0077093B">
      <w:pPr>
        <w:pStyle w:val="Normaltindrag"/>
      </w:pPr>
      <w:r w:rsidRPr="000761C1">
        <w:t>5. lag om ändring i lagen (1990:515) om auktorisation av handels</w:t>
      </w:r>
      <w:r w:rsidRPr="000761C1">
        <w:softHyphen/>
        <w:t>kamrar,</w:t>
      </w:r>
    </w:p>
    <w:p w:rsidR="0077093B" w:rsidRPr="000761C1" w:rsidRDefault="0077093B">
      <w:pPr>
        <w:pStyle w:val="Normaltindrag"/>
      </w:pPr>
      <w:r w:rsidRPr="000761C1">
        <w:t>6. lag om ändring i lagen (1995:528) om revisorer,</w:t>
      </w:r>
    </w:p>
    <w:p w:rsidR="0077093B" w:rsidRPr="000761C1" w:rsidRDefault="0077093B">
      <w:pPr>
        <w:pStyle w:val="Normaltindrag"/>
      </w:pPr>
      <w:r w:rsidRPr="000761C1">
        <w:t>7. lag om ändring i lagen (1997:238) om arbetslöshetsförsäkring,</w:t>
      </w:r>
    </w:p>
    <w:p w:rsidR="0077093B" w:rsidRPr="000761C1" w:rsidRDefault="0077093B">
      <w:pPr>
        <w:pStyle w:val="Normaltindrag"/>
      </w:pPr>
      <w:r w:rsidRPr="000761C1">
        <w:t>8. lag om ändring i lagen (1998:531) om yrkesverksamhet på hälso- och sjukvårdens område,</w:t>
      </w:r>
    </w:p>
    <w:p w:rsidR="0077093B" w:rsidRPr="000761C1" w:rsidRDefault="0077093B">
      <w:pPr>
        <w:pStyle w:val="Normaltindrag"/>
      </w:pPr>
      <w:r w:rsidRPr="000761C1">
        <w:t>9. lag om ändring i lagen (1999:678) om utstationering av arbetstag</w:t>
      </w:r>
      <w:r w:rsidRPr="000761C1">
        <w:t>a</w:t>
      </w:r>
      <w:r w:rsidRPr="000761C1">
        <w:t xml:space="preserve">re, </w:t>
      </w:r>
    </w:p>
    <w:p w:rsidR="0077093B" w:rsidRPr="000761C1" w:rsidRDefault="0077093B">
      <w:pPr>
        <w:pStyle w:val="Normaltindrag"/>
      </w:pPr>
      <w:r w:rsidRPr="000761C1">
        <w:t>10. lag om ändring i socialförsäkringslagen (1999:799),</w:t>
      </w:r>
    </w:p>
    <w:p w:rsidR="0077093B" w:rsidRPr="000761C1" w:rsidRDefault="0077093B">
      <w:pPr>
        <w:pStyle w:val="Normaltindrag"/>
      </w:pPr>
      <w:r w:rsidRPr="000761C1">
        <w:t>11. lag om ändring i studiestödslagen (1999:1395).</w:t>
      </w:r>
    </w:p>
    <w:p w:rsidR="0077093B" w:rsidRPr="000761C1" w:rsidRDefault="0077093B">
      <w:pPr>
        <w:pStyle w:val="Rubrik1"/>
      </w:pPr>
      <w:bookmarkStart w:id="22" w:name="_Toc505417741"/>
      <w:r w:rsidRPr="000761C1">
        <w:lastRenderedPageBreak/>
        <w:t>Utskottet</w:t>
      </w:r>
      <w:bookmarkEnd w:id="22"/>
    </w:p>
    <w:p w:rsidR="0077093B" w:rsidRPr="000761C1" w:rsidRDefault="0077093B">
      <w:pPr>
        <w:pStyle w:val="Rubrik2"/>
        <w:spacing w:before="123"/>
      </w:pPr>
      <w:bookmarkStart w:id="23" w:name="_Toc505417742"/>
      <w:r w:rsidRPr="000761C1">
        <w:t>Propositionens huvudsakliga innehåll</w:t>
      </w:r>
      <w:bookmarkEnd w:id="23"/>
    </w:p>
    <w:p w:rsidR="0077093B" w:rsidRPr="000761C1" w:rsidRDefault="0077093B">
      <w:r w:rsidRPr="000761C1">
        <w:t>I propositionen föreslås att riksdagen skall godkänna avtalet mellan Europ</w:t>
      </w:r>
      <w:r w:rsidRPr="000761C1">
        <w:t>e</w:t>
      </w:r>
      <w:r w:rsidRPr="000761C1">
        <w:t>iska gemenskapen och dess medlemsstater å ena sidan och Schweiz å andra sidan om fri rörlighet för personer. Avtalet ingår i ett gemensamt paket til</w:t>
      </w:r>
      <w:r w:rsidRPr="000761C1">
        <w:t>l</w:t>
      </w:r>
      <w:r w:rsidRPr="000761C1">
        <w:t>sammans med sex andra avtal mellan Europeiska gemenskapen å ena sidan och Schweiz å andra sidan inom områdena luftfart, gods- och persontran</w:t>
      </w:r>
      <w:r w:rsidRPr="000761C1">
        <w:t>s</w:t>
      </w:r>
      <w:r w:rsidRPr="000761C1">
        <w:t>porter på väg och järnväg, handel med jordbruksprodukter, ömsesidigt e</w:t>
      </w:r>
      <w:r w:rsidRPr="000761C1">
        <w:t>r</w:t>
      </w:r>
      <w:r w:rsidRPr="000761C1">
        <w:t>kännande i samband med bedömning av överensstämmelse, vissa aspekter rörande offentlig upphandling respektive vetenskapligt och tekniskt sama</w:t>
      </w:r>
      <w:r w:rsidRPr="000761C1">
        <w:t>r</w:t>
      </w:r>
      <w:r w:rsidRPr="000761C1">
        <w:t xml:space="preserve">bete. I </w:t>
      </w:r>
      <w:r w:rsidRPr="000761C1">
        <w:t>propositionen redogörs kortfattat för bakgrunden till avtalet liksom för de sex EG-avtalen. Avtalet om fri rörlighet för personer och dess bilagor presenteras ingående. I propositionen lämnas också förslag till de ändringar i svenska lagar som godkännandet av avtalet om fri rörlighet för personer kräver. Lagändringarna föreslås träda i kraft den dag regeringen bestämmer.</w:t>
      </w:r>
    </w:p>
    <w:p w:rsidR="0077093B" w:rsidRPr="000761C1" w:rsidRDefault="0077093B">
      <w:pPr>
        <w:pStyle w:val="Rubrik3"/>
      </w:pPr>
      <w:bookmarkStart w:id="24" w:name="_Toc500590325"/>
      <w:bookmarkStart w:id="25" w:name="_Toc500593037"/>
      <w:bookmarkStart w:id="26" w:name="_Toc500676162"/>
      <w:bookmarkStart w:id="27" w:name="_Toc500678075"/>
      <w:bookmarkStart w:id="28" w:name="_Toc500679766"/>
      <w:bookmarkStart w:id="29" w:name="_Toc500725838"/>
      <w:bookmarkStart w:id="30" w:name="_Toc500739433"/>
      <w:bookmarkStart w:id="31" w:name="_Toc505417743"/>
      <w:r w:rsidRPr="000761C1">
        <w:t>Ärendet och dess beredning</w:t>
      </w:r>
      <w:bookmarkEnd w:id="24"/>
      <w:bookmarkEnd w:id="25"/>
      <w:bookmarkEnd w:id="26"/>
      <w:bookmarkEnd w:id="27"/>
      <w:bookmarkEnd w:id="28"/>
      <w:bookmarkEnd w:id="29"/>
      <w:bookmarkEnd w:id="30"/>
      <w:bookmarkEnd w:id="31"/>
    </w:p>
    <w:p w:rsidR="0077093B" w:rsidRPr="000761C1" w:rsidRDefault="0077093B">
      <w:r w:rsidRPr="000761C1">
        <w:t>Schweiz har valt att stå utanför avtalet om ett europeiskt ekonomiskt sama</w:t>
      </w:r>
      <w:r w:rsidRPr="000761C1">
        <w:t>r</w:t>
      </w:r>
      <w:r w:rsidRPr="000761C1">
        <w:t>betsområde (EES-avtalet). I syfte att i viss utsträckning försöka uppnå ett närmande mellan Europeiska unionen och Schweiz på några viktigare omr</w:t>
      </w:r>
      <w:r w:rsidRPr="000761C1">
        <w:t>å</w:t>
      </w:r>
      <w:r w:rsidRPr="000761C1">
        <w:t>den, inleddes förhandlingar mellan parterna den 12 december 1994. Dessa kunde avslutas i Wien den 11 december 1998 och resulterade i sju sektor</w:t>
      </w:r>
      <w:r w:rsidRPr="000761C1">
        <w:t>s</w:t>
      </w:r>
      <w:r w:rsidRPr="000761C1">
        <w:t xml:space="preserve">avtal, dels ett s.k. blandat avtal om fri rörlighet för personer ingånget mellan Europeiska gemenskapen och dess medlemsstater å ena sidan och Schweiz å andra sidan, dels sex s.k. EG-avtal mellan Europeiska gemenskapen å </w:t>
      </w:r>
      <w:r w:rsidRPr="000761C1">
        <w:t>ena sidan och Schweiz å andra sidan inom områdena luftfart, gods- och perso</w:t>
      </w:r>
      <w:r w:rsidRPr="000761C1">
        <w:t>n</w:t>
      </w:r>
      <w:r w:rsidRPr="000761C1">
        <w:t>transporter på väg och järnväg, handel med jordbruksprodukter, ömsesidigt erkännande i samband med bedömning av överensstämmelse, vissa aspekter rörande offentlig upphandling respektive vetenskapligt och tekniskt sama</w:t>
      </w:r>
      <w:r w:rsidRPr="000761C1">
        <w:t>r</w:t>
      </w:r>
      <w:r w:rsidRPr="000761C1">
        <w:t>bete. I det sistnämnda avtalet ingår Europeiska atomenergigemenskapen (Euratom) som avtalspart tillsammans med Europeiska gemenskapen.</w:t>
      </w:r>
    </w:p>
    <w:p w:rsidR="0077093B" w:rsidRPr="000761C1" w:rsidRDefault="0077093B">
      <w:pPr>
        <w:pStyle w:val="Normaltindrag"/>
      </w:pPr>
      <w:r w:rsidRPr="000761C1">
        <w:t xml:space="preserve"> Det är bara sektorsavtalet om fri rörlighet för personer som skall godkä</w:t>
      </w:r>
      <w:r w:rsidRPr="000761C1">
        <w:t>n</w:t>
      </w:r>
      <w:r w:rsidRPr="000761C1">
        <w:t>nas av riksdagen. Övriga avtal har, som ovan nämnts, slutits mellan Europ</w:t>
      </w:r>
      <w:r w:rsidRPr="000761C1">
        <w:t>e</w:t>
      </w:r>
      <w:r w:rsidRPr="000761C1">
        <w:t>iska gemenskapen och Schweiz och skall därför inte godkännas av riksd</w:t>
      </w:r>
      <w:r w:rsidRPr="000761C1">
        <w:t>a</w:t>
      </w:r>
      <w:r w:rsidRPr="000761C1">
        <w:t>gen</w:t>
      </w:r>
      <w:r w:rsidRPr="000761C1">
        <w:rPr>
          <w:i/>
        </w:rPr>
        <w:t>.</w:t>
      </w:r>
    </w:p>
    <w:p w:rsidR="0077093B" w:rsidRPr="000761C1" w:rsidRDefault="0077093B">
      <w:pPr>
        <w:pStyle w:val="Normaltindrag"/>
      </w:pPr>
      <w:r w:rsidRPr="000761C1">
        <w:t>Regeringen beslutade den 17 juni 1999 om undertecknande för svensk del, och de sju avtalen undertecknades i Luxemburg den 21 juni samma år. Det schweiziska parlamentet godkände avtalen den 8 oktober 1999. Avtalen antogs av Europaparlamentet den 4 maj 2000. En folkomröstning ägde rum i Schweiz den 21 maj 2000 vilken resulterade i att 67,2 % röstade för avta</w:t>
      </w:r>
      <w:r w:rsidRPr="000761C1">
        <w:t>l</w:t>
      </w:r>
      <w:r w:rsidRPr="000761C1">
        <w:t>s-</w:t>
      </w:r>
      <w:r w:rsidRPr="000761C1">
        <w:br/>
        <w:t>paketet.</w:t>
      </w:r>
    </w:p>
    <w:p w:rsidR="0077093B" w:rsidRPr="000761C1" w:rsidRDefault="0077093B">
      <w:pPr>
        <w:pStyle w:val="Normaltindrag"/>
      </w:pPr>
      <w:r w:rsidRPr="000761C1">
        <w:t>I Utrikesdepartementets promemoria Avtalet mellan Europeiska geme</w:t>
      </w:r>
      <w:r w:rsidRPr="000761C1">
        <w:t>n</w:t>
      </w:r>
      <w:r w:rsidRPr="000761C1">
        <w:t>skapen och dess medlemsstater å ena sidan och Schweiz å andra sidan – Ett avtal inom sju sektorer, Ds 2000:52, behandlas avtalet samt de lagstiftning</w:t>
      </w:r>
      <w:r w:rsidRPr="000761C1">
        <w:t>s</w:t>
      </w:r>
      <w:r w:rsidRPr="000761C1">
        <w:t>åtgärder som behövs för att Sverige efter ratifikation skall kunna tillämpa avtalet. Promemorian har remissbehandlats. En sammanställning av remis</w:t>
      </w:r>
      <w:r w:rsidRPr="000761C1">
        <w:t>s</w:t>
      </w:r>
      <w:r w:rsidRPr="000761C1">
        <w:t>yttrandena finns tillgänglig på Utrikesdepart</w:t>
      </w:r>
      <w:r w:rsidRPr="000761C1">
        <w:t>e</w:t>
      </w:r>
      <w:r w:rsidRPr="000761C1">
        <w:t>mentet (dnr UD/2000/1411).</w:t>
      </w:r>
    </w:p>
    <w:p w:rsidR="0077093B" w:rsidRPr="000761C1" w:rsidRDefault="0077093B">
      <w:pPr>
        <w:pStyle w:val="Rubrik5"/>
      </w:pPr>
      <w:r w:rsidRPr="000761C1">
        <w:t xml:space="preserve">Lagrådet </w:t>
      </w:r>
    </w:p>
    <w:p w:rsidR="0077093B" w:rsidRPr="000761C1" w:rsidRDefault="0077093B">
      <w:r w:rsidRPr="000761C1">
        <w:t>De lagändringar som föreslås är av enkel beskaffenhet. Tekniskt innebär lagändringarna att bestämmelser som i dag gäller för EU-medborgare även blir tillämpliga på de personer som omfattas av avtalet. Regeringen anser därför att Lagrådets yttrande inte behöver inhämtas.</w:t>
      </w:r>
    </w:p>
    <w:p w:rsidR="0077093B" w:rsidRPr="000761C1" w:rsidRDefault="0077093B">
      <w:pPr>
        <w:pStyle w:val="Rubrik3"/>
      </w:pPr>
      <w:bookmarkStart w:id="32" w:name="_Toc500590326"/>
      <w:bookmarkStart w:id="33" w:name="_Toc500593038"/>
      <w:bookmarkStart w:id="34" w:name="_Toc500676163"/>
      <w:bookmarkStart w:id="35" w:name="_Toc500678076"/>
      <w:bookmarkStart w:id="36" w:name="_Toc500679767"/>
      <w:bookmarkStart w:id="37" w:name="_Toc500725839"/>
      <w:bookmarkStart w:id="38" w:name="_Toc500739434"/>
      <w:bookmarkStart w:id="39" w:name="_Toc505417744"/>
      <w:r w:rsidRPr="000761C1">
        <w:t>Avtalets disposition</w:t>
      </w:r>
      <w:bookmarkEnd w:id="32"/>
      <w:bookmarkEnd w:id="33"/>
      <w:bookmarkEnd w:id="34"/>
      <w:bookmarkEnd w:id="35"/>
      <w:bookmarkEnd w:id="36"/>
      <w:bookmarkEnd w:id="37"/>
      <w:bookmarkEnd w:id="38"/>
      <w:bookmarkEnd w:id="39"/>
    </w:p>
    <w:p w:rsidR="0077093B" w:rsidRPr="000761C1" w:rsidRDefault="0077093B">
      <w:r w:rsidRPr="000761C1">
        <w:t>Sektorsavtalen som ingår i avtalspaketet sträcker sig över sju sektorer: luf</w:t>
      </w:r>
      <w:r w:rsidRPr="000761C1">
        <w:t>t</w:t>
      </w:r>
      <w:r w:rsidRPr="000761C1">
        <w:t>fart, gods- och persontransporter på väg och järnväg, handel med jordbruk</w:t>
      </w:r>
      <w:r w:rsidRPr="000761C1">
        <w:t>s</w:t>
      </w:r>
      <w:r w:rsidRPr="000761C1">
        <w:t>produkter, ömsesidigt erkännande i samband med bedömning av överen</w:t>
      </w:r>
      <w:r w:rsidRPr="000761C1">
        <w:t>s</w:t>
      </w:r>
      <w:r w:rsidRPr="000761C1">
        <w:t>stämmelse, offentlig upphandling, vetenskapligt och tekniskt samarbete samt personers fria rörlighet. De sex första sektorsavtalen är gemenskapsrättsliga, vilket innebär att de sträcker sig över områden där Europeiska gemenskapen är behörig att besluta om regler och därmed även att ingå avtalen, och att medlemsstaterna – på motsvarande sätt som gäller andra gemenskaps</w:t>
      </w:r>
      <w:r w:rsidRPr="000761C1">
        <w:t>regler inom dessa områden – har att anpassa sig till sektorsavtalens innehåll. Vad gäller det sista sektorsavtalet – avtalet om fri rörlighet för personer– är fö</w:t>
      </w:r>
      <w:r w:rsidRPr="000761C1">
        <w:t>r</w:t>
      </w:r>
      <w:r w:rsidRPr="000761C1">
        <w:t>hållandet dock ett annat. Detta sektorsavtal är ett s.k. blandat avtal varmed avses att de avtalsslutande parterna utgörs av Europeiska gemenskapen och dess medlemsstater (dvs. EU-länderna) å ena sidan och Schweiz å andra sidan. Det faktum att EU-länderna är avtalsslutande parter betyder i prakt</w:t>
      </w:r>
      <w:r w:rsidRPr="000761C1">
        <w:t>i</w:t>
      </w:r>
      <w:r w:rsidRPr="000761C1">
        <w:t xml:space="preserve">ken att sektorsavtalet innefattar områden som ligger </w:t>
      </w:r>
      <w:r w:rsidRPr="000761C1">
        <w:t>inom den nationella lagstiftningsmaktens kompetens. Detta föranleder i sin tur att sektorsavtalet om fri rörlighet för personer måste ratificeras av Europeiska unionens sam</w:t>
      </w:r>
      <w:r w:rsidRPr="000761C1">
        <w:t>t</w:t>
      </w:r>
      <w:r w:rsidRPr="000761C1">
        <w:t>liga medlemsstater. När sektorsavtalet om fri rörlighet för personer har ratif</w:t>
      </w:r>
      <w:r w:rsidRPr="000761C1">
        <w:t>i</w:t>
      </w:r>
      <w:r w:rsidRPr="000761C1">
        <w:t>cerats av samtliga EU-länder och ratificeringsinstrumenten överlämnats till Europeiska unionens råd i Bryssel, fattar rådet ett formellt beslut om avtalets ikrafttr</w:t>
      </w:r>
      <w:r w:rsidRPr="000761C1">
        <w:t>ä</w:t>
      </w:r>
      <w:r w:rsidRPr="000761C1">
        <w:t>dande.</w:t>
      </w:r>
    </w:p>
    <w:p w:rsidR="0077093B" w:rsidRPr="000761C1" w:rsidRDefault="0077093B">
      <w:pPr>
        <w:pStyle w:val="Normaltindrag"/>
      </w:pPr>
      <w:r w:rsidRPr="000761C1">
        <w:t>Enligt den s.k. giljotinklausulen i avtalet om fri rörlighet för personer b</w:t>
      </w:r>
      <w:r w:rsidRPr="000761C1">
        <w:t>e</w:t>
      </w:r>
      <w:r w:rsidRPr="000761C1">
        <w:t>handlas de sju sektorsavtalen som ett gemensamt paket. Sektorsavtalen träder således i kraft respektive sägs upp endast som en helhet. Innebörden av detta är att avtalet förutsätter ett gemensamt agerande mellan Europeiska unionens medlemsstater och Europeiska gemenskapen i så måtto att båda parternas agerande är erforderligt för att hela avtalspaketet, dvs. samtliga sektorsavtal, skall kunna godkännas.</w:t>
      </w:r>
    </w:p>
    <w:p w:rsidR="0077093B" w:rsidRPr="000761C1" w:rsidRDefault="0077093B">
      <w:pPr>
        <w:pStyle w:val="Normaltindrag"/>
      </w:pPr>
      <w:r w:rsidRPr="000761C1">
        <w:t>Att sektorsavtalen skall behandlas som ett paket är ett oeftergivligt krav. Giljotinklausulen etablerade</w:t>
      </w:r>
      <w:r w:rsidRPr="000761C1">
        <w:t>s till följd av ett krav från Europeiska unionen och med argumentet att enbart som ett sammanhållet paket kan avtalet tillv</w:t>
      </w:r>
      <w:r w:rsidRPr="000761C1">
        <w:t>a</w:t>
      </w:r>
      <w:r w:rsidRPr="000761C1">
        <w:t>rata båda sidors intressen. Klausulen gäller dock inte beträffande sektorsa</w:t>
      </w:r>
      <w:r w:rsidRPr="000761C1">
        <w:t>v</w:t>
      </w:r>
      <w:r w:rsidRPr="000761C1">
        <w:t>talet om vetenskapligt och tekniskt samarbete när detta löper ut år 2002 eller i det fall detta sektorsavtal sägs upp av Schweiz till följd av en modifiering av Europeiska gemenskapens ra</w:t>
      </w:r>
      <w:r w:rsidRPr="000761C1">
        <w:t>m</w:t>
      </w:r>
      <w:r w:rsidRPr="000761C1">
        <w:t xml:space="preserve">program på området. </w:t>
      </w:r>
    </w:p>
    <w:p w:rsidR="0077093B" w:rsidRPr="000761C1" w:rsidRDefault="0077093B">
      <w:pPr>
        <w:pStyle w:val="Normaltindrag"/>
      </w:pPr>
    </w:p>
    <w:p w:rsidR="0077093B" w:rsidRPr="000761C1" w:rsidRDefault="0077093B">
      <w:pPr>
        <w:pStyle w:val="Normaltindrag"/>
      </w:pPr>
      <w:r w:rsidRPr="000761C1">
        <w:t>De sju sektorsavtalen har olika karaktär och omfattning. Sektorsavtalet om luftfart utgör ett integrationsavtal, där Schweiz förbinder sig att tillämpa Europeiska gemenskapens regler på området, medan sektorsavtalet om v</w:t>
      </w:r>
      <w:r w:rsidRPr="000761C1">
        <w:t>e</w:t>
      </w:r>
      <w:r w:rsidRPr="000761C1">
        <w:t>tenskapligt och tekniskt samarbete är ett vanligt samarbetsavtal. De fem övriga sektorsavtalen avser däremot avreglering.</w:t>
      </w:r>
    </w:p>
    <w:p w:rsidR="0077093B" w:rsidRPr="000761C1" w:rsidRDefault="0077093B">
      <w:r w:rsidRPr="000761C1">
        <w:t>För varje sektorsavtal finns en gemensam kommitté som skall säkerställa genomförandet på respektive område samt besluta om tolkning och tilläm</w:t>
      </w:r>
      <w:r w:rsidRPr="000761C1">
        <w:t>p</w:t>
      </w:r>
      <w:r w:rsidRPr="000761C1">
        <w:t xml:space="preserve">ning av respektive sektorsavtal. </w:t>
      </w:r>
    </w:p>
    <w:p w:rsidR="0077093B" w:rsidRPr="000761C1" w:rsidRDefault="0077093B">
      <w:pPr>
        <w:pStyle w:val="Rubrik3"/>
      </w:pPr>
      <w:bookmarkStart w:id="40" w:name="_Toc505417745"/>
      <w:r w:rsidRPr="000761C1">
        <w:t>Avtalets målsättningar</w:t>
      </w:r>
      <w:bookmarkEnd w:id="40"/>
    </w:p>
    <w:p w:rsidR="0077093B" w:rsidRPr="000761C1" w:rsidRDefault="0077093B">
      <w:r w:rsidRPr="000761C1">
        <w:t>Avtalets syften är att fastställa rätt till inresa och vistelse, upptagande av ekonomisk förvärvsverksamhet som arbetstagare och etablering som egenf</w:t>
      </w:r>
      <w:r w:rsidRPr="000761C1">
        <w:t>ö</w:t>
      </w:r>
      <w:r w:rsidRPr="000761C1">
        <w:t>retagare på de avtalsslutande parternas territorier. För arbetstagare och ege</w:t>
      </w:r>
      <w:r w:rsidRPr="000761C1">
        <w:t>n</w:t>
      </w:r>
      <w:r w:rsidRPr="000761C1">
        <w:t>företagare finns också en uttrycklig rätt att stanna kvar på de avtalsslutande ländernas territorier. Även personer som inte utövar ekonomisk fö</w:t>
      </w:r>
      <w:r w:rsidRPr="000761C1">
        <w:t>r</w:t>
      </w:r>
      <w:r w:rsidRPr="000761C1">
        <w:t>värvsverksamhet ges rätt till inresa och vistelse på de avtalsslutande parte</w:t>
      </w:r>
      <w:r w:rsidRPr="000761C1">
        <w:t>r</w:t>
      </w:r>
      <w:r w:rsidRPr="000761C1">
        <w:t>nas territorier. Samtliga nämnda grupper skall säkerställas samma levnads-, anställnings- och arbetsvillkor som de egna medborgarna har rätt till.</w:t>
      </w:r>
    </w:p>
    <w:p w:rsidR="0077093B" w:rsidRPr="000761C1" w:rsidRDefault="0077093B">
      <w:pPr>
        <w:pStyle w:val="Normaltindrag"/>
      </w:pPr>
      <w:r w:rsidRPr="000761C1">
        <w:t>Vidare uppges ett syfte vara att underlätta tillhandahållandet a</w:t>
      </w:r>
      <w:r w:rsidRPr="000761C1">
        <w:t>v tjänster, särskilt vad gäller kortvarigt tillhandahållande av tjänster, på de avtalssluta</w:t>
      </w:r>
      <w:r w:rsidRPr="000761C1">
        <w:t>n</w:t>
      </w:r>
      <w:r w:rsidRPr="000761C1">
        <w:t xml:space="preserve">de parternas territorier. Vad gäller åtgärder för att liberalisera tjänstesektorn skall avtalet uppfattas som ett första steg. I anslutning till avtalets slutakt finns en gemensam förklaring med budskapet att de avtalsslutande parterna förbinder sig att så snart som möjligt inleda förhandlingar om en allmän liberalisering av tillhandahållandet av tjänster på grundval av gemenskapens regelverk. </w:t>
      </w:r>
    </w:p>
    <w:p w:rsidR="0077093B" w:rsidRPr="000761C1" w:rsidRDefault="0077093B">
      <w:pPr>
        <w:pStyle w:val="Normaltindrag"/>
      </w:pPr>
      <w:r w:rsidRPr="000761C1">
        <w:t>Avtalet innehåller äve</w:t>
      </w:r>
      <w:r w:rsidRPr="000761C1">
        <w:t>n artiklar om icke-diskriminering och samordning av sociala trygghetssystem.</w:t>
      </w:r>
    </w:p>
    <w:p w:rsidR="0077093B" w:rsidRPr="000761C1" w:rsidRDefault="0077093B">
      <w:pPr>
        <w:pStyle w:val="Normaltindrag"/>
      </w:pPr>
      <w:r w:rsidRPr="000761C1">
        <w:t>I artikeln som behandlar övergångsbestämmelser samt avtalets framtida utveckling är det generella budskapet att öppnandet av arbetsmarknaderna sker stegvis.</w:t>
      </w:r>
    </w:p>
    <w:p w:rsidR="0077093B" w:rsidRPr="000761C1" w:rsidRDefault="0077093B">
      <w:pPr>
        <w:pStyle w:val="Rubrik2"/>
      </w:pPr>
      <w:bookmarkStart w:id="41" w:name="_Toc505417746"/>
      <w:r w:rsidRPr="000761C1">
        <w:t>Utskottets överväganden</w:t>
      </w:r>
      <w:bookmarkEnd w:id="41"/>
    </w:p>
    <w:p w:rsidR="0077093B" w:rsidRPr="000761C1" w:rsidRDefault="0077093B">
      <w:r w:rsidRPr="000761C1">
        <w:t>Utskottet tillstyrker att riksdagen godkänner avtalet mellan Europeiska g</w:t>
      </w:r>
      <w:r w:rsidRPr="000761C1">
        <w:t>e</w:t>
      </w:r>
      <w:r w:rsidRPr="000761C1">
        <w:t>menskapen och dess medlemsstater å ena sidan och Schweiz å andra sidan om fri rörlighet för personer samt de i propositionen föreslagna lagändrin</w:t>
      </w:r>
      <w:r w:rsidRPr="000761C1">
        <w:t>g</w:t>
      </w:r>
      <w:r w:rsidRPr="000761C1">
        <w:t>arna.</w:t>
      </w:r>
    </w:p>
    <w:p w:rsidR="0077093B" w:rsidRPr="000761C1" w:rsidRDefault="0077093B">
      <w:pPr>
        <w:pStyle w:val="Rubrik2"/>
      </w:pPr>
      <w:bookmarkStart w:id="42" w:name="_Toc505417747"/>
      <w:r w:rsidRPr="000761C1">
        <w:t>Hemställan</w:t>
      </w:r>
      <w:bookmarkEnd w:id="42"/>
    </w:p>
    <w:p w:rsidR="0077093B" w:rsidRPr="000761C1" w:rsidRDefault="0077093B">
      <w:r w:rsidRPr="000761C1">
        <w:t>Utskottet hemställer</w:t>
      </w:r>
    </w:p>
    <w:p w:rsidR="0077093B" w:rsidRPr="000761C1" w:rsidRDefault="0077093B">
      <w:pPr>
        <w:pStyle w:val="hemtext"/>
      </w:pPr>
      <w:r w:rsidRPr="000761C1">
        <w:t>att riksdagen med bifall till proposition 2000/01:55 godkänner avtalet mellan Europeiska gemenskapen och dess medlemsstater å ena sidan och Schweiz å andra sidan om fri rö</w:t>
      </w:r>
      <w:r w:rsidRPr="000761C1">
        <w:t>r</w:t>
      </w:r>
      <w:r w:rsidRPr="000761C1">
        <w:t>lighet för personer,</w:t>
      </w:r>
    </w:p>
    <w:p w:rsidR="0077093B" w:rsidRPr="000761C1" w:rsidRDefault="0077093B">
      <w:pPr>
        <w:pStyle w:val="hemtext"/>
      </w:pPr>
      <w:r w:rsidRPr="000761C1">
        <w:t xml:space="preserve">samt antar regeringens förslag till </w:t>
      </w:r>
    </w:p>
    <w:p w:rsidR="0077093B" w:rsidRPr="000761C1" w:rsidRDefault="0077093B">
      <w:pPr>
        <w:pStyle w:val="hemtext"/>
      </w:pPr>
      <w:r w:rsidRPr="000761C1">
        <w:t>1. lag om ändring i rättegångsbalken,</w:t>
      </w:r>
    </w:p>
    <w:p w:rsidR="0077093B" w:rsidRPr="000761C1" w:rsidRDefault="0077093B">
      <w:pPr>
        <w:pStyle w:val="hemtext"/>
      </w:pPr>
      <w:r w:rsidRPr="000761C1">
        <w:t>2. lag om ändring i lagen (1946:819) om upptagande av ed för rätti</w:t>
      </w:r>
      <w:r w:rsidRPr="000761C1">
        <w:t>g</w:t>
      </w:r>
      <w:r w:rsidRPr="000761C1">
        <w:t>hets tillvaratagande i utlandet,</w:t>
      </w:r>
    </w:p>
    <w:p w:rsidR="0077093B" w:rsidRPr="000761C1" w:rsidRDefault="0077093B">
      <w:pPr>
        <w:pStyle w:val="hemtext"/>
      </w:pPr>
      <w:r w:rsidRPr="000761C1">
        <w:t>3. lag om ändring i passlagen (1978:302),</w:t>
      </w:r>
    </w:p>
    <w:p w:rsidR="0077093B" w:rsidRPr="000761C1" w:rsidRDefault="0077093B">
      <w:pPr>
        <w:pStyle w:val="hemtext"/>
      </w:pPr>
      <w:r w:rsidRPr="000761C1">
        <w:t>4. lag om ändring i utlänningslagen (1989:529),</w:t>
      </w:r>
    </w:p>
    <w:p w:rsidR="0077093B" w:rsidRPr="000761C1" w:rsidRDefault="0077093B">
      <w:pPr>
        <w:pStyle w:val="hemtext"/>
      </w:pPr>
      <w:r w:rsidRPr="000761C1">
        <w:t>5. lag om ändring i lagen (1990:515) om auktorisation av handels</w:t>
      </w:r>
      <w:r w:rsidRPr="000761C1">
        <w:softHyphen/>
        <w:t>kamrar,</w:t>
      </w:r>
    </w:p>
    <w:p w:rsidR="0077093B" w:rsidRPr="000761C1" w:rsidRDefault="0077093B">
      <w:pPr>
        <w:pStyle w:val="hemtext"/>
      </w:pPr>
      <w:r w:rsidRPr="000761C1">
        <w:t>6. lag om ändring i lagen (1995:528) om revisorer,</w:t>
      </w:r>
    </w:p>
    <w:p w:rsidR="0077093B" w:rsidRPr="000761C1" w:rsidRDefault="0077093B">
      <w:pPr>
        <w:pStyle w:val="hemtext"/>
      </w:pPr>
      <w:r w:rsidRPr="000761C1">
        <w:t>7. lag om ändring i lagen (1997:238) om arbetslöshetsförsäkring,</w:t>
      </w:r>
    </w:p>
    <w:p w:rsidR="0077093B" w:rsidRPr="000761C1" w:rsidRDefault="0077093B">
      <w:pPr>
        <w:pStyle w:val="hemtext"/>
      </w:pPr>
      <w:r w:rsidRPr="000761C1">
        <w:t>8. lag om ändring i lagen (1998:531) om yrkesverksamhet på hälso- och sjukvårdens område,</w:t>
      </w:r>
    </w:p>
    <w:p w:rsidR="0077093B" w:rsidRPr="000761C1" w:rsidRDefault="0077093B">
      <w:pPr>
        <w:pStyle w:val="hemtext"/>
      </w:pPr>
      <w:r w:rsidRPr="000761C1">
        <w:t>9. lag om ändring i lagen (1999:678) om utstationering av arbetstag</w:t>
      </w:r>
      <w:r w:rsidRPr="000761C1">
        <w:t>a</w:t>
      </w:r>
      <w:r w:rsidRPr="000761C1">
        <w:t xml:space="preserve">re, </w:t>
      </w:r>
    </w:p>
    <w:p w:rsidR="0077093B" w:rsidRPr="000761C1" w:rsidRDefault="0077093B">
      <w:pPr>
        <w:pStyle w:val="hemtext"/>
      </w:pPr>
      <w:r w:rsidRPr="000761C1">
        <w:t>10. lag om ändring i socialförsäkringslagen (1999:799),</w:t>
      </w:r>
    </w:p>
    <w:p w:rsidR="0077093B" w:rsidRPr="000761C1" w:rsidRDefault="0077093B">
      <w:pPr>
        <w:pStyle w:val="hemtext"/>
      </w:pPr>
      <w:r w:rsidRPr="000761C1">
        <w:t>11. lag om ändring i studiestödslagen (1999:1395).</w:t>
      </w:r>
    </w:p>
    <w:p w:rsidR="0077093B" w:rsidRPr="000761C1" w:rsidRDefault="0077093B">
      <w:pPr>
        <w:pStyle w:val="Normaltindrag"/>
      </w:pPr>
    </w:p>
    <w:p w:rsidR="0077093B" w:rsidRPr="000761C1" w:rsidRDefault="0077093B">
      <w:pPr>
        <w:pStyle w:val="Stockholm"/>
      </w:pPr>
      <w:r w:rsidRPr="000761C1">
        <w:t>Stockholm den 25 januari 2001</w:t>
      </w:r>
    </w:p>
    <w:p w:rsidR="0077093B" w:rsidRPr="000761C1" w:rsidRDefault="0077093B">
      <w:pPr>
        <w:pStyle w:val="Stockholm"/>
      </w:pPr>
      <w:r w:rsidRPr="000761C1">
        <w:t>På utrikesutskottets vägnar</w:t>
      </w:r>
    </w:p>
    <w:p w:rsidR="0077093B" w:rsidRPr="000761C1" w:rsidRDefault="0077093B">
      <w:pPr>
        <w:pStyle w:val="Ordfnamn"/>
      </w:pPr>
      <w:bookmarkStart w:id="43" w:name="Ordförande"/>
      <w:bookmarkEnd w:id="43"/>
      <w:r w:rsidRPr="000761C1">
        <w:t xml:space="preserve">Viola Furubjelke </w:t>
      </w:r>
    </w:p>
    <w:p w:rsidR="0077093B" w:rsidRPr="000761C1" w:rsidRDefault="0077093B">
      <w:pPr>
        <w:pStyle w:val="Deltagare"/>
      </w:pPr>
      <w:bookmarkStart w:id="44" w:name="Deltagare"/>
      <w:bookmarkEnd w:id="44"/>
      <w:r w:rsidRPr="000761C1">
        <w:t>I beslutet har deltagit: Viola Furubjelke (s), Göran Lennmarker (m), Sören Lekberg (s), Berndt Ekholm (s), Lars Ohly (v), Bertil Persson (m), Carina Hägg (s), Liselotte Wågö (m), Agneta Brendt (s), Marianne Jönsson (s), Murad Artin (v), Sten Tolgfors (m), Marianne Samuelsson (mp), Marianne Andersson (c), Karl-Göran Biörsmark (fp), Fanny Rizell (kd) och Rosita Runegrund (kd).</w:t>
      </w:r>
    </w:p>
    <w:p w:rsidR="0077093B" w:rsidRPr="000761C1" w:rsidRDefault="0077093B">
      <w:pPr>
        <w:pStyle w:val="Rubrik1"/>
      </w:pPr>
    </w:p>
    <w:p w:rsidR="0077093B" w:rsidRPr="000761C1" w:rsidRDefault="0077093B">
      <w:bookmarkStart w:id="45" w:name="Nästa_Reservation"/>
      <w:bookmarkEnd w:id="45"/>
    </w:p>
    <w:p w:rsidR="0077093B" w:rsidRPr="000761C1" w:rsidRDefault="0077093B">
      <w:pPr>
        <w:pStyle w:val="Normaltindrag"/>
        <w:sectPr w:rsidR="00000000" w:rsidRPr="000761C1">
          <w:headerReference w:type="default" r:id="rId10"/>
          <w:footerReference w:type="default" r:id="rId11"/>
          <w:pgSz w:w="11906" w:h="16838" w:code="9"/>
          <w:pgMar w:top="567" w:right="4876" w:bottom="4508" w:left="1134" w:header="227" w:footer="227" w:gutter="0"/>
          <w:cols w:space="720"/>
        </w:sectPr>
      </w:pPr>
    </w:p>
    <w:p w:rsidR="0077093B" w:rsidRPr="000761C1" w:rsidRDefault="0077093B">
      <w:pPr>
        <w:pStyle w:val="R1"/>
      </w:pPr>
      <w:bookmarkStart w:id="46" w:name="_Toc500590313"/>
      <w:bookmarkStart w:id="47" w:name="_Toc500593025"/>
      <w:bookmarkStart w:id="48" w:name="_Toc500676150"/>
      <w:bookmarkStart w:id="49" w:name="_Toc500678063"/>
      <w:bookmarkStart w:id="50" w:name="_Toc500679754"/>
      <w:bookmarkStart w:id="51" w:name="_Toc500725826"/>
      <w:bookmarkStart w:id="52" w:name="_Toc500739421"/>
      <w:bookmarkStart w:id="53" w:name="_Toc505417748"/>
      <w:r w:rsidRPr="000761C1">
        <w:t>Lagtext</w:t>
      </w:r>
      <w:bookmarkEnd w:id="46"/>
      <w:bookmarkEnd w:id="47"/>
      <w:bookmarkEnd w:id="48"/>
      <w:bookmarkEnd w:id="49"/>
      <w:bookmarkEnd w:id="50"/>
      <w:bookmarkEnd w:id="51"/>
      <w:bookmarkEnd w:id="52"/>
      <w:bookmarkEnd w:id="53"/>
    </w:p>
    <w:p w:rsidR="0077093B" w:rsidRPr="000761C1" w:rsidRDefault="0077093B">
      <w:pPr>
        <w:pStyle w:val="Rubrik2"/>
      </w:pPr>
      <w:bookmarkStart w:id="54" w:name="_Toc492348032"/>
      <w:bookmarkStart w:id="55" w:name="_Toc500590314"/>
      <w:bookmarkStart w:id="56" w:name="_Toc500593026"/>
      <w:bookmarkStart w:id="57" w:name="_Toc500676151"/>
      <w:bookmarkStart w:id="58" w:name="_Toc500678064"/>
      <w:bookmarkStart w:id="59" w:name="_Toc500679755"/>
      <w:bookmarkStart w:id="60" w:name="_Toc500725827"/>
      <w:bookmarkStart w:id="61" w:name="_Toc500739422"/>
      <w:bookmarkStart w:id="62" w:name="_Toc505417749"/>
      <w:r w:rsidRPr="000761C1">
        <w:t>Förslag till lag om ändring i rättegångsbalken</w:t>
      </w:r>
      <w:bookmarkEnd w:id="55"/>
      <w:bookmarkEnd w:id="56"/>
      <w:bookmarkEnd w:id="57"/>
      <w:bookmarkEnd w:id="58"/>
      <w:bookmarkEnd w:id="59"/>
      <w:bookmarkEnd w:id="60"/>
      <w:bookmarkEnd w:id="61"/>
      <w:bookmarkEnd w:id="62"/>
    </w:p>
    <w:p w:rsidR="0077093B" w:rsidRPr="000761C1" w:rsidRDefault="0077093B">
      <w:pPr>
        <w:pStyle w:val="Normaltindrag"/>
      </w:pPr>
    </w:p>
    <w:p w:rsidR="0077093B" w:rsidRPr="000761C1" w:rsidRDefault="0077093B">
      <w:pPr>
        <w:pStyle w:val="Normaltindrag"/>
      </w:pPr>
      <w:r w:rsidRPr="000761C1">
        <w:t xml:space="preserve">Härigenom föreskrivs att 8 kap. 2 och 9–11 §§, 12 kap. 2 § samt 33 kap. </w:t>
      </w:r>
      <w:r w:rsidRPr="000761C1">
        <w:br/>
        <w:t>8 § rättegångsbalken skall ha följande lydelse.</w:t>
      </w:r>
    </w:p>
    <w:p w:rsidR="0077093B" w:rsidRPr="000761C1" w:rsidRDefault="0077093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lydelse</w:t>
            </w:r>
          </w:p>
        </w:tc>
        <w:tc>
          <w:tcPr>
            <w:tcW w:w="3118" w:type="dxa"/>
          </w:tcPr>
          <w:p w:rsidR="0077093B" w:rsidRPr="000761C1" w:rsidRDefault="0077093B">
            <w:pPr>
              <w:rPr>
                <w:i/>
              </w:rPr>
            </w:pPr>
            <w:r w:rsidRPr="000761C1">
              <w:rPr>
                <w:i/>
              </w:rPr>
              <w:t>Föreslagen lydelse</w:t>
            </w:r>
          </w:p>
        </w:tc>
      </w:tr>
    </w:tbl>
    <w:p w:rsidR="0077093B" w:rsidRPr="000761C1" w:rsidRDefault="0077093B">
      <w:pPr>
        <w:pStyle w:val="Normaltindrag"/>
      </w:pPr>
    </w:p>
    <w:p w:rsidR="0077093B" w:rsidRPr="000761C1" w:rsidRDefault="0077093B">
      <w:pPr>
        <w:pStyle w:val="Normaltindrag"/>
        <w:jc w:val="center"/>
      </w:pPr>
      <w:r w:rsidRPr="000761C1">
        <w:rPr>
          <w:b/>
        </w:rPr>
        <w:t>8 kap</w:t>
      </w:r>
      <w:r w:rsidRPr="000761C1">
        <w:t>.</w:t>
      </w:r>
    </w:p>
    <w:p w:rsidR="0077093B" w:rsidRPr="000761C1" w:rsidRDefault="0077093B">
      <w:pPr>
        <w:pStyle w:val="Normaltindrag"/>
        <w:jc w:val="center"/>
      </w:pPr>
      <w:r w:rsidRPr="000761C1">
        <w:t>2 §</w:t>
      </w:r>
      <w:r w:rsidRPr="000761C1">
        <w:rPr>
          <w:rStyle w:val="Fotnotsreferens"/>
        </w:rPr>
        <w:footnoteReference w:id="1"/>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Till ledamot av advokatsam</w:t>
            </w:r>
            <w:r w:rsidRPr="000761C1">
              <w:softHyphen/>
              <w:t xml:space="preserve">fundet får endast den antas som </w:t>
            </w:r>
          </w:p>
          <w:p w:rsidR="0077093B" w:rsidRPr="000761C1" w:rsidRDefault="0077093B">
            <w:pPr>
              <w:pStyle w:val="Normaltindrag"/>
            </w:pPr>
            <w:r w:rsidRPr="000761C1">
              <w:t>1. är svensk medborgare eller medborgare i en annan stat inom Eur</w:t>
            </w:r>
            <w:r w:rsidRPr="000761C1">
              <w:t>o</w:t>
            </w:r>
            <w:r w:rsidRPr="000761C1">
              <w:t xml:space="preserve">peiska unionen </w:t>
            </w:r>
            <w:r w:rsidRPr="000761C1">
              <w:rPr>
                <w:i/>
              </w:rPr>
              <w:t>eller</w:t>
            </w:r>
            <w:r w:rsidRPr="000761C1">
              <w:t xml:space="preserve"> Euro-peiska ekonomiska samarbetsom-rådet,</w:t>
            </w:r>
          </w:p>
        </w:tc>
        <w:tc>
          <w:tcPr>
            <w:tcW w:w="3118" w:type="dxa"/>
          </w:tcPr>
          <w:p w:rsidR="0077093B" w:rsidRPr="000761C1" w:rsidRDefault="0077093B">
            <w:pPr>
              <w:pStyle w:val="Normaltindrag"/>
            </w:pPr>
            <w:r w:rsidRPr="000761C1">
              <w:t>Till ledamot av advokatsam</w:t>
            </w:r>
            <w:r w:rsidRPr="000761C1">
              <w:softHyphen/>
              <w:t xml:space="preserve">fundet får endast den antas som </w:t>
            </w:r>
          </w:p>
          <w:p w:rsidR="0077093B" w:rsidRPr="000761C1" w:rsidRDefault="0077093B">
            <w:pPr>
              <w:pStyle w:val="Normaltindrag"/>
            </w:pPr>
            <w:r w:rsidRPr="000761C1">
              <w:t>1. är svensk medborgare eller medborgare i en annan stat inom Europeiska unionen</w:t>
            </w:r>
            <w:r w:rsidRPr="000761C1">
              <w:rPr>
                <w:i/>
              </w:rPr>
              <w:t>,</w:t>
            </w:r>
            <w:r w:rsidRPr="000761C1">
              <w:t xml:space="preserve"> Europeiska ekonomiska samarbetsområdet </w:t>
            </w:r>
            <w:r w:rsidRPr="000761C1">
              <w:rPr>
                <w:i/>
              </w:rPr>
              <w:t>eller i Schweiz</w:t>
            </w:r>
            <w:r w:rsidRPr="000761C1">
              <w:t>,</w:t>
            </w:r>
          </w:p>
        </w:tc>
      </w:tr>
      <w:tr w:rsidR="00000000" w:rsidRPr="000761C1">
        <w:tblPrEx>
          <w:tblCellMar>
            <w:top w:w="0" w:type="dxa"/>
            <w:bottom w:w="0" w:type="dxa"/>
          </w:tblCellMar>
        </w:tblPrEx>
        <w:tc>
          <w:tcPr>
            <w:tcW w:w="3118" w:type="dxa"/>
          </w:tcPr>
          <w:p w:rsidR="0077093B" w:rsidRPr="000761C1" w:rsidRDefault="0077093B">
            <w:pPr>
              <w:pStyle w:val="Normaltindrag"/>
            </w:pPr>
            <w:r w:rsidRPr="000761C1">
              <w:t xml:space="preserve">2. har hemvist i Sverige eller i en annan stat inom Europeiska unionen </w:t>
            </w:r>
            <w:r w:rsidRPr="000761C1">
              <w:rPr>
                <w:i/>
              </w:rPr>
              <w:t>eller</w:t>
            </w:r>
            <w:r w:rsidRPr="000761C1">
              <w:t xml:space="preserve"> Europeiska ekonomiska sa</w:t>
            </w:r>
            <w:r w:rsidRPr="000761C1">
              <w:t>m</w:t>
            </w:r>
            <w:r w:rsidRPr="000761C1">
              <w:t>arbetsområdet,</w:t>
            </w:r>
          </w:p>
        </w:tc>
        <w:tc>
          <w:tcPr>
            <w:tcW w:w="3118" w:type="dxa"/>
          </w:tcPr>
          <w:p w:rsidR="0077093B" w:rsidRPr="000761C1" w:rsidRDefault="0077093B">
            <w:pPr>
              <w:pStyle w:val="Normaltindrag"/>
            </w:pPr>
            <w:r w:rsidRPr="000761C1">
              <w:t>2. har hemvist i Sverige eller i en annan stat inom Europeiska uni</w:t>
            </w:r>
            <w:r w:rsidRPr="000761C1">
              <w:t>o</w:t>
            </w:r>
            <w:r w:rsidRPr="000761C1">
              <w:t>nen, Europeiska ekonomiska sa</w:t>
            </w:r>
            <w:r w:rsidRPr="000761C1">
              <w:t>m</w:t>
            </w:r>
            <w:r w:rsidRPr="000761C1">
              <w:t xml:space="preserve">arbetsområdet </w:t>
            </w:r>
            <w:r w:rsidRPr="000761C1">
              <w:rPr>
                <w:i/>
              </w:rPr>
              <w:t>eller i Schweiz</w:t>
            </w:r>
            <w:r w:rsidRPr="000761C1">
              <w:t>,</w:t>
            </w:r>
          </w:p>
        </w:tc>
      </w:tr>
    </w:tbl>
    <w:p w:rsidR="0077093B" w:rsidRPr="000761C1" w:rsidRDefault="0077093B">
      <w:pPr>
        <w:pStyle w:val="Normaltindrag"/>
      </w:pPr>
      <w:r w:rsidRPr="000761C1">
        <w:t xml:space="preserve">3. har avlagt de kunskapsprov som är föreskrivna för behörighet till </w:t>
      </w:r>
      <w:r w:rsidRPr="000761C1">
        <w:br/>
        <w:t>d</w:t>
      </w:r>
      <w:r w:rsidRPr="000761C1">
        <w:t>o</w:t>
      </w:r>
      <w:r w:rsidRPr="000761C1">
        <w:t>marämbete,</w:t>
      </w:r>
    </w:p>
    <w:p w:rsidR="0077093B" w:rsidRPr="000761C1" w:rsidRDefault="0077093B">
      <w:pPr>
        <w:pStyle w:val="Normaltindrag"/>
      </w:pPr>
      <w:r w:rsidRPr="000761C1">
        <w:t>4. har genomgått för advokatverksamhet erforderlig praktisk och teoretisk utbildning,</w:t>
      </w:r>
    </w:p>
    <w:p w:rsidR="0077093B" w:rsidRPr="000761C1" w:rsidRDefault="0077093B">
      <w:pPr>
        <w:pStyle w:val="Normaltindrag"/>
      </w:pPr>
      <w:r w:rsidRPr="000761C1">
        <w:t>5. har gjort sig känd för redbarhet, och</w:t>
      </w:r>
    </w:p>
    <w:p w:rsidR="0077093B" w:rsidRPr="000761C1" w:rsidRDefault="0077093B">
      <w:pPr>
        <w:pStyle w:val="Normaltindrag"/>
      </w:pPr>
      <w:r w:rsidRPr="000761C1">
        <w:t>6. även i övrigt bedöms lämplig att utöva advokatverksamhet.</w:t>
      </w:r>
    </w:p>
    <w:p w:rsidR="0077093B" w:rsidRPr="000761C1" w:rsidRDefault="0077093B">
      <w:pPr>
        <w:pStyle w:val="Normaltindrag"/>
      </w:pPr>
      <w:r w:rsidRPr="000761C1">
        <w:t>Advokatsamfundets styrelse får i enskilda fall medge undantag från anta</w:t>
      </w:r>
      <w:r w:rsidRPr="000761C1">
        <w:t>g</w:t>
      </w:r>
      <w:r w:rsidRPr="000761C1">
        <w:t>ningskraven såvitt gäller första stycket 1 och 2. Detsamma gäller antagning</w:t>
      </w:r>
      <w:r w:rsidRPr="000761C1">
        <w:t>s</w:t>
      </w:r>
      <w:r w:rsidRPr="000761C1">
        <w:t>kraven enligt första stycket 3 och 4 beträffande den som är auktoriserad som advokat i en annan stat i enlighet med där gällande b</w:t>
      </w:r>
      <w:r w:rsidRPr="000761C1">
        <w:t>e</w:t>
      </w:r>
      <w:r w:rsidRPr="000761C1">
        <w:t>stämmelser.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Den som har genomgått en u</w:t>
            </w:r>
            <w:r w:rsidRPr="000761C1">
              <w:t>t</w:t>
            </w:r>
            <w:r w:rsidRPr="000761C1">
              <w:t>bildning som krävs för att bli adv</w:t>
            </w:r>
            <w:r w:rsidRPr="000761C1">
              <w:t>o</w:t>
            </w:r>
            <w:r w:rsidRPr="000761C1">
              <w:t>kat i en stat inom Europeiska uni</w:t>
            </w:r>
            <w:r w:rsidRPr="000761C1">
              <w:t>o</w:t>
            </w:r>
            <w:r w:rsidRPr="000761C1">
              <w:t xml:space="preserve">nen </w:t>
            </w:r>
            <w:r w:rsidRPr="000761C1">
              <w:rPr>
                <w:i/>
              </w:rPr>
              <w:t>eller</w:t>
            </w:r>
            <w:r w:rsidRPr="000761C1">
              <w:t xml:space="preserve"> Europeiska ekono</w:t>
            </w:r>
            <w:r w:rsidRPr="000761C1">
              <w:softHyphen/>
              <w:t>miska samarbetsområdet och som i Sver</w:t>
            </w:r>
            <w:r w:rsidRPr="000761C1">
              <w:t>i</w:t>
            </w:r>
            <w:r w:rsidRPr="000761C1">
              <w:t>ge genomgått ett prov som visar att han har tillräckliga kunskaper om den svenska rätts</w:t>
            </w:r>
            <w:r w:rsidRPr="000761C1">
              <w:softHyphen/>
              <w:t>ordningen, skall anses uppfylla kraven enligt första stycket 3 och 4. Detsamma gäller den som regi</w:t>
            </w:r>
            <w:r w:rsidRPr="000761C1">
              <w:softHyphen/>
              <w:t>strerats enligt 2 a § och som därefter under minst tre år bedrivit faktisk och regelbunden advokat</w:t>
            </w:r>
            <w:r w:rsidRPr="000761C1">
              <w:softHyphen/>
              <w:t>verksamhet i Sverige, under föru</w:t>
            </w:r>
            <w:r w:rsidRPr="000761C1">
              <w:t>t</w:t>
            </w:r>
            <w:r w:rsidRPr="000761C1">
              <w:t>sättning antingen att verksam</w:t>
            </w:r>
            <w:r w:rsidRPr="000761C1">
              <w:softHyphen/>
              <w:t>heten huvudsakligen omfattat</w:t>
            </w:r>
            <w:r w:rsidRPr="000761C1">
              <w:t xml:space="preserve"> svensk rätt eller att, om verksam</w:t>
            </w:r>
            <w:r w:rsidRPr="000761C1">
              <w:softHyphen/>
              <w:t>heten inte huvudsakligen omfattat svensk rätt, den registrerade på annat sätt har förvärvat tillräckliga kunskaper och erfarenheter för att antas till led</w:t>
            </w:r>
            <w:r w:rsidRPr="000761C1">
              <w:t>a</w:t>
            </w:r>
            <w:r w:rsidRPr="000761C1">
              <w:t>mot i samfundet.</w:t>
            </w:r>
          </w:p>
        </w:tc>
        <w:tc>
          <w:tcPr>
            <w:tcW w:w="3118" w:type="dxa"/>
          </w:tcPr>
          <w:p w:rsidR="0077093B" w:rsidRPr="000761C1" w:rsidRDefault="0077093B">
            <w:pPr>
              <w:pStyle w:val="Normaltindrag"/>
            </w:pPr>
            <w:r w:rsidRPr="000761C1">
              <w:t>Den som har genomgått en u</w:t>
            </w:r>
            <w:r w:rsidRPr="000761C1">
              <w:t>t</w:t>
            </w:r>
            <w:r w:rsidRPr="000761C1">
              <w:t>bildning som krävs för att bli adv</w:t>
            </w:r>
            <w:r w:rsidRPr="000761C1">
              <w:t>o</w:t>
            </w:r>
            <w:r w:rsidRPr="000761C1">
              <w:t>kat i en stat inom Europeiska uni</w:t>
            </w:r>
            <w:r w:rsidRPr="000761C1">
              <w:t>o</w:t>
            </w:r>
            <w:r w:rsidRPr="000761C1">
              <w:t>nen</w:t>
            </w:r>
            <w:r w:rsidRPr="000761C1">
              <w:rPr>
                <w:i/>
              </w:rPr>
              <w:t>,</w:t>
            </w:r>
            <w:r w:rsidRPr="000761C1">
              <w:t xml:space="preserve"> Europeiska ekonomiska sa</w:t>
            </w:r>
            <w:r w:rsidRPr="000761C1">
              <w:t>m</w:t>
            </w:r>
            <w:r w:rsidRPr="000761C1">
              <w:t xml:space="preserve">arbetsområdet </w:t>
            </w:r>
            <w:r w:rsidRPr="000761C1">
              <w:rPr>
                <w:i/>
              </w:rPr>
              <w:t>eller i Schweiz</w:t>
            </w:r>
            <w:r w:rsidRPr="000761C1">
              <w:t xml:space="preserve"> och som i Sverige genomgått ett prov som visar att han har tillräckliga kunskaper om den svenska rättsor</w:t>
            </w:r>
            <w:r w:rsidRPr="000761C1">
              <w:t>d</w:t>
            </w:r>
            <w:r w:rsidRPr="000761C1">
              <w:t>ningen, skall anses uppfylla kraven enligt första stycket 3 och 4. De</w:t>
            </w:r>
            <w:r w:rsidRPr="000761C1">
              <w:t>t</w:t>
            </w:r>
            <w:r w:rsidRPr="000761C1">
              <w:t>samma gäller den som registrerats enligt 2 a § och som därefter under minst tre år bedrivit faktisk och regelbunden advokatverksamhet i Sverige, under förutsättning antin</w:t>
            </w:r>
            <w:r w:rsidRPr="000761C1">
              <w:t>g</w:t>
            </w:r>
            <w:r w:rsidRPr="000761C1">
              <w:t>en att verksamheten huvudsakligen om</w:t>
            </w:r>
            <w:r w:rsidRPr="000761C1">
              <w:softHyphen/>
              <w:t>fattat svensk rätt eller att, om verksamheten inte huvudsakligen omfattat svensk rätt, den regi</w:t>
            </w:r>
            <w:r w:rsidRPr="000761C1">
              <w:softHyphen/>
              <w:t>strerade på annat sätt har förvärvat tillräckliga kunsk</w:t>
            </w:r>
            <w:r w:rsidRPr="000761C1">
              <w:t>a</w:t>
            </w:r>
            <w:r w:rsidRPr="000761C1">
              <w:t>per och erfaren</w:t>
            </w:r>
            <w:r w:rsidRPr="000761C1">
              <w:softHyphen/>
              <w:t>heter för att antas till ledamot i samfundet.</w:t>
            </w:r>
          </w:p>
        </w:tc>
      </w:tr>
    </w:tbl>
    <w:p w:rsidR="0077093B" w:rsidRPr="000761C1" w:rsidRDefault="0077093B">
      <w:pPr>
        <w:pStyle w:val="Normaltindrag"/>
      </w:pPr>
      <w:r w:rsidRPr="000761C1">
        <w:t>Den som har blivit auktoriserad som advokat i Danmark, Finland, Island eller Norge i enlighet med där gällande bestämmelser och som därefter under minst tre år på ett tillfredsställande sätt har tjänstgjort som biträdande jurist på advokatbyrå i Sverige skall anses uppfylla kraven enligt första stycket 3–6.</w:t>
      </w:r>
    </w:p>
    <w:p w:rsidR="0077093B" w:rsidRPr="000761C1" w:rsidRDefault="0077093B">
      <w:pPr>
        <w:pStyle w:val="Normaltindrag"/>
      </w:pPr>
      <w:r w:rsidRPr="000761C1">
        <w:t>Den som är försatt i konkurs eller som har förvaltare enligt 11 kap. 7 § fö</w:t>
      </w:r>
      <w:r w:rsidRPr="000761C1">
        <w:t>r</w:t>
      </w:r>
      <w:r w:rsidRPr="000761C1">
        <w:t>äldrabalken får inte antas till ledamot. Inte heller får den antas till ledamot som enligt 3 § lagen (1985:354) om förbud mot yrkesmässig rådgivning i vissa fall, m.m. är förbjuden att utöva rådgivnings</w:t>
      </w:r>
      <w:r w:rsidRPr="000761C1">
        <w:softHyphen/>
        <w:t>verksamhet.</w:t>
      </w:r>
    </w:p>
    <w:p w:rsidR="0077093B" w:rsidRPr="000761C1" w:rsidRDefault="0077093B">
      <w:pPr>
        <w:pStyle w:val="Normaltindrag"/>
      </w:pPr>
      <w:r w:rsidRPr="000761C1">
        <w:t>Lagfaren domare i eller befattningshavare vid domstol eller allmän åklag</w:t>
      </w:r>
      <w:r w:rsidRPr="000761C1">
        <w:t>a</w:t>
      </w:r>
      <w:r w:rsidRPr="000761C1">
        <w:t>re eller kronofogde får inte antas till ledamot; inte heller den som annars är anställd i en stats eller kommuns tjänst eller hos någon annan enskild än advokat, om inte advokatsamfundets styrelse medger unda</w:t>
      </w:r>
      <w:r w:rsidRPr="000761C1">
        <w:t>n</w:t>
      </w:r>
      <w:r w:rsidRPr="000761C1">
        <w:t>tag.</w:t>
      </w:r>
    </w:p>
    <w:p w:rsidR="0077093B" w:rsidRPr="000761C1" w:rsidRDefault="0077093B">
      <w:pPr>
        <w:pStyle w:val="Normaltindrag"/>
      </w:pPr>
    </w:p>
    <w:p w:rsidR="0077093B" w:rsidRPr="000761C1" w:rsidRDefault="0077093B">
      <w:pPr>
        <w:pStyle w:val="Normaltindrag"/>
        <w:jc w:val="center"/>
      </w:pPr>
      <w:r w:rsidRPr="000761C1">
        <w:t>9 §</w:t>
      </w:r>
      <w:r w:rsidRPr="000761C1">
        <w:rPr>
          <w:rStyle w:val="Fotnotsreferens"/>
        </w:rPr>
        <w:footnoteReference w:id="2"/>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Vad i rättegångsbalken eller i n</w:t>
            </w:r>
            <w:r w:rsidRPr="000761C1">
              <w:t>å</w:t>
            </w:r>
            <w:r w:rsidRPr="000761C1">
              <w:t>gon annan lag föreskrivs om adv</w:t>
            </w:r>
            <w:r w:rsidRPr="000761C1">
              <w:t>o</w:t>
            </w:r>
            <w:r w:rsidRPr="000761C1">
              <w:t xml:space="preserve">kater skall i tillämpliga delar gälla även den som är auktoriserad som advokat i någon annan stat inom Europeiska unionen </w:t>
            </w:r>
            <w:r w:rsidRPr="000761C1">
              <w:rPr>
                <w:i/>
              </w:rPr>
              <w:t>eller</w:t>
            </w:r>
            <w:r w:rsidRPr="000761C1">
              <w:t xml:space="preserve"> Europei</w:t>
            </w:r>
            <w:r w:rsidRPr="000761C1">
              <w:t>s</w:t>
            </w:r>
            <w:r w:rsidRPr="000761C1">
              <w:t>ka ekonomiska sam</w:t>
            </w:r>
            <w:r w:rsidRPr="000761C1">
              <w:softHyphen/>
              <w:t>arbetsområdet när denne är verksam i Sverige. Därvid skall han använda den y</w:t>
            </w:r>
            <w:r w:rsidRPr="000761C1">
              <w:t>r</w:t>
            </w:r>
            <w:r w:rsidRPr="000761C1">
              <w:t>kesbeteckning som används i den stat där han är auktoriserad, uttryckt på denna stats språk och med hä</w:t>
            </w:r>
            <w:r w:rsidRPr="000761C1">
              <w:t>n</w:t>
            </w:r>
            <w:r w:rsidRPr="000761C1">
              <w:t xml:space="preserve">visning till den yrkesorganisation som han tillhör eller till den domstol vid vilken han enligt den statens lag får tjänstgöra. Om rätten kräver </w:t>
            </w:r>
            <w:r w:rsidRPr="000761C1">
              <w:t>det, skall den som uppger sig uppfylla kraven i första meningen förete bevis hä</w:t>
            </w:r>
            <w:r w:rsidRPr="000761C1">
              <w:t>r</w:t>
            </w:r>
            <w:r w:rsidRPr="000761C1">
              <w:t>för.</w:t>
            </w:r>
          </w:p>
        </w:tc>
        <w:tc>
          <w:tcPr>
            <w:tcW w:w="3118" w:type="dxa"/>
          </w:tcPr>
          <w:p w:rsidR="0077093B" w:rsidRPr="000761C1" w:rsidRDefault="0077093B">
            <w:pPr>
              <w:pStyle w:val="Normaltindrag"/>
            </w:pPr>
            <w:r w:rsidRPr="000761C1">
              <w:t>Vad i rättegångsbalken eller i n</w:t>
            </w:r>
            <w:r w:rsidRPr="000761C1">
              <w:t>å</w:t>
            </w:r>
            <w:r w:rsidRPr="000761C1">
              <w:t>gon annan lag föreskrivs om adv</w:t>
            </w:r>
            <w:r w:rsidRPr="000761C1">
              <w:t>o</w:t>
            </w:r>
            <w:r w:rsidRPr="000761C1">
              <w:t>kater skall i tillämpliga delar gälla även den som är auktoriserad som advokat i någon annan stat inom Europeiska unionen</w:t>
            </w:r>
            <w:r w:rsidRPr="000761C1">
              <w:rPr>
                <w:i/>
              </w:rPr>
              <w:t>,</w:t>
            </w:r>
            <w:r w:rsidRPr="000761C1">
              <w:t xml:space="preserve"> Europeiska ekonomiska samarbetsområdet </w:t>
            </w:r>
            <w:r w:rsidRPr="000761C1">
              <w:rPr>
                <w:i/>
              </w:rPr>
              <w:t>eller i Schweiz</w:t>
            </w:r>
            <w:r w:rsidRPr="000761C1">
              <w:t xml:space="preserve"> när denne är verksam i Sverige. Därvid skall han använda den yrkesbeteckning som används i den stat där han är auktoriserad, uttryckt på denna stats språk och med hänvisning till den yrkesorg</w:t>
            </w:r>
            <w:r w:rsidRPr="000761C1">
              <w:t>a</w:t>
            </w:r>
            <w:r w:rsidRPr="000761C1">
              <w:t>nisation som han tillhör eller till den domstol vid vilken han enligt den statens lag får tjänstgöra. Om rätt</w:t>
            </w:r>
            <w:r w:rsidRPr="000761C1">
              <w:t>en kräver det, skall den som uppger sig uppfylla kraven i första meningen förete bevis härför.</w:t>
            </w:r>
          </w:p>
        </w:tc>
      </w:tr>
    </w:tbl>
    <w:p w:rsidR="0077093B" w:rsidRPr="000761C1" w:rsidRDefault="0077093B">
      <w:pPr>
        <w:pStyle w:val="Normaltindrag"/>
      </w:pPr>
      <w:r w:rsidRPr="000761C1">
        <w:t>Första stycket första meningen omfattar bestämmelsen i 4 § andra stycket om advokatverksamhet i bolag endast i fråga om den som är skyldig att vara registrerad enligt 2 a §.</w:t>
      </w:r>
    </w:p>
    <w:p w:rsidR="0077093B" w:rsidRPr="000761C1" w:rsidRDefault="0077093B">
      <w:pPr>
        <w:pStyle w:val="Normaltindrag"/>
      </w:pPr>
      <w:r w:rsidRPr="000761C1">
        <w:t>Advokatsamfundets styrelse skall underrätta behörig myndighet eller org</w:t>
      </w:r>
      <w:r w:rsidRPr="000761C1">
        <w:t>a</w:t>
      </w:r>
      <w:r w:rsidRPr="000761C1">
        <w:t>nisation i den stat där advokaten är auktoriserad om beslut i vilket det har konstaterats att han åsidosatt sina plikter som advokat.</w:t>
      </w:r>
    </w:p>
    <w:p w:rsidR="0077093B" w:rsidRPr="000761C1" w:rsidRDefault="0077093B">
      <w:pPr>
        <w:pStyle w:val="Normaltindrag"/>
      </w:pPr>
    </w:p>
    <w:p w:rsidR="0077093B" w:rsidRPr="000761C1" w:rsidRDefault="0077093B">
      <w:pPr>
        <w:pStyle w:val="Normaltindrag"/>
        <w:jc w:val="center"/>
      </w:pPr>
      <w:r w:rsidRPr="000761C1">
        <w:t>10 §</w:t>
      </w:r>
      <w:r w:rsidRPr="000761C1">
        <w:rPr>
          <w:rStyle w:val="Fotnotsreferens"/>
        </w:rPr>
        <w:footnoteReference w:id="3"/>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Den som utan att vara behörig till det utger sig för att vara auktoris</w:t>
            </w:r>
            <w:r w:rsidRPr="000761C1">
              <w:t>e</w:t>
            </w:r>
            <w:r w:rsidRPr="000761C1">
              <w:t xml:space="preserve">rad som advokat i Sverige eller i en annan stat inom Europeiska unionen </w:t>
            </w:r>
            <w:r w:rsidRPr="000761C1">
              <w:rPr>
                <w:i/>
              </w:rPr>
              <w:t>eller</w:t>
            </w:r>
            <w:r w:rsidRPr="000761C1">
              <w:t xml:space="preserve"> Euro</w:t>
            </w:r>
            <w:r w:rsidRPr="000761C1">
              <w:softHyphen/>
              <w:t>peiska ekonomiska sa</w:t>
            </w:r>
            <w:r w:rsidRPr="000761C1">
              <w:t>m</w:t>
            </w:r>
            <w:r w:rsidRPr="000761C1">
              <w:t>arbets</w:t>
            </w:r>
            <w:r w:rsidRPr="000761C1">
              <w:softHyphen/>
              <w:t>området, döms till böter.</w:t>
            </w:r>
          </w:p>
        </w:tc>
        <w:tc>
          <w:tcPr>
            <w:tcW w:w="3118" w:type="dxa"/>
          </w:tcPr>
          <w:p w:rsidR="0077093B" w:rsidRPr="000761C1" w:rsidRDefault="0077093B">
            <w:pPr>
              <w:pStyle w:val="Normaltindrag"/>
            </w:pPr>
            <w:r w:rsidRPr="000761C1">
              <w:t>Den som utan att vara behörig till det utger sig för att vara auktoris</w:t>
            </w:r>
            <w:r w:rsidRPr="000761C1">
              <w:t>e</w:t>
            </w:r>
            <w:r w:rsidRPr="000761C1">
              <w:t>rad som advokat i Sverige eller i en annan stat inom Europeiska uni</w:t>
            </w:r>
            <w:r w:rsidRPr="000761C1">
              <w:t>o</w:t>
            </w:r>
            <w:r w:rsidRPr="000761C1">
              <w:t>nen</w:t>
            </w:r>
            <w:r w:rsidRPr="000761C1">
              <w:rPr>
                <w:i/>
              </w:rPr>
              <w:t>,</w:t>
            </w:r>
            <w:r w:rsidRPr="000761C1">
              <w:t xml:space="preserve"> Europeiska ekonomiska sa</w:t>
            </w:r>
            <w:r w:rsidRPr="000761C1">
              <w:t>m</w:t>
            </w:r>
            <w:r w:rsidRPr="000761C1">
              <w:t xml:space="preserve">arbetsområdet </w:t>
            </w:r>
            <w:r w:rsidRPr="000761C1">
              <w:rPr>
                <w:i/>
              </w:rPr>
              <w:t>eller i Schweiz</w:t>
            </w:r>
            <w:r w:rsidRPr="000761C1">
              <w:t>, döms till böter.</w:t>
            </w:r>
          </w:p>
        </w:tc>
      </w:tr>
    </w:tbl>
    <w:p w:rsidR="0077093B" w:rsidRPr="000761C1" w:rsidRDefault="0077093B">
      <w:pPr>
        <w:pStyle w:val="Normaltindrag"/>
      </w:pPr>
    </w:p>
    <w:p w:rsidR="0077093B" w:rsidRPr="000761C1" w:rsidRDefault="0077093B">
      <w:pPr>
        <w:pStyle w:val="Normaltindrag"/>
        <w:jc w:val="center"/>
      </w:pPr>
      <w:r w:rsidRPr="000761C1">
        <w:t>11 §</w:t>
      </w:r>
      <w:r w:rsidRPr="000761C1">
        <w:rPr>
          <w:rStyle w:val="Fotnotsreferens"/>
        </w:rPr>
        <w:footnoteReference w:id="4"/>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Regeringen får föreskriva att b</w:t>
            </w:r>
            <w:r w:rsidRPr="000761C1">
              <w:t>e</w:t>
            </w:r>
            <w:r w:rsidRPr="000761C1">
              <w:t>stämmelserna i detta kapitel om registrering av den som är auktor</w:t>
            </w:r>
            <w:r w:rsidRPr="000761C1">
              <w:t>i</w:t>
            </w:r>
            <w:r w:rsidRPr="000761C1">
              <w:t>serad som advokat i en stat inom Europeiska unionen också skall omfatta den som är auktoriserad som advokat i en stat inom Europ</w:t>
            </w:r>
            <w:r w:rsidRPr="000761C1">
              <w:t>e</w:t>
            </w:r>
            <w:r w:rsidRPr="000761C1">
              <w:t>iska ekonomiska samarbetso</w:t>
            </w:r>
            <w:r w:rsidRPr="000761C1">
              <w:t>m</w:t>
            </w:r>
            <w:r w:rsidRPr="000761C1">
              <w:t>rådet.</w:t>
            </w:r>
          </w:p>
        </w:tc>
        <w:tc>
          <w:tcPr>
            <w:tcW w:w="3118" w:type="dxa"/>
          </w:tcPr>
          <w:p w:rsidR="0077093B" w:rsidRPr="000761C1" w:rsidRDefault="0077093B">
            <w:pPr>
              <w:pStyle w:val="Normaltindrag"/>
            </w:pPr>
            <w:r w:rsidRPr="000761C1">
              <w:t>Regeringen får föreskriva att b</w:t>
            </w:r>
            <w:r w:rsidRPr="000761C1">
              <w:t>e</w:t>
            </w:r>
            <w:r w:rsidRPr="000761C1">
              <w:t>stämmelserna i detta kapitel om registrering av den som är auktor</w:t>
            </w:r>
            <w:r w:rsidRPr="000761C1">
              <w:t>i</w:t>
            </w:r>
            <w:r w:rsidRPr="000761C1">
              <w:t>serad som advokat i en stat inom Europeiska unionen också skall omfatta den som är auktoriserad som advokat i en stat inom Europ</w:t>
            </w:r>
            <w:r w:rsidRPr="000761C1">
              <w:t>e</w:t>
            </w:r>
            <w:r w:rsidRPr="000761C1">
              <w:t xml:space="preserve">iska ekonomiska samarbetsområdet </w:t>
            </w:r>
            <w:r w:rsidRPr="000761C1">
              <w:rPr>
                <w:i/>
              </w:rPr>
              <w:t>eller i Schweiz</w:t>
            </w:r>
            <w:r w:rsidRPr="000761C1">
              <w:t>.</w:t>
            </w:r>
          </w:p>
        </w:tc>
      </w:tr>
    </w:tbl>
    <w:p w:rsidR="0077093B" w:rsidRPr="000761C1" w:rsidRDefault="0077093B">
      <w:pPr>
        <w:pStyle w:val="Normaltindrag"/>
        <w:jc w:val="center"/>
      </w:pPr>
    </w:p>
    <w:p w:rsidR="0077093B" w:rsidRPr="000761C1" w:rsidRDefault="0077093B">
      <w:pPr>
        <w:pStyle w:val="Normaltindrag"/>
        <w:jc w:val="center"/>
      </w:pPr>
      <w:r w:rsidRPr="000761C1">
        <w:rPr>
          <w:b/>
        </w:rPr>
        <w:t>12 kap.</w:t>
      </w:r>
    </w:p>
    <w:p w:rsidR="0077093B" w:rsidRPr="000761C1" w:rsidRDefault="0077093B">
      <w:pPr>
        <w:pStyle w:val="Normaltindrag"/>
        <w:jc w:val="center"/>
      </w:pPr>
      <w:r w:rsidRPr="000761C1">
        <w:t>2 §</w:t>
      </w:r>
      <w:r w:rsidRPr="000761C1">
        <w:rPr>
          <w:rStyle w:val="Fotnotsreferens"/>
        </w:rPr>
        <w:footnoteReference w:id="5"/>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6236" w:type="dxa"/>
            <w:gridSpan w:val="2"/>
          </w:tcPr>
          <w:p w:rsidR="0077093B" w:rsidRPr="000761C1" w:rsidRDefault="0077093B">
            <w:pPr>
              <w:pStyle w:val="Normaltindrag"/>
            </w:pPr>
            <w:r w:rsidRPr="000761C1">
              <w:t>Såsom ombud får inte brukas annan än den som rätten med hänsyn till re</w:t>
            </w:r>
            <w:r w:rsidRPr="000761C1">
              <w:t>d</w:t>
            </w:r>
            <w:r w:rsidRPr="000761C1">
              <w:t>barhet, insikter och tidigare verksamhet finner lämplig att vara ombud i målet. Ombudet skall behärska svenska språket.</w:t>
            </w:r>
          </w:p>
        </w:tc>
      </w:tr>
      <w:tr w:rsidR="00000000" w:rsidRPr="000761C1">
        <w:tblPrEx>
          <w:tblCellMar>
            <w:top w:w="0" w:type="dxa"/>
            <w:bottom w:w="0" w:type="dxa"/>
          </w:tblCellMar>
        </w:tblPrEx>
        <w:tc>
          <w:tcPr>
            <w:tcW w:w="3118" w:type="dxa"/>
          </w:tcPr>
          <w:p w:rsidR="0077093B" w:rsidRPr="000761C1" w:rsidRDefault="0077093B">
            <w:pPr>
              <w:pStyle w:val="Normaltindrag"/>
            </w:pPr>
            <w:r w:rsidRPr="000761C1">
              <w:t xml:space="preserve">Ombud skall ha hemvist i Sverige </w:t>
            </w:r>
            <w:r w:rsidRPr="000761C1">
              <w:rPr>
                <w:i/>
              </w:rPr>
              <w:t>eller</w:t>
            </w:r>
            <w:r w:rsidRPr="000761C1">
              <w:t xml:space="preserve"> i en annan stat inom Europei</w:t>
            </w:r>
            <w:r w:rsidRPr="000761C1">
              <w:t>s</w:t>
            </w:r>
            <w:r w:rsidRPr="000761C1">
              <w:t>ka ekonomiska samarbetsområdet; dock får även annan brukas såsom ombud, om rätten med hänsyn till omständigheterna finner det lämpl</w:t>
            </w:r>
            <w:r w:rsidRPr="000761C1">
              <w:t>i</w:t>
            </w:r>
            <w:r w:rsidRPr="000761C1">
              <w:t>gen kunna ske.</w:t>
            </w:r>
          </w:p>
        </w:tc>
        <w:tc>
          <w:tcPr>
            <w:tcW w:w="3118" w:type="dxa"/>
          </w:tcPr>
          <w:p w:rsidR="0077093B" w:rsidRPr="000761C1" w:rsidRDefault="0077093B">
            <w:pPr>
              <w:pStyle w:val="Normaltindrag"/>
            </w:pPr>
            <w:r w:rsidRPr="000761C1">
              <w:t>Ombud skall ha hemvist i Sver</w:t>
            </w:r>
            <w:r w:rsidRPr="000761C1">
              <w:t>i</w:t>
            </w:r>
            <w:r w:rsidRPr="000761C1">
              <w:t>ge</w:t>
            </w:r>
            <w:r w:rsidRPr="000761C1">
              <w:rPr>
                <w:i/>
              </w:rPr>
              <w:t>,</w:t>
            </w:r>
            <w:r w:rsidRPr="000761C1">
              <w:t xml:space="preserve"> i en annan stat inom Europeiska ekonomiska samarbetsområdet </w:t>
            </w:r>
            <w:r w:rsidRPr="000761C1">
              <w:rPr>
                <w:i/>
              </w:rPr>
              <w:t>eller i Schweiz</w:t>
            </w:r>
            <w:r w:rsidRPr="000761C1">
              <w:t>; dock får även annan brukas såsom ombud, om rätten med hänsyn till omständigheterna finner det lämpligen kunna ske.</w:t>
            </w:r>
          </w:p>
        </w:tc>
      </w:tr>
    </w:tbl>
    <w:p w:rsidR="0077093B" w:rsidRPr="000761C1" w:rsidRDefault="0077093B">
      <w:pPr>
        <w:pStyle w:val="Normaltindrag"/>
      </w:pPr>
      <w:r w:rsidRPr="000761C1">
        <w:t>Ej må den vara ombud, som är underårig eller i konkurstillstånd eller som har förvaltare enligt 11 kap. 7 § föräldrabalken.</w:t>
      </w:r>
    </w:p>
    <w:p w:rsidR="0077093B" w:rsidRPr="000761C1" w:rsidRDefault="0077093B">
      <w:pPr>
        <w:pStyle w:val="Normaltindrag"/>
      </w:pPr>
    </w:p>
    <w:p w:rsidR="0077093B" w:rsidRPr="000761C1" w:rsidRDefault="0077093B">
      <w:pPr>
        <w:pStyle w:val="Normaltindrag"/>
        <w:jc w:val="center"/>
      </w:pPr>
      <w:r w:rsidRPr="000761C1">
        <w:rPr>
          <w:b/>
        </w:rPr>
        <w:t>33 kap.</w:t>
      </w:r>
    </w:p>
    <w:p w:rsidR="0077093B" w:rsidRPr="000761C1" w:rsidRDefault="0077093B">
      <w:pPr>
        <w:pStyle w:val="Normaltindrag"/>
        <w:jc w:val="center"/>
      </w:pPr>
      <w:r w:rsidRPr="000761C1">
        <w:t>8 §</w:t>
      </w:r>
      <w:r w:rsidRPr="000761C1">
        <w:rPr>
          <w:rStyle w:val="Fotnotsreferens"/>
        </w:rPr>
        <w:footnoteReference w:id="6"/>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 xml:space="preserve">Har part, som saknar hemvist inom riket, inte hos rätten uppgivit ombud, som har hemvist i riket </w:t>
            </w:r>
            <w:r w:rsidRPr="000761C1">
              <w:rPr>
                <w:i/>
              </w:rPr>
              <w:t>eller</w:t>
            </w:r>
            <w:r w:rsidRPr="000761C1">
              <w:t xml:space="preserve"> i en annan stat inom Europeiska ekonomiska samarbetsom</w:t>
            </w:r>
            <w:r w:rsidRPr="000761C1">
              <w:softHyphen/>
              <w:t>rådet och som äger att för parten ta emot delgivning i målet, får rätten för</w:t>
            </w:r>
            <w:r w:rsidRPr="000761C1">
              <w:t>e</w:t>
            </w:r>
            <w:r w:rsidRPr="000761C1">
              <w:t>lägga honom, då han första gången för talan, att för sig ställa sådant ombud och göra anmälan därom hos rätten. Underlåter han det, får de</w:t>
            </w:r>
            <w:r w:rsidRPr="000761C1">
              <w:t>l</w:t>
            </w:r>
            <w:r w:rsidRPr="000761C1">
              <w:t>givning med honom ske genom att handlingen med posten sänds till honom under hans senaste kända adress.</w:t>
            </w:r>
          </w:p>
        </w:tc>
        <w:tc>
          <w:tcPr>
            <w:tcW w:w="3118" w:type="dxa"/>
          </w:tcPr>
          <w:p w:rsidR="0077093B" w:rsidRPr="000761C1" w:rsidRDefault="0077093B">
            <w:pPr>
              <w:pStyle w:val="Normaltindrag"/>
            </w:pPr>
            <w:r w:rsidRPr="000761C1">
              <w:t>Har part, som saknar hemvist inom riket, inte hos rätten uppgivit ombud, som har hemvist i riket</w:t>
            </w:r>
            <w:r w:rsidRPr="000761C1">
              <w:rPr>
                <w:i/>
              </w:rPr>
              <w:t>,</w:t>
            </w:r>
            <w:r w:rsidRPr="000761C1">
              <w:t xml:space="preserve"> i en annan stat inom Europeiska ekon</w:t>
            </w:r>
            <w:r w:rsidRPr="000761C1">
              <w:t>o</w:t>
            </w:r>
            <w:r w:rsidRPr="000761C1">
              <w:t xml:space="preserve">miska samarbetsområdet </w:t>
            </w:r>
            <w:r w:rsidRPr="000761C1">
              <w:rPr>
                <w:i/>
              </w:rPr>
              <w:t>eller i Schweiz</w:t>
            </w:r>
            <w:r w:rsidRPr="000761C1">
              <w:t xml:space="preserve"> och som äger att för parten ta emot delgivning i målet, får rä</w:t>
            </w:r>
            <w:r w:rsidRPr="000761C1">
              <w:t>t</w:t>
            </w:r>
            <w:r w:rsidRPr="000761C1">
              <w:t>ten förelägga honom, då han första gången för talan, att för sig ställa sådant ombud och göra anmälan därom hos rätten. Underlåter han det, får delgivning med honom ske genom att handlingen med posten sänds till honom under hans senaste kända adress.</w:t>
            </w:r>
          </w:p>
        </w:tc>
      </w:tr>
    </w:tbl>
    <w:p w:rsidR="0077093B" w:rsidRPr="000761C1" w:rsidRDefault="0077093B">
      <w:r w:rsidRPr="000761C1">
        <w:rPr>
          <w:u w:val="single"/>
        </w:rPr>
        <w:t>                                     </w:t>
      </w:r>
    </w:p>
    <w:p w:rsidR="0077093B" w:rsidRPr="000761C1" w:rsidRDefault="0077093B">
      <w:pPr>
        <w:pStyle w:val="Normaltindrag"/>
      </w:pPr>
      <w:r w:rsidRPr="000761C1">
        <w:t>Denna lag träder i kraft den dag regeringen bestämmer.</w:t>
      </w:r>
    </w:p>
    <w:p w:rsidR="0077093B" w:rsidRPr="000761C1" w:rsidRDefault="0077093B">
      <w:pPr>
        <w:pStyle w:val="Rubrik2"/>
      </w:pPr>
      <w:bookmarkStart w:id="63" w:name="_Toc500590315"/>
      <w:bookmarkStart w:id="64" w:name="_Toc500593027"/>
      <w:bookmarkStart w:id="65" w:name="_Toc500676152"/>
      <w:bookmarkStart w:id="66" w:name="_Toc500678065"/>
      <w:bookmarkStart w:id="67" w:name="_Toc500679756"/>
      <w:bookmarkStart w:id="68" w:name="_Toc500725828"/>
      <w:bookmarkStart w:id="69" w:name="_Toc500739423"/>
      <w:r w:rsidRPr="000761C1">
        <w:br w:type="page"/>
      </w:r>
      <w:bookmarkStart w:id="70" w:name="_Toc505417750"/>
      <w:r w:rsidRPr="000761C1">
        <w:t>Förslag till lag om ändring i lagen (1946:819) om upptagande av ed för rättighets tillvaratagande i u</w:t>
      </w:r>
      <w:r w:rsidRPr="000761C1">
        <w:t>t</w:t>
      </w:r>
      <w:r w:rsidRPr="000761C1">
        <w:t>landet</w:t>
      </w:r>
      <w:bookmarkEnd w:id="54"/>
      <w:bookmarkEnd w:id="63"/>
      <w:bookmarkEnd w:id="64"/>
      <w:bookmarkEnd w:id="65"/>
      <w:bookmarkEnd w:id="66"/>
      <w:bookmarkEnd w:id="67"/>
      <w:bookmarkEnd w:id="68"/>
      <w:bookmarkEnd w:id="69"/>
      <w:bookmarkEnd w:id="70"/>
    </w:p>
    <w:p w:rsidR="0077093B" w:rsidRPr="000761C1" w:rsidRDefault="0077093B">
      <w:pPr>
        <w:pStyle w:val="Normaltindrag"/>
      </w:pPr>
    </w:p>
    <w:p w:rsidR="0077093B" w:rsidRPr="000761C1" w:rsidRDefault="0077093B">
      <w:pPr>
        <w:pStyle w:val="Normaltindrag"/>
      </w:pPr>
      <w:r w:rsidRPr="000761C1">
        <w:t>Härigenom föreskrivs att 1 § lagen (1946:819) om upptagande av ed för rättighets tillvaratagande i utlandet skall ha följande lydelse.</w:t>
      </w:r>
    </w:p>
    <w:p w:rsidR="0077093B" w:rsidRPr="000761C1" w:rsidRDefault="0077093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lydelse</w:t>
            </w:r>
          </w:p>
        </w:tc>
        <w:tc>
          <w:tcPr>
            <w:tcW w:w="3118" w:type="dxa"/>
          </w:tcPr>
          <w:p w:rsidR="0077093B" w:rsidRPr="000761C1" w:rsidRDefault="0077093B">
            <w:pPr>
              <w:rPr>
                <w:i/>
              </w:rPr>
            </w:pPr>
            <w:r w:rsidRPr="000761C1">
              <w:rPr>
                <w:i/>
              </w:rPr>
              <w:t>Föreslagen lydelse</w:t>
            </w:r>
          </w:p>
        </w:tc>
      </w:tr>
    </w:tbl>
    <w:p w:rsidR="0077093B" w:rsidRPr="000761C1" w:rsidRDefault="0077093B">
      <w:pPr>
        <w:pStyle w:val="Normaltindrag"/>
        <w:jc w:val="center"/>
      </w:pPr>
      <w:r w:rsidRPr="000761C1">
        <w:t>1 §</w:t>
      </w:r>
      <w:r w:rsidRPr="000761C1">
        <w:rPr>
          <w:rStyle w:val="Fotnotsreferens"/>
        </w:rPr>
        <w:footnoteReference w:customMarkFollows="1" w:id="7"/>
        <w:t>1</w:t>
      </w:r>
    </w:p>
    <w:p w:rsidR="0077093B" w:rsidRPr="000761C1" w:rsidRDefault="0077093B">
      <w:pPr>
        <w:pStyle w:val="Normaltindrag"/>
      </w:pPr>
      <w:r w:rsidRPr="000761C1">
        <w:t>Behöver någon få en uppgift bekräftad med ed, antingen av honom själv eller av någon annan, för att i utlandet ta till vara sin rätt till arv, försäkring, pension, skadestånd, underhållsbidrag eller någon annan rättighet som til</w:t>
      </w:r>
      <w:r w:rsidRPr="000761C1">
        <w:t>l</w:t>
      </w:r>
      <w:r w:rsidRPr="000761C1">
        <w:t xml:space="preserve">kommer honom, får sådan ed tas upp av tingsrätt.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Vad som sägs i första stycket gäller också den som för att få idka näring inom Europeiska ekonomi</w:t>
            </w:r>
            <w:r w:rsidRPr="000761C1">
              <w:t>s</w:t>
            </w:r>
            <w:r w:rsidRPr="000761C1">
              <w:t>ka samarbetsområdet behöver b</w:t>
            </w:r>
            <w:r w:rsidRPr="000761C1">
              <w:t>e</w:t>
            </w:r>
            <w:r w:rsidRPr="000761C1">
              <w:t>kräfta med ed att han inte varit försatt i konkurs.</w:t>
            </w:r>
          </w:p>
        </w:tc>
        <w:tc>
          <w:tcPr>
            <w:tcW w:w="3118" w:type="dxa"/>
          </w:tcPr>
          <w:p w:rsidR="0077093B" w:rsidRPr="000761C1" w:rsidRDefault="0077093B">
            <w:pPr>
              <w:pStyle w:val="Normaltindrag"/>
            </w:pPr>
            <w:r w:rsidRPr="000761C1">
              <w:t>Vad som sägs i första stycket gäller också den som för att få idka näring inom Europeiska ekonomi</w:t>
            </w:r>
            <w:r w:rsidRPr="000761C1">
              <w:t>s</w:t>
            </w:r>
            <w:r w:rsidRPr="000761C1">
              <w:t xml:space="preserve">ka samarbetsområdet </w:t>
            </w:r>
            <w:r w:rsidRPr="000761C1">
              <w:rPr>
                <w:i/>
              </w:rPr>
              <w:t>eller i Schweiz</w:t>
            </w:r>
            <w:r w:rsidRPr="000761C1">
              <w:t xml:space="preserve"> behöver bekräfta med ed att han inte varit försatt i konkurs.</w:t>
            </w:r>
          </w:p>
        </w:tc>
      </w:tr>
    </w:tbl>
    <w:p w:rsidR="0077093B" w:rsidRPr="000761C1" w:rsidRDefault="0077093B">
      <w:r w:rsidRPr="000761C1">
        <w:rPr>
          <w:u w:val="single"/>
        </w:rPr>
        <w:t>                                     </w:t>
      </w:r>
    </w:p>
    <w:p w:rsidR="0077093B" w:rsidRPr="000761C1" w:rsidRDefault="0077093B">
      <w:pPr>
        <w:pStyle w:val="Normaltindrag"/>
      </w:pPr>
      <w:r w:rsidRPr="000761C1">
        <w:t>Denna lag träder i kraft den dag regeringen bestämmer.</w:t>
      </w:r>
    </w:p>
    <w:p w:rsidR="0077093B" w:rsidRPr="000761C1" w:rsidRDefault="0077093B">
      <w:pPr>
        <w:pStyle w:val="Rubrik2"/>
      </w:pPr>
      <w:bookmarkStart w:id="71" w:name="_Toc500590316"/>
      <w:bookmarkStart w:id="72" w:name="_Toc500593028"/>
      <w:bookmarkStart w:id="73" w:name="_Toc500676153"/>
      <w:bookmarkStart w:id="74" w:name="_Toc500678066"/>
      <w:bookmarkStart w:id="75" w:name="_Toc500679757"/>
      <w:bookmarkStart w:id="76" w:name="_Toc500725829"/>
      <w:bookmarkStart w:id="77" w:name="_Toc500739424"/>
    </w:p>
    <w:p w:rsidR="0077093B" w:rsidRPr="000761C1" w:rsidRDefault="0077093B">
      <w:pPr>
        <w:pStyle w:val="Rubrik2"/>
      </w:pPr>
      <w:r w:rsidRPr="000761C1">
        <w:br w:type="page"/>
      </w:r>
      <w:bookmarkStart w:id="78" w:name="_Toc505417751"/>
      <w:r w:rsidRPr="000761C1">
        <w:t>Förslag till lag om ändring i passlagen (1978:302)</w:t>
      </w:r>
      <w:bookmarkEnd w:id="71"/>
      <w:bookmarkEnd w:id="72"/>
      <w:bookmarkEnd w:id="73"/>
      <w:bookmarkEnd w:id="74"/>
      <w:bookmarkEnd w:id="75"/>
      <w:bookmarkEnd w:id="76"/>
      <w:bookmarkEnd w:id="77"/>
      <w:bookmarkEnd w:id="78"/>
    </w:p>
    <w:p w:rsidR="0077093B" w:rsidRPr="000761C1" w:rsidRDefault="0077093B">
      <w:pPr>
        <w:pStyle w:val="Normaltindrag"/>
      </w:pPr>
    </w:p>
    <w:p w:rsidR="0077093B" w:rsidRPr="000761C1" w:rsidRDefault="0077093B">
      <w:pPr>
        <w:pStyle w:val="Normaltindrag"/>
      </w:pPr>
      <w:r w:rsidRPr="000761C1">
        <w:t>Härigenom föreskrivs att 5 § passlagen (1978:302) skall ha följande lyde</w:t>
      </w:r>
      <w:r w:rsidRPr="000761C1">
        <w:t>l</w:t>
      </w:r>
      <w:r w:rsidRPr="000761C1">
        <w:t>se.</w:t>
      </w:r>
    </w:p>
    <w:p w:rsidR="0077093B" w:rsidRPr="000761C1" w:rsidRDefault="0077093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lydelse</w:t>
            </w:r>
          </w:p>
        </w:tc>
        <w:tc>
          <w:tcPr>
            <w:tcW w:w="3118" w:type="dxa"/>
          </w:tcPr>
          <w:p w:rsidR="0077093B" w:rsidRPr="000761C1" w:rsidRDefault="0077093B">
            <w:pPr>
              <w:rPr>
                <w:i/>
              </w:rPr>
            </w:pPr>
            <w:r w:rsidRPr="000761C1">
              <w:rPr>
                <w:i/>
              </w:rPr>
              <w:t>Föreslagen lydelse</w:t>
            </w:r>
          </w:p>
        </w:tc>
      </w:tr>
    </w:tbl>
    <w:p w:rsidR="0077093B" w:rsidRPr="000761C1" w:rsidRDefault="0077093B">
      <w:pPr>
        <w:pStyle w:val="Normaltindrag"/>
        <w:jc w:val="center"/>
      </w:pPr>
      <w:r w:rsidRPr="000761C1">
        <w:t>5 §</w:t>
      </w:r>
      <w:r w:rsidRPr="000761C1">
        <w:rPr>
          <w:rStyle w:val="Fotnotsreferens"/>
        </w:rPr>
        <w:footnoteReference w:customMarkFollows="1" w:id="8"/>
        <w:t>1</w:t>
      </w:r>
    </w:p>
    <w:p w:rsidR="0077093B" w:rsidRPr="000761C1" w:rsidRDefault="0077093B">
      <w:pPr>
        <w:pStyle w:val="Normaltindrag"/>
      </w:pPr>
      <w:r w:rsidRPr="000761C1">
        <w:t>Svensk medborgare får ej resa ut ur riket utan att medföra giltigt pass. Vad som har sagts nu gäller dock ej</w:t>
      </w:r>
    </w:p>
    <w:p w:rsidR="0077093B" w:rsidRPr="000761C1" w:rsidRDefault="0077093B">
      <w:pPr>
        <w:pStyle w:val="Normaltindrag"/>
      </w:pPr>
      <w:r w:rsidRPr="000761C1">
        <w:t xml:space="preserve">1. på fartyg mönstrat sjöfolk under tjänstgöring ombord på fartyget eller fiskare under yrkesutövning, </w:t>
      </w:r>
    </w:p>
    <w:p w:rsidR="0077093B" w:rsidRPr="000761C1" w:rsidRDefault="0077093B">
      <w:pPr>
        <w:pStyle w:val="Normaltindrag"/>
      </w:pPr>
      <w:r w:rsidRPr="000761C1">
        <w:t>2. medlem av besättning på luftfartyg under tjänstgöring ombord på luf</w:t>
      </w:r>
      <w:r w:rsidRPr="000761C1">
        <w:t>t</w:t>
      </w:r>
      <w:r w:rsidRPr="000761C1">
        <w:t>fartyget, om han har luftfartscertifikat eller därmed jämförlig han</w:t>
      </w:r>
      <w:r w:rsidRPr="000761C1">
        <w:t>d</w:t>
      </w:r>
      <w:r w:rsidRPr="000761C1">
        <w:t>ling,</w:t>
      </w:r>
    </w:p>
    <w:p w:rsidR="0077093B" w:rsidRPr="000761C1" w:rsidRDefault="0077093B">
      <w:pPr>
        <w:pStyle w:val="Normaltindrag"/>
      </w:pPr>
      <w:r w:rsidRPr="000761C1">
        <w:t>3. den som är medborgare även i annat land än Sverige och som medför av myndighet i det landet utfärdad legitimationshandling vilken gäller som pass,</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4. den som reser till någon av de stater som har tillträtt eller anslutit sig till konventionen om tillämpning av Schengenavtalet av den 14 juni 1985 eller som har slutit avtal om samarbete enligt konventionen med konventionsstaterna,</w:t>
            </w:r>
          </w:p>
        </w:tc>
        <w:tc>
          <w:tcPr>
            <w:tcW w:w="3118" w:type="dxa"/>
          </w:tcPr>
          <w:p w:rsidR="0077093B" w:rsidRPr="000761C1" w:rsidRDefault="0077093B">
            <w:pPr>
              <w:pStyle w:val="Normaltindrag"/>
            </w:pPr>
            <w:r w:rsidRPr="000761C1">
              <w:t xml:space="preserve">4. den som reser till någon av de stater som har tillträtt eller anslutit sig till konventionen om tillämpning av Schengenavtalet av den 14 juni 1985 eller som har slutit avtal om samarbete enligt konventionen med konventionsstaterna </w:t>
            </w:r>
            <w:r w:rsidRPr="000761C1">
              <w:rPr>
                <w:i/>
              </w:rPr>
              <w:t>eller till Schweiz</w:t>
            </w:r>
            <w:r w:rsidRPr="000761C1">
              <w:t>,</w:t>
            </w:r>
          </w:p>
        </w:tc>
      </w:tr>
    </w:tbl>
    <w:p w:rsidR="0077093B" w:rsidRPr="000761C1" w:rsidRDefault="0077093B">
      <w:pPr>
        <w:pStyle w:val="Normaltindrag"/>
      </w:pPr>
      <w:r w:rsidRPr="000761C1">
        <w:t>5. passagerare på fartyg som efter utresan med återvändande tur anlöper svensk hamn, om passageraren enligt de villkor som gäller för resan inte tillåts stiga i land i främmande stat och medför särskilt passerkort för resan.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Det ankommer på polisen att övervaka efterlevnaden av bestä</w:t>
            </w:r>
            <w:r w:rsidRPr="000761C1">
              <w:t>m</w:t>
            </w:r>
            <w:r w:rsidRPr="000761C1">
              <w:t>melserna i första stycket. Den som enligt första stycket skall medföra pass vid utresa ur riket är skyldig att på begäran visa upp sitt pass för polisman, särskilt förordnad passkontrollant, tulltjänsteman eller tjänsteman vid Kustbevakningen eller vid Migrationsverket. Motsv</w:t>
            </w:r>
            <w:r w:rsidRPr="000761C1">
              <w:t>a</w:t>
            </w:r>
            <w:r w:rsidRPr="000761C1">
              <w:t xml:space="preserve">rande skyldighet föreligger vid inresa från en stat som </w:t>
            </w:r>
            <w:r w:rsidRPr="000761C1">
              <w:rPr>
                <w:i/>
              </w:rPr>
              <w:t>inte</w:t>
            </w:r>
            <w:r w:rsidRPr="000761C1">
              <w:t xml:space="preserve"> har tillträtt eller anslutit sig till konve</w:t>
            </w:r>
            <w:r w:rsidRPr="000761C1">
              <w:t>n</w:t>
            </w:r>
            <w:r w:rsidRPr="000761C1">
              <w:t>tionen om tillämpning av Scheng</w:t>
            </w:r>
            <w:r w:rsidRPr="000761C1">
              <w:t>e</w:t>
            </w:r>
            <w:r w:rsidRPr="000761C1">
              <w:t>n-</w:t>
            </w:r>
            <w:r w:rsidRPr="000761C1">
              <w:br/>
              <w:t xml:space="preserve">avtalet av den 14 juni 1985 och </w:t>
            </w:r>
            <w:r w:rsidRPr="000761C1">
              <w:rPr>
                <w:i/>
              </w:rPr>
              <w:t xml:space="preserve">inte heller </w:t>
            </w:r>
            <w:r w:rsidRPr="000761C1">
              <w:t xml:space="preserve">har slutit avtal om samarbete enligt konventionen </w:t>
            </w:r>
            <w:r w:rsidRPr="000761C1">
              <w:t>med konve</w:t>
            </w:r>
            <w:r w:rsidRPr="000761C1">
              <w:t>n</w:t>
            </w:r>
            <w:r w:rsidRPr="000761C1">
              <w:t xml:space="preserve">tionsstaterna, </w:t>
            </w:r>
            <w:r w:rsidRPr="000761C1">
              <w:rPr>
                <w:i/>
              </w:rPr>
              <w:t>om det svenska me</w:t>
            </w:r>
            <w:r w:rsidRPr="000761C1">
              <w:rPr>
                <w:i/>
              </w:rPr>
              <w:t>d</w:t>
            </w:r>
            <w:r w:rsidRPr="000761C1">
              <w:rPr>
                <w:i/>
              </w:rPr>
              <w:t>borgarskapet inte styrks på annat sätt</w:t>
            </w:r>
            <w:r w:rsidRPr="000761C1">
              <w:t>.</w:t>
            </w:r>
          </w:p>
        </w:tc>
        <w:tc>
          <w:tcPr>
            <w:tcW w:w="3118" w:type="dxa"/>
          </w:tcPr>
          <w:p w:rsidR="0077093B" w:rsidRPr="000761C1" w:rsidRDefault="0077093B">
            <w:pPr>
              <w:pStyle w:val="Normaltindrag"/>
            </w:pPr>
            <w:r w:rsidRPr="000761C1">
              <w:t>Det ankommer på polisen att övervaka efterlevnaden av bestä</w:t>
            </w:r>
            <w:r w:rsidRPr="000761C1">
              <w:t>m</w:t>
            </w:r>
            <w:r w:rsidRPr="000761C1">
              <w:t>melserna i första stycket. Den som enligt första stycket skall medföra pass vid utresa ur riket är skyldig att på begäran visa upp sitt pass för polisman, särskilt förordnad passkontrollant, tulltjänsteman eller tjänsteman vid Kustbevakningen eller vid Migrationsverket. Motsv</w:t>
            </w:r>
            <w:r w:rsidRPr="000761C1">
              <w:t>a</w:t>
            </w:r>
            <w:r w:rsidRPr="000761C1">
              <w:t xml:space="preserve">rande skyldighet </w:t>
            </w:r>
            <w:r w:rsidRPr="000761C1">
              <w:rPr>
                <w:i/>
              </w:rPr>
              <w:t>gäller</w:t>
            </w:r>
            <w:r w:rsidRPr="000761C1">
              <w:t xml:space="preserve"> vid inresa från </w:t>
            </w:r>
            <w:r w:rsidRPr="000761C1">
              <w:rPr>
                <w:i/>
              </w:rPr>
              <w:t>annat land än</w:t>
            </w:r>
          </w:p>
          <w:p w:rsidR="0077093B" w:rsidRPr="000761C1" w:rsidRDefault="0077093B">
            <w:pPr>
              <w:pStyle w:val="Normaltindrag"/>
            </w:pPr>
            <w:r w:rsidRPr="000761C1">
              <w:rPr>
                <w:i/>
              </w:rPr>
              <w:t>1.</w:t>
            </w:r>
            <w:r w:rsidRPr="000761C1">
              <w:t xml:space="preserve"> en stat som har tillträtt eller a</w:t>
            </w:r>
            <w:r w:rsidRPr="000761C1">
              <w:t>n</w:t>
            </w:r>
            <w:r w:rsidRPr="000761C1">
              <w:t>slutit sig till konventionen om ti</w:t>
            </w:r>
            <w:r w:rsidRPr="000761C1">
              <w:t>l</w:t>
            </w:r>
            <w:r w:rsidRPr="000761C1">
              <w:t>lämpning av Schengenavtalet av den 14 juni 1985,</w:t>
            </w:r>
          </w:p>
          <w:p w:rsidR="0077093B" w:rsidRPr="000761C1" w:rsidRDefault="0077093B">
            <w:pPr>
              <w:pStyle w:val="Normaltindrag"/>
              <w:rPr>
                <w:i/>
              </w:rPr>
            </w:pPr>
            <w:r w:rsidRPr="000761C1">
              <w:rPr>
                <w:i/>
              </w:rPr>
              <w:t>2. en stat som</w:t>
            </w:r>
            <w:r w:rsidRPr="000761C1">
              <w:t xml:space="preserve"> har slutit avtal om samarbete enligt konventionen med konve</w:t>
            </w:r>
            <w:r w:rsidRPr="000761C1">
              <w:t>n</w:t>
            </w:r>
            <w:r w:rsidRPr="000761C1">
              <w:t xml:space="preserve">tionsstaterna </w:t>
            </w:r>
            <w:r w:rsidRPr="000761C1">
              <w:rPr>
                <w:i/>
              </w:rPr>
              <w:t xml:space="preserve">eller </w:t>
            </w:r>
          </w:p>
          <w:p w:rsidR="0077093B" w:rsidRPr="000761C1" w:rsidRDefault="0077093B">
            <w:pPr>
              <w:pStyle w:val="Normaltindrag"/>
            </w:pPr>
            <w:r w:rsidRPr="000761C1">
              <w:rPr>
                <w:i/>
              </w:rPr>
              <w:t>3. Schweiz.</w:t>
            </w:r>
          </w:p>
          <w:p w:rsidR="0077093B" w:rsidRPr="000761C1" w:rsidRDefault="0077093B">
            <w:pPr>
              <w:pStyle w:val="Normaltindrag"/>
              <w:rPr>
                <w:i/>
              </w:rPr>
            </w:pPr>
            <w:r w:rsidRPr="000761C1">
              <w:rPr>
                <w:i/>
              </w:rPr>
              <w:t>Skyldigheten att uppvisa pass vid inresa gäller endast om det svenska medborgarskapet inte kan styrkas på annat sätt.</w:t>
            </w:r>
          </w:p>
        </w:tc>
      </w:tr>
    </w:tbl>
    <w:p w:rsidR="0077093B" w:rsidRPr="000761C1" w:rsidRDefault="0077093B">
      <w:r w:rsidRPr="000761C1">
        <w:rPr>
          <w:u w:val="single"/>
        </w:rPr>
        <w:t>                                     </w:t>
      </w:r>
    </w:p>
    <w:p w:rsidR="0077093B" w:rsidRPr="000761C1" w:rsidRDefault="0077093B">
      <w:pPr>
        <w:pStyle w:val="Normaltindrag"/>
      </w:pPr>
      <w:r w:rsidRPr="000761C1">
        <w:t>Denna lag träder i kraft den dag regeringen bestämmer.</w:t>
      </w:r>
    </w:p>
    <w:p w:rsidR="0077093B" w:rsidRPr="000761C1" w:rsidRDefault="0077093B">
      <w:pPr>
        <w:pStyle w:val="Rubrik2"/>
      </w:pPr>
      <w:bookmarkStart w:id="79" w:name="_Toc500590317"/>
      <w:bookmarkStart w:id="80" w:name="_Toc500593029"/>
      <w:bookmarkStart w:id="81" w:name="_Toc500676154"/>
      <w:bookmarkStart w:id="82" w:name="_Toc500678067"/>
      <w:bookmarkStart w:id="83" w:name="_Toc500679758"/>
      <w:bookmarkStart w:id="84" w:name="_Toc500725830"/>
      <w:bookmarkStart w:id="85" w:name="_Toc500739425"/>
    </w:p>
    <w:p w:rsidR="0077093B" w:rsidRPr="000761C1" w:rsidRDefault="0077093B">
      <w:pPr>
        <w:pStyle w:val="Rubrik2"/>
      </w:pPr>
      <w:r w:rsidRPr="000761C1">
        <w:br w:type="page"/>
      </w:r>
      <w:bookmarkStart w:id="86" w:name="_Toc505417752"/>
      <w:r w:rsidRPr="000761C1">
        <w:t>Förslag till lag om ändring i utlänningslagen (1989:529)</w:t>
      </w:r>
      <w:bookmarkEnd w:id="79"/>
      <w:bookmarkEnd w:id="80"/>
      <w:bookmarkEnd w:id="81"/>
      <w:bookmarkEnd w:id="82"/>
      <w:bookmarkEnd w:id="83"/>
      <w:bookmarkEnd w:id="84"/>
      <w:bookmarkEnd w:id="85"/>
      <w:bookmarkEnd w:id="86"/>
    </w:p>
    <w:p w:rsidR="0077093B" w:rsidRPr="000761C1" w:rsidRDefault="0077093B">
      <w:pPr>
        <w:pStyle w:val="Normaltindrag"/>
      </w:pPr>
    </w:p>
    <w:p w:rsidR="0077093B" w:rsidRPr="000761C1" w:rsidRDefault="0077093B">
      <w:pPr>
        <w:pStyle w:val="Normaltindrag"/>
      </w:pPr>
      <w:r w:rsidRPr="000761C1">
        <w:t>Härigenom föreskrivs att 2 kap. 14 § samt 11 kap. 1 och 3 §§ utlänningsl</w:t>
      </w:r>
      <w:r w:rsidRPr="000761C1">
        <w:t>a</w:t>
      </w:r>
      <w:r w:rsidRPr="000761C1">
        <w:t>gen (1989:529)</w:t>
      </w:r>
      <w:r w:rsidRPr="000761C1">
        <w:rPr>
          <w:rStyle w:val="Fotnotsreferens"/>
        </w:rPr>
        <w:footnoteReference w:customMarkFollows="1" w:id="9"/>
        <w:t>1</w:t>
      </w:r>
      <w:r w:rsidRPr="000761C1">
        <w:t xml:space="preserve"> skall ha följande lydelse.</w:t>
      </w:r>
    </w:p>
    <w:p w:rsidR="0077093B" w:rsidRPr="000761C1" w:rsidRDefault="0077093B">
      <w:pPr>
        <w:pStyle w:val="Normaltindrag"/>
        <w:spacing w:line="120" w:lineRule="exact"/>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lydelse</w:t>
            </w:r>
          </w:p>
        </w:tc>
        <w:tc>
          <w:tcPr>
            <w:tcW w:w="3118" w:type="dxa"/>
          </w:tcPr>
          <w:p w:rsidR="0077093B" w:rsidRPr="000761C1" w:rsidRDefault="0077093B">
            <w:pPr>
              <w:rPr>
                <w:i/>
              </w:rPr>
            </w:pPr>
            <w:r w:rsidRPr="000761C1">
              <w:rPr>
                <w:i/>
              </w:rPr>
              <w:t>Föreslagen lydelse</w:t>
            </w:r>
          </w:p>
        </w:tc>
      </w:tr>
    </w:tbl>
    <w:p w:rsidR="0077093B" w:rsidRPr="000761C1" w:rsidRDefault="0077093B">
      <w:pPr>
        <w:pStyle w:val="Normaltindrag"/>
        <w:jc w:val="center"/>
      </w:pPr>
      <w:r w:rsidRPr="000761C1">
        <w:rPr>
          <w:b/>
        </w:rPr>
        <w:t>2 kap.</w:t>
      </w:r>
    </w:p>
    <w:p w:rsidR="0077093B" w:rsidRPr="000761C1" w:rsidRDefault="0077093B">
      <w:pPr>
        <w:pStyle w:val="Normaltindrag"/>
        <w:jc w:val="center"/>
      </w:pPr>
      <w:r w:rsidRPr="000761C1">
        <w:t>14 §</w:t>
      </w:r>
      <w:r w:rsidRPr="000761C1">
        <w:rPr>
          <w:rStyle w:val="Fotnotsreferens"/>
        </w:rPr>
        <w:footnoteReference w:customMarkFollows="1" w:id="10"/>
        <w:t>2</w:t>
      </w:r>
    </w:p>
    <w:p w:rsidR="0077093B" w:rsidRPr="000761C1" w:rsidRDefault="0077093B">
      <w:pPr>
        <w:pStyle w:val="Normaltindrag"/>
      </w:pPr>
      <w:r w:rsidRPr="000761C1">
        <w:t>Utöver vad som följer av 4 a § får regeringen meddela föreskrifter om</w:t>
      </w:r>
    </w:p>
    <w:p w:rsidR="0077093B" w:rsidRPr="000761C1" w:rsidRDefault="0077093B">
      <w:pPr>
        <w:pStyle w:val="Normaltindrag"/>
      </w:pPr>
      <w:r w:rsidRPr="000761C1">
        <w:t>uppehållstillstånd för studier eller besök, och</w:t>
      </w:r>
    </w:p>
    <w:p w:rsidR="0077093B" w:rsidRPr="000761C1" w:rsidRDefault="0077093B">
      <w:pPr>
        <w:pStyle w:val="Normaltindrag"/>
      </w:pPr>
      <w:r w:rsidRPr="000761C1">
        <w:t>uppehållstillstånd av humanitära skäl.</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Regeringen får också meddela f</w:t>
            </w:r>
            <w:r w:rsidRPr="000761C1">
              <w:t>ö</w:t>
            </w:r>
            <w:r w:rsidRPr="000761C1">
              <w:t>reskrifter om att en ansökan om uppehållstillstånd får bifallas om det följer av en överenskommelse med främmande stat, samt att uppehåll</w:t>
            </w:r>
            <w:r w:rsidRPr="000761C1">
              <w:t>s</w:t>
            </w:r>
            <w:r w:rsidRPr="000761C1">
              <w:t>tillstånd får återkallas för de utlä</w:t>
            </w:r>
            <w:r w:rsidRPr="000761C1">
              <w:t>n</w:t>
            </w:r>
            <w:r w:rsidRPr="000761C1">
              <w:t>ningar som omfattas av avtalet om ett Europeiskt ekonomiskt sama</w:t>
            </w:r>
            <w:r w:rsidRPr="000761C1">
              <w:t>r</w:t>
            </w:r>
            <w:r w:rsidRPr="000761C1">
              <w:t>betsområde (EES) även i andra fall än de som anges i 11 § första styc</w:t>
            </w:r>
            <w:r w:rsidRPr="000761C1">
              <w:t>k</w:t>
            </w:r>
            <w:r w:rsidRPr="000761C1">
              <w:t>et.</w:t>
            </w:r>
          </w:p>
        </w:tc>
        <w:tc>
          <w:tcPr>
            <w:tcW w:w="3118" w:type="dxa"/>
          </w:tcPr>
          <w:p w:rsidR="0077093B" w:rsidRPr="000761C1" w:rsidRDefault="0077093B">
            <w:pPr>
              <w:pStyle w:val="Normaltindrag"/>
            </w:pPr>
            <w:r w:rsidRPr="000761C1">
              <w:t>Regeringen får också meddela f</w:t>
            </w:r>
            <w:r w:rsidRPr="000761C1">
              <w:t>ö</w:t>
            </w:r>
            <w:r w:rsidRPr="000761C1">
              <w:t>reskrifter om att en ansökan om uppehållstillstånd får bifallas om det följer av en överenskommelse med främmande stat, samt att uppehåll</w:t>
            </w:r>
            <w:r w:rsidRPr="000761C1">
              <w:t>s</w:t>
            </w:r>
            <w:r w:rsidRPr="000761C1">
              <w:t>tillstånd får återkallas för de utlä</w:t>
            </w:r>
            <w:r w:rsidRPr="000761C1">
              <w:t>n</w:t>
            </w:r>
            <w:r w:rsidRPr="000761C1">
              <w:t>ningar som omfattas av avtalet om ett Europeiskt ekonomiskt sama</w:t>
            </w:r>
            <w:r w:rsidRPr="000761C1">
              <w:t>r</w:t>
            </w:r>
            <w:r w:rsidRPr="000761C1">
              <w:t xml:space="preserve">betsområde (EES) </w:t>
            </w:r>
            <w:r w:rsidRPr="000761C1">
              <w:rPr>
                <w:i/>
              </w:rPr>
              <w:t>eller avtalet mellan Europeiska gemenskapen och dess medlemsstater å ena sidan och Schweiz å andra sidan om fri rörlighet för personer</w:t>
            </w:r>
            <w:r w:rsidRPr="000761C1">
              <w:t xml:space="preserve"> även i andra fall än de som anges i 11 § första stycket.</w:t>
            </w:r>
          </w:p>
        </w:tc>
      </w:tr>
    </w:tbl>
    <w:p w:rsidR="0077093B" w:rsidRPr="000761C1" w:rsidRDefault="0077093B">
      <w:pPr>
        <w:pStyle w:val="Normaltindrag"/>
      </w:pPr>
      <w:r w:rsidRPr="000761C1">
        <w:t>Regeringen skall anmäla föreskrifter om tidsbegränsat uppehållstillstånd enligt 4 a § till riksdagen genom en särskild skrivelse inom tre månader.</w:t>
      </w:r>
    </w:p>
    <w:p w:rsidR="0077093B" w:rsidRPr="000761C1" w:rsidRDefault="0077093B">
      <w:pPr>
        <w:pStyle w:val="Normaltindrag"/>
      </w:pPr>
    </w:p>
    <w:p w:rsidR="0077093B" w:rsidRPr="000761C1" w:rsidRDefault="0077093B">
      <w:pPr>
        <w:pStyle w:val="Normaltindrag"/>
        <w:jc w:val="center"/>
      </w:pPr>
      <w:r w:rsidRPr="000761C1">
        <w:rPr>
          <w:b/>
        </w:rPr>
        <w:t>11 kap.</w:t>
      </w:r>
    </w:p>
    <w:p w:rsidR="0077093B" w:rsidRPr="000761C1" w:rsidRDefault="0077093B">
      <w:pPr>
        <w:pStyle w:val="Normaltindrag"/>
        <w:jc w:val="center"/>
      </w:pPr>
      <w:r w:rsidRPr="000761C1">
        <w:t>1 §</w:t>
      </w:r>
      <w:r w:rsidRPr="000761C1">
        <w:rPr>
          <w:rStyle w:val="Fotnotsreferens"/>
        </w:rPr>
        <w:footnoteReference w:customMarkFollows="1" w:id="11"/>
        <w:t>3</w:t>
      </w:r>
    </w:p>
    <w:p w:rsidR="0077093B" w:rsidRPr="000761C1" w:rsidRDefault="0077093B">
      <w:pPr>
        <w:pStyle w:val="Normaltindrag"/>
      </w:pPr>
      <w:r w:rsidRPr="000761C1">
        <w:t>En utlänning som har ansökt om asyl i Sverige får avvisas endast om muntlig handläggning har ingått vid Migrationsverkets handläggning av ärendet. Muntlig handläggning skall även annars företas på begäran av utlä</w:t>
      </w:r>
      <w:r w:rsidRPr="000761C1">
        <w:t>n</w:t>
      </w:r>
      <w:r w:rsidRPr="000761C1">
        <w:t>ningen, om inte en sådan handläggning skulle sakna betydelse för att avgöra asylärendet.</w:t>
      </w:r>
    </w:p>
    <w:p w:rsidR="0077093B" w:rsidRPr="000761C1" w:rsidRDefault="0077093B">
      <w:pPr>
        <w:pStyle w:val="Normaltindrag"/>
      </w:pPr>
      <w:r w:rsidRPr="000761C1">
        <w:t>I ett asylärende vid Utlänningsnämnden skall muntlig handläggning ingå, om detta kan antas vara till fördel för utredningen eller på annat sätt bidra till ett snabbt avgörande. Muntlig handläggning skall även annars företas på utlänningens begäran, om det inte står klart att en sådan handläggning är obehövlig i asylärendet.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Utlänningsnämnden skall ha muntlig handläggning i ärenden som rör utvisning eller vägran att förnya ett uppehållstillstånd avs</w:t>
            </w:r>
            <w:r w:rsidRPr="000761C1">
              <w:t>e</w:t>
            </w:r>
            <w:r w:rsidRPr="000761C1">
              <w:t>ende de utlänningar som omfattas av avtalet om ett Europeiskt ek</w:t>
            </w:r>
            <w:r w:rsidRPr="000761C1">
              <w:t>o</w:t>
            </w:r>
            <w:r w:rsidRPr="000761C1">
              <w:t>nomiskt samarbetsområde (EES). Även ärenden som rör avvisning eller vägran att bevilja uppehållstil</w:t>
            </w:r>
            <w:r w:rsidRPr="000761C1">
              <w:t>l</w:t>
            </w:r>
            <w:r w:rsidRPr="000761C1">
              <w:t>stånd skall handläggas muntligen, om det begärs av en utlänning som omfattas av avtalet och som ansökt om uppehållstillstånd. I detta fall får dock muntlig handläggning unde</w:t>
            </w:r>
            <w:r w:rsidRPr="000761C1">
              <w:t>r</w:t>
            </w:r>
            <w:r w:rsidRPr="000761C1">
              <w:t>låtas, om den skulle strida mot den nationella säkerh</w:t>
            </w:r>
            <w:r w:rsidRPr="000761C1">
              <w:t>e</w:t>
            </w:r>
            <w:r w:rsidRPr="000761C1">
              <w:t>tens intresse.</w:t>
            </w:r>
          </w:p>
        </w:tc>
        <w:tc>
          <w:tcPr>
            <w:tcW w:w="3118" w:type="dxa"/>
          </w:tcPr>
          <w:p w:rsidR="0077093B" w:rsidRPr="000761C1" w:rsidRDefault="0077093B">
            <w:pPr>
              <w:pStyle w:val="Normaltindrag"/>
            </w:pPr>
            <w:r w:rsidRPr="000761C1">
              <w:t>Utlänningsnämnden skall ha muntlig handläggning i ärenden som rör utvisning eller vägran att förnya ett</w:t>
            </w:r>
            <w:r w:rsidRPr="000761C1">
              <w:t xml:space="preserve"> uppehållstillstånd avs</w:t>
            </w:r>
            <w:r w:rsidRPr="000761C1">
              <w:t>e</w:t>
            </w:r>
            <w:r w:rsidRPr="000761C1">
              <w:t>ende de utlänningar som omfattas av avtalet om ett Europeiskt ek</w:t>
            </w:r>
            <w:r w:rsidRPr="000761C1">
              <w:t>o</w:t>
            </w:r>
            <w:r w:rsidRPr="000761C1">
              <w:t xml:space="preserve">nomiskt samarbetsområde (EES) </w:t>
            </w:r>
            <w:r w:rsidRPr="000761C1">
              <w:rPr>
                <w:i/>
              </w:rPr>
              <w:t>eller avtalet mellan Europeiska gemenskapen och dess medlem</w:t>
            </w:r>
            <w:r w:rsidRPr="000761C1">
              <w:rPr>
                <w:i/>
              </w:rPr>
              <w:t>s</w:t>
            </w:r>
            <w:r w:rsidRPr="000761C1">
              <w:rPr>
                <w:i/>
              </w:rPr>
              <w:t xml:space="preserve">stater å ena sidan och Schweiz å andra sidan om fri rörlighet för personer. </w:t>
            </w:r>
            <w:r w:rsidRPr="000761C1">
              <w:t>Även ärenden som rör avvisning eller vägran att bevilja uppehållstillstånd skall handläggas muntligen, om det begärs av en utlänning som omfattas av avtalen och som ansökt om uppehållstil</w:t>
            </w:r>
            <w:r w:rsidRPr="000761C1">
              <w:t>l</w:t>
            </w:r>
            <w:r w:rsidRPr="000761C1">
              <w:t xml:space="preserve">stånd. I detta fall får dock muntlig handläggning underlåtas, om den </w:t>
            </w:r>
            <w:r w:rsidRPr="000761C1">
              <w:t>skulle strida mot den nationella säkerhetens intresse.</w:t>
            </w:r>
          </w:p>
        </w:tc>
      </w:tr>
    </w:tbl>
    <w:p w:rsidR="0077093B" w:rsidRPr="000761C1" w:rsidRDefault="0077093B">
      <w:pPr>
        <w:pStyle w:val="Normaltindrag"/>
      </w:pPr>
      <w:r w:rsidRPr="000761C1">
        <w:t>Migrationsverket och Utlänningsnämnden får bestämma att även andra personer än utlänningen skall höras vid handläggningen. Ersättning för i</w:t>
      </w:r>
      <w:r w:rsidRPr="000761C1">
        <w:t>n</w:t>
      </w:r>
      <w:r w:rsidRPr="000761C1">
        <w:t xml:space="preserve">ställelsen lämnas i sådana fall enligt 6 kap. 15 § andra stycket. </w:t>
      </w:r>
    </w:p>
    <w:p w:rsidR="0077093B" w:rsidRPr="000761C1" w:rsidRDefault="0077093B">
      <w:pPr>
        <w:pStyle w:val="Normaltindrag"/>
      </w:pPr>
      <w:r w:rsidRPr="000761C1">
        <w:t>Särskilda bestämmelser om utredning som rör barn finns i 1 a §.</w:t>
      </w:r>
    </w:p>
    <w:p w:rsidR="0077093B" w:rsidRPr="000761C1" w:rsidRDefault="0077093B">
      <w:pPr>
        <w:pStyle w:val="Normaltindrag"/>
      </w:pPr>
    </w:p>
    <w:p w:rsidR="0077093B" w:rsidRPr="000761C1" w:rsidRDefault="0077093B">
      <w:pPr>
        <w:pStyle w:val="Normaltindrag"/>
        <w:jc w:val="center"/>
      </w:pPr>
      <w:r w:rsidRPr="000761C1">
        <w:t>3 §</w:t>
      </w:r>
      <w:r w:rsidRPr="000761C1">
        <w:rPr>
          <w:rStyle w:val="Fotnotsreferens"/>
        </w:rPr>
        <w:footnoteReference w:customMarkFollows="1" w:id="12"/>
        <w:t>4</w:t>
      </w:r>
    </w:p>
    <w:p w:rsidR="0077093B" w:rsidRPr="000761C1" w:rsidRDefault="0077093B">
      <w:pPr>
        <w:pStyle w:val="Normaltindrag"/>
      </w:pPr>
      <w:r w:rsidRPr="000761C1">
        <w:t xml:space="preserve">Bestämmelserna i 20 § förvaltningslagen om motivering av beslut gäller även för beslut som meddelas i ärenden enligt denna lag, om inte något annat följer av andra eller tredje stycket. </w:t>
      </w:r>
    </w:p>
    <w:p w:rsidR="0077093B" w:rsidRPr="000761C1" w:rsidRDefault="0077093B">
      <w:pPr>
        <w:pStyle w:val="Normaltindrag"/>
      </w:pPr>
      <w:r w:rsidRPr="000761C1">
        <w:t>Ett beslut i fråga om uppehållstillstånd skall alltid innehålla de skäl som ligger till grund för beslutet.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Vid beslut om visering eller a</w:t>
            </w:r>
            <w:r w:rsidRPr="000761C1">
              <w:t>r</w:t>
            </w:r>
            <w:r w:rsidRPr="000761C1">
              <w:t>betstillstånd får skälen som ligger till grund för beslutet utelämnas. En utlänning som omfattas av avtalet om ett Europeiskt ekonomiskt sa</w:t>
            </w:r>
            <w:r w:rsidRPr="000761C1">
              <w:t>m</w:t>
            </w:r>
            <w:r w:rsidRPr="000761C1">
              <w:t>arbetsområde (EES), utan att vara medborgare i ett EES land, har dock alltid rätt till motivering av ett b</w:t>
            </w:r>
            <w:r w:rsidRPr="000761C1">
              <w:t>e</w:t>
            </w:r>
            <w:r w:rsidRPr="000761C1">
              <w:t>slut om visering om det går honom emot.</w:t>
            </w:r>
          </w:p>
        </w:tc>
        <w:tc>
          <w:tcPr>
            <w:tcW w:w="3118" w:type="dxa"/>
          </w:tcPr>
          <w:p w:rsidR="0077093B" w:rsidRPr="000761C1" w:rsidRDefault="0077093B">
            <w:pPr>
              <w:pStyle w:val="Normaltindrag"/>
            </w:pPr>
            <w:r w:rsidRPr="000761C1">
              <w:t>Vid beslut om visering eller a</w:t>
            </w:r>
            <w:r w:rsidRPr="000761C1">
              <w:t>r</w:t>
            </w:r>
            <w:r w:rsidRPr="000761C1">
              <w:t>betstillstånd får skälen som ligger till grund för beslutet utelämnas. En utlänning som omfattas av avtalet om ett Europeiskt ekonomiskt sa</w:t>
            </w:r>
            <w:r w:rsidRPr="000761C1">
              <w:t>m</w:t>
            </w:r>
            <w:r w:rsidRPr="000761C1">
              <w:t xml:space="preserve">arbetsområde (EES) </w:t>
            </w:r>
            <w:r w:rsidRPr="000761C1">
              <w:rPr>
                <w:i/>
              </w:rPr>
              <w:t xml:space="preserve">eller avtalet mellan Europeiska gemenskapen och dess medlemsstater å ena sidan och Schweiz å andra sidan om fri rörlighet för personer, </w:t>
            </w:r>
            <w:r w:rsidRPr="000761C1">
              <w:t xml:space="preserve">utan att vara medborgare i ett EES-land </w:t>
            </w:r>
            <w:r w:rsidRPr="000761C1">
              <w:rPr>
                <w:i/>
              </w:rPr>
              <w:t>eller i Schweiz</w:t>
            </w:r>
            <w:r w:rsidRPr="000761C1">
              <w:t>, har dock alltid rätt till motivering av ett beslut om visering om det går honom emot.</w:t>
            </w:r>
          </w:p>
        </w:tc>
      </w:tr>
    </w:tbl>
    <w:p w:rsidR="0077093B" w:rsidRPr="000761C1" w:rsidRDefault="0077093B">
      <w:r w:rsidRPr="000761C1">
        <w:rPr>
          <w:u w:val="single"/>
        </w:rPr>
        <w:t>                                     </w:t>
      </w:r>
    </w:p>
    <w:p w:rsidR="0077093B" w:rsidRPr="000761C1" w:rsidRDefault="0077093B">
      <w:pPr>
        <w:pStyle w:val="Normaltindrag"/>
      </w:pPr>
      <w:bookmarkStart w:id="87" w:name="_Toc505417753"/>
      <w:r w:rsidRPr="000761C1">
        <w:t>Denna lag träder i kraft den dag regeringen bestämmer.</w:t>
      </w:r>
      <w:bookmarkStart w:id="88" w:name="_Toc500590318"/>
      <w:bookmarkStart w:id="89" w:name="_Toc500593030"/>
      <w:bookmarkStart w:id="90" w:name="_Toc500676155"/>
      <w:bookmarkStart w:id="91" w:name="_Toc500678068"/>
      <w:bookmarkStart w:id="92" w:name="_Toc500679759"/>
      <w:bookmarkStart w:id="93" w:name="_Toc500725831"/>
      <w:bookmarkStart w:id="94" w:name="_Toc500739426"/>
      <w:bookmarkEnd w:id="87"/>
    </w:p>
    <w:p w:rsidR="0077093B" w:rsidRPr="000761C1" w:rsidRDefault="0077093B">
      <w:pPr>
        <w:pStyle w:val="Rubrik2"/>
      </w:pPr>
      <w:r w:rsidRPr="000761C1">
        <w:br w:type="page"/>
      </w:r>
      <w:bookmarkStart w:id="95" w:name="_Toc505417754"/>
      <w:r w:rsidRPr="000761C1">
        <w:t>Förslag till lag om ändring i lagen (1990:515) om auktorisation av handelskamrar</w:t>
      </w:r>
      <w:bookmarkEnd w:id="88"/>
      <w:bookmarkEnd w:id="89"/>
      <w:bookmarkEnd w:id="90"/>
      <w:bookmarkEnd w:id="91"/>
      <w:bookmarkEnd w:id="92"/>
      <w:bookmarkEnd w:id="93"/>
      <w:bookmarkEnd w:id="94"/>
      <w:bookmarkEnd w:id="95"/>
      <w:r w:rsidRPr="000761C1">
        <w:t xml:space="preserve"> </w:t>
      </w:r>
    </w:p>
    <w:p w:rsidR="0077093B" w:rsidRPr="000761C1" w:rsidRDefault="0077093B">
      <w:pPr>
        <w:pStyle w:val="Normaltindrag"/>
      </w:pPr>
    </w:p>
    <w:p w:rsidR="0077093B" w:rsidRPr="000761C1" w:rsidRDefault="0077093B">
      <w:pPr>
        <w:pStyle w:val="Normaltindrag"/>
      </w:pPr>
      <w:r w:rsidRPr="000761C1">
        <w:t>Härigenom föreskrivs att 9 § lagen (1990:515) om auktorisation av ha</w:t>
      </w:r>
      <w:r w:rsidRPr="000761C1">
        <w:t>n</w:t>
      </w:r>
      <w:r w:rsidRPr="000761C1">
        <w:t>delskamrar skall ha följande lydelse.</w:t>
      </w:r>
    </w:p>
    <w:p w:rsidR="0077093B" w:rsidRPr="000761C1" w:rsidRDefault="0077093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lydelse</w:t>
            </w:r>
          </w:p>
        </w:tc>
        <w:tc>
          <w:tcPr>
            <w:tcW w:w="3118" w:type="dxa"/>
          </w:tcPr>
          <w:p w:rsidR="0077093B" w:rsidRPr="000761C1" w:rsidRDefault="0077093B">
            <w:pPr>
              <w:rPr>
                <w:i/>
              </w:rPr>
            </w:pPr>
            <w:r w:rsidRPr="000761C1">
              <w:rPr>
                <w:i/>
              </w:rPr>
              <w:t>Föreslagen lydelse</w:t>
            </w:r>
          </w:p>
        </w:tc>
      </w:tr>
    </w:tbl>
    <w:p w:rsidR="0077093B" w:rsidRPr="000761C1" w:rsidRDefault="0077093B">
      <w:pPr>
        <w:pStyle w:val="Normaltindrag"/>
        <w:jc w:val="center"/>
      </w:pPr>
      <w:r w:rsidRPr="000761C1">
        <w:t>9 §</w:t>
      </w:r>
      <w:r w:rsidRPr="000761C1">
        <w:rPr>
          <w:rStyle w:val="Fotnotsreferens"/>
        </w:rPr>
        <w:footnoteReference w:customMarkFollows="1" w:id="13"/>
        <w:t>1</w:t>
      </w:r>
    </w:p>
    <w:p w:rsidR="0077093B" w:rsidRPr="000761C1" w:rsidRDefault="0077093B">
      <w:pPr>
        <w:pStyle w:val="Normaltindrag"/>
      </w:pPr>
      <w:r w:rsidRPr="000761C1">
        <w:t>Regeringen eller den myndighet som regeringen bestämmer får uppdra åt auktoriserade handelskamrar att utfärda sådana certifikat och andra dok</w:t>
      </w:r>
      <w:r w:rsidRPr="000761C1">
        <w:t>u</w:t>
      </w:r>
      <w:r w:rsidRPr="000761C1">
        <w:t>ment för handelsändamål, som kan behövas på grund av internationella öve</w:t>
      </w:r>
      <w:r w:rsidRPr="000761C1">
        <w:t>r</w:t>
      </w:r>
      <w:r w:rsidRPr="000761C1">
        <w:t>enskommelser eller utländska föreskrifter om in- eller utförsel av varor.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Vad som sägs i första stycket gäller också sådana intyg för e</w:t>
            </w:r>
            <w:r w:rsidRPr="000761C1">
              <w:t>n</w:t>
            </w:r>
            <w:r w:rsidRPr="000761C1">
              <w:t>skilda personer om faktiskt utöva</w:t>
            </w:r>
            <w:r w:rsidRPr="000761C1">
              <w:t>n</w:t>
            </w:r>
            <w:r w:rsidRPr="000761C1">
              <w:t>de av verksamhet som behövs för att få idka näring inom Europeiska ekonomiska samarbetso</w:t>
            </w:r>
            <w:r w:rsidRPr="000761C1">
              <w:t>m</w:t>
            </w:r>
            <w:r w:rsidRPr="000761C1">
              <w:t>rådet.</w:t>
            </w:r>
          </w:p>
        </w:tc>
        <w:tc>
          <w:tcPr>
            <w:tcW w:w="3118" w:type="dxa"/>
          </w:tcPr>
          <w:p w:rsidR="0077093B" w:rsidRPr="000761C1" w:rsidRDefault="0077093B">
            <w:pPr>
              <w:pStyle w:val="Normaltindrag"/>
            </w:pPr>
            <w:r w:rsidRPr="000761C1">
              <w:t>Vad som sägs i första stycket gäller också sådana intyg för e</w:t>
            </w:r>
            <w:r w:rsidRPr="000761C1">
              <w:t>n</w:t>
            </w:r>
            <w:r w:rsidRPr="000761C1">
              <w:t>skilda personer om faktiskt utöva</w:t>
            </w:r>
            <w:r w:rsidRPr="000761C1">
              <w:t>n</w:t>
            </w:r>
            <w:r w:rsidRPr="000761C1">
              <w:t xml:space="preserve">de av verksamhet som behövs för att få idka näring inom Europeiska ekonomiska samarbetsområdet </w:t>
            </w:r>
            <w:r w:rsidRPr="000761C1">
              <w:rPr>
                <w:i/>
              </w:rPr>
              <w:t>eller i Schweiz</w:t>
            </w:r>
            <w:r w:rsidRPr="000761C1">
              <w:t>.</w:t>
            </w:r>
          </w:p>
        </w:tc>
      </w:tr>
    </w:tbl>
    <w:p w:rsidR="0077093B" w:rsidRPr="000761C1" w:rsidRDefault="0077093B">
      <w:pPr>
        <w:pStyle w:val="Normaltindrag"/>
      </w:pPr>
      <w:r w:rsidRPr="000761C1">
        <w:t>Beslut av auktoriserade handelskamrar i ärenden enligt andra stycket får överklagas hos allmän förvaltningsdomstol. Prövningstillstånd krävs vid överklagande till kammarrätten.</w:t>
      </w:r>
    </w:p>
    <w:p w:rsidR="0077093B" w:rsidRPr="000761C1" w:rsidRDefault="0077093B">
      <w:r w:rsidRPr="000761C1">
        <w:rPr>
          <w:u w:val="single"/>
        </w:rPr>
        <w:t>                                     </w:t>
      </w:r>
    </w:p>
    <w:p w:rsidR="0077093B" w:rsidRPr="000761C1" w:rsidRDefault="0077093B">
      <w:pPr>
        <w:pStyle w:val="Normaltindrag"/>
      </w:pPr>
      <w:r w:rsidRPr="000761C1">
        <w:t>Denna lag träder i kraft den dag regeringen bestämmer.</w:t>
      </w:r>
    </w:p>
    <w:p w:rsidR="0077093B" w:rsidRPr="000761C1" w:rsidRDefault="0077093B">
      <w:pPr>
        <w:pStyle w:val="Rubrik2"/>
      </w:pPr>
      <w:bookmarkStart w:id="96" w:name="_Toc500590319"/>
      <w:bookmarkStart w:id="97" w:name="_Toc500593031"/>
      <w:bookmarkStart w:id="98" w:name="_Toc500676156"/>
      <w:bookmarkStart w:id="99" w:name="_Toc500678069"/>
      <w:bookmarkStart w:id="100" w:name="_Toc500679760"/>
      <w:bookmarkStart w:id="101" w:name="_Toc500725832"/>
      <w:bookmarkStart w:id="102" w:name="_Toc500739427"/>
      <w:r w:rsidRPr="000761C1">
        <w:br w:type="page"/>
      </w:r>
      <w:bookmarkStart w:id="103" w:name="_Toc505417755"/>
      <w:r w:rsidRPr="000761C1">
        <w:t>Förslag till lag om ändring i lagen (1995:528) om revisorer</w:t>
      </w:r>
      <w:bookmarkEnd w:id="96"/>
      <w:bookmarkEnd w:id="97"/>
      <w:bookmarkEnd w:id="98"/>
      <w:bookmarkEnd w:id="99"/>
      <w:bookmarkEnd w:id="100"/>
      <w:bookmarkEnd w:id="101"/>
      <w:bookmarkEnd w:id="102"/>
      <w:bookmarkEnd w:id="103"/>
      <w:r w:rsidRPr="000761C1">
        <w:t xml:space="preserve"> </w:t>
      </w:r>
    </w:p>
    <w:p w:rsidR="0077093B" w:rsidRPr="000761C1" w:rsidRDefault="0077093B">
      <w:pPr>
        <w:pStyle w:val="Normaltindrag"/>
      </w:pPr>
    </w:p>
    <w:p w:rsidR="0077093B" w:rsidRPr="000761C1" w:rsidRDefault="0077093B">
      <w:pPr>
        <w:pStyle w:val="Normaltindrag"/>
      </w:pPr>
      <w:r w:rsidRPr="000761C1">
        <w:t>Härigenom föreskrivs att 4, 6–8 samt 16 §§ lagen (1995:528) om revisorer skall ha följande lydelse.</w:t>
      </w:r>
    </w:p>
    <w:p w:rsidR="0077093B" w:rsidRPr="000761C1" w:rsidRDefault="0077093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lydelse</w:t>
            </w:r>
          </w:p>
        </w:tc>
        <w:tc>
          <w:tcPr>
            <w:tcW w:w="3118" w:type="dxa"/>
          </w:tcPr>
          <w:p w:rsidR="0077093B" w:rsidRPr="000761C1" w:rsidRDefault="0077093B">
            <w:pPr>
              <w:rPr>
                <w:i/>
              </w:rPr>
            </w:pPr>
            <w:r w:rsidRPr="000761C1">
              <w:rPr>
                <w:i/>
              </w:rPr>
              <w:t>Föreslagen lydelse</w:t>
            </w:r>
          </w:p>
        </w:tc>
      </w:tr>
    </w:tbl>
    <w:p w:rsidR="0077093B" w:rsidRPr="000761C1" w:rsidRDefault="0077093B">
      <w:pPr>
        <w:pStyle w:val="Normaltindrag"/>
      </w:pPr>
    </w:p>
    <w:p w:rsidR="0077093B" w:rsidRPr="000761C1" w:rsidRDefault="0077093B">
      <w:pPr>
        <w:pStyle w:val="Normaltindrag"/>
        <w:jc w:val="center"/>
      </w:pPr>
      <w:r w:rsidRPr="000761C1">
        <w:t>4 §</w:t>
      </w:r>
    </w:p>
    <w:p w:rsidR="0077093B" w:rsidRPr="000761C1" w:rsidRDefault="0077093B">
      <w:pPr>
        <w:pStyle w:val="Normaltindrag"/>
      </w:pPr>
      <w:r w:rsidRPr="000761C1">
        <w:t xml:space="preserve">För att bli godkänd revisor skall sökanden </w:t>
      </w:r>
    </w:p>
    <w:p w:rsidR="0077093B" w:rsidRPr="000761C1" w:rsidRDefault="0077093B">
      <w:pPr>
        <w:pStyle w:val="Normaltindrag"/>
      </w:pPr>
      <w:r w:rsidRPr="000761C1">
        <w:t>1. yrkesmässigt utöva revisionsverksamhet,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2. vara bosatt i Sverige eller i en annan stat inom Europeiska ekon</w:t>
            </w:r>
            <w:r w:rsidRPr="000761C1">
              <w:t>o</w:t>
            </w:r>
            <w:r w:rsidRPr="000761C1">
              <w:t>miska samarbetsområdet,</w:t>
            </w:r>
          </w:p>
        </w:tc>
        <w:tc>
          <w:tcPr>
            <w:tcW w:w="3118" w:type="dxa"/>
          </w:tcPr>
          <w:p w:rsidR="0077093B" w:rsidRPr="000761C1" w:rsidRDefault="0077093B">
            <w:pPr>
              <w:pStyle w:val="Normaltindrag"/>
            </w:pPr>
            <w:r w:rsidRPr="000761C1">
              <w:t>2. vara bosatt i Sverige, i en a</w:t>
            </w:r>
            <w:r w:rsidRPr="000761C1">
              <w:t>n</w:t>
            </w:r>
            <w:r w:rsidRPr="000761C1">
              <w:t>nan stat inom Europeiska ekon</w:t>
            </w:r>
            <w:r w:rsidRPr="000761C1">
              <w:t>o</w:t>
            </w:r>
            <w:r w:rsidRPr="000761C1">
              <w:t>miska samarbetsområdet eller</w:t>
            </w:r>
            <w:r w:rsidRPr="000761C1">
              <w:rPr>
                <w:i/>
              </w:rPr>
              <w:t xml:space="preserve"> i Schweiz</w:t>
            </w:r>
            <w:r w:rsidRPr="000761C1">
              <w:t>,</w:t>
            </w:r>
          </w:p>
        </w:tc>
      </w:tr>
    </w:tbl>
    <w:p w:rsidR="0077093B" w:rsidRPr="000761C1" w:rsidRDefault="0077093B">
      <w:pPr>
        <w:pStyle w:val="Normaltindrag"/>
      </w:pPr>
      <w:r w:rsidRPr="000761C1">
        <w:t>3. varken vara i konkurs, vara underkastad näringsförbud, ha förvaltare enligt 11 kap. 7 § föräldrabalken, vara förbjuden att utöva rådgivningsver</w:t>
      </w:r>
      <w:r w:rsidRPr="000761C1">
        <w:t>k</w:t>
      </w:r>
      <w:r w:rsidRPr="000761C1">
        <w:t>samhet enligt 3 § lagen (1985:354) om förbud mot yrkesmässig rådgivning i vissa fall, m.m. eller vara underkastad någon motsvarande rådighetsi</w:t>
      </w:r>
      <w:r w:rsidRPr="000761C1">
        <w:t>n</w:t>
      </w:r>
      <w:r w:rsidRPr="000761C1">
        <w:t xml:space="preserve">skränkning i en annan stat, </w:t>
      </w:r>
    </w:p>
    <w:p w:rsidR="0077093B" w:rsidRPr="000761C1" w:rsidRDefault="0077093B">
      <w:pPr>
        <w:pStyle w:val="Normaltindrag"/>
      </w:pPr>
      <w:r w:rsidRPr="000761C1">
        <w:t xml:space="preserve">4. hos Revisorsnämnden ha avlagt revisorsexamen, och </w:t>
      </w:r>
    </w:p>
    <w:p w:rsidR="0077093B" w:rsidRPr="000761C1" w:rsidRDefault="0077093B">
      <w:pPr>
        <w:pStyle w:val="Normaltindrag"/>
      </w:pPr>
      <w:r w:rsidRPr="000761C1">
        <w:t>5. vara redbar och i övrigt lämplig att utöva revisionsverksamhet.</w:t>
      </w:r>
    </w:p>
    <w:p w:rsidR="0077093B" w:rsidRPr="000761C1" w:rsidRDefault="0077093B">
      <w:pPr>
        <w:pStyle w:val="Normaltindrag"/>
      </w:pPr>
    </w:p>
    <w:p w:rsidR="0077093B" w:rsidRPr="000761C1" w:rsidRDefault="0077093B">
      <w:pPr>
        <w:pStyle w:val="Normaltindrag"/>
        <w:jc w:val="center"/>
      </w:pPr>
      <w:r w:rsidRPr="000761C1">
        <w:t>6 §</w:t>
      </w:r>
    </w:p>
    <w:p w:rsidR="0077093B" w:rsidRPr="000761C1" w:rsidRDefault="0077093B">
      <w:pPr>
        <w:pStyle w:val="Normaltindrag"/>
      </w:pPr>
      <w:r w:rsidRPr="000761C1">
        <w:t>Det krav på revisorsexamen som ställs upp i 4 § 4 skall anses uppfyllt oc</w:t>
      </w:r>
      <w:r w:rsidRPr="000761C1">
        <w:t>k</w:t>
      </w:r>
      <w:r w:rsidRPr="000761C1">
        <w:t>så av den som</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1. innehar ett sådant utländskt e</w:t>
            </w:r>
            <w:r w:rsidRPr="000761C1">
              <w:t>x</w:t>
            </w:r>
            <w:r w:rsidRPr="000761C1">
              <w:t>amensbevis som krävs för att få utföra lagstadgad revision i stat inom Europeiska ekonomiska sa</w:t>
            </w:r>
            <w:r w:rsidRPr="000761C1">
              <w:t>m</w:t>
            </w:r>
            <w:r w:rsidRPr="000761C1">
              <w:t>arbetsområdet, och</w:t>
            </w:r>
          </w:p>
        </w:tc>
        <w:tc>
          <w:tcPr>
            <w:tcW w:w="3118" w:type="dxa"/>
          </w:tcPr>
          <w:p w:rsidR="0077093B" w:rsidRPr="000761C1" w:rsidRDefault="0077093B">
            <w:pPr>
              <w:pStyle w:val="Normaltindrag"/>
            </w:pPr>
            <w:r w:rsidRPr="000761C1">
              <w:t>1. innehar ett sådant utländskt e</w:t>
            </w:r>
            <w:r w:rsidRPr="000761C1">
              <w:t>x</w:t>
            </w:r>
            <w:r w:rsidRPr="000761C1">
              <w:t>amensbevis som krävs för att få utföra lagstadgad revision i stat inom Europeiska ekonomiska sa</w:t>
            </w:r>
            <w:r w:rsidRPr="000761C1">
              <w:t>m</w:t>
            </w:r>
            <w:r w:rsidRPr="000761C1">
              <w:t xml:space="preserve">arbetsområdet </w:t>
            </w:r>
            <w:r w:rsidRPr="000761C1">
              <w:rPr>
                <w:i/>
              </w:rPr>
              <w:t>eller i Schweiz</w:t>
            </w:r>
            <w:r w:rsidRPr="000761C1">
              <w:t>, och</w:t>
            </w:r>
          </w:p>
        </w:tc>
      </w:tr>
    </w:tbl>
    <w:p w:rsidR="0077093B" w:rsidRPr="000761C1" w:rsidRDefault="0077093B">
      <w:pPr>
        <w:pStyle w:val="Normaltindrag"/>
        <w:jc w:val="center"/>
      </w:pPr>
      <w:r w:rsidRPr="000761C1">
        <w:t xml:space="preserve">2. hos Revisorsnämnden har genomgått ett särskilt lämplighetsprov. </w:t>
      </w:r>
    </w:p>
    <w:p w:rsidR="0077093B" w:rsidRPr="000761C1" w:rsidRDefault="0077093B">
      <w:pPr>
        <w:pStyle w:val="Normaltindrag"/>
        <w:jc w:val="center"/>
      </w:pPr>
    </w:p>
    <w:p w:rsidR="0077093B" w:rsidRPr="000761C1" w:rsidRDefault="0077093B">
      <w:pPr>
        <w:pStyle w:val="Normaltindrag"/>
        <w:jc w:val="center"/>
      </w:pPr>
      <w:r w:rsidRPr="000761C1">
        <w:t>7 §</w:t>
      </w:r>
    </w:p>
    <w:p w:rsidR="0077093B" w:rsidRPr="000761C1" w:rsidRDefault="0077093B">
      <w:pPr>
        <w:pStyle w:val="Normaltindrag"/>
      </w:pPr>
      <w:r w:rsidRPr="000761C1">
        <w:t>Det krav på högre revisorsexamen som ställs upp i 5 § skall anses uppfyllt också av den som</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1. innehar ett sådant utländskt e</w:t>
            </w:r>
            <w:r w:rsidRPr="000761C1">
              <w:t>x</w:t>
            </w:r>
            <w:r w:rsidRPr="000761C1">
              <w:t>amensbevis som krävs för att utan behörighetsbegränsning få utföra lagstadgad revision i stat inom Europeiska ekonomiska samarbet</w:t>
            </w:r>
            <w:r w:rsidRPr="000761C1">
              <w:t>s</w:t>
            </w:r>
            <w:r w:rsidRPr="000761C1">
              <w:t>området, och</w:t>
            </w:r>
          </w:p>
        </w:tc>
        <w:tc>
          <w:tcPr>
            <w:tcW w:w="3118" w:type="dxa"/>
          </w:tcPr>
          <w:p w:rsidR="0077093B" w:rsidRPr="000761C1" w:rsidRDefault="0077093B">
            <w:pPr>
              <w:pStyle w:val="Normaltindrag"/>
            </w:pPr>
            <w:r w:rsidRPr="000761C1">
              <w:t>1. innehar ett sådant utländskt e</w:t>
            </w:r>
            <w:r w:rsidRPr="000761C1">
              <w:t>x</w:t>
            </w:r>
            <w:r w:rsidRPr="000761C1">
              <w:t>amensbevis som krävs för att utan behörighetsbegränsning få utföra lagstadgad revision i stat inom Europeiska ekonomiska samarbet</w:t>
            </w:r>
            <w:r w:rsidRPr="000761C1">
              <w:t>s</w:t>
            </w:r>
            <w:r w:rsidRPr="000761C1">
              <w:t xml:space="preserve">området </w:t>
            </w:r>
            <w:r w:rsidRPr="000761C1">
              <w:rPr>
                <w:i/>
              </w:rPr>
              <w:t>eller i Schweiz</w:t>
            </w:r>
            <w:r w:rsidRPr="000761C1">
              <w:t>, och</w:t>
            </w:r>
          </w:p>
        </w:tc>
      </w:tr>
    </w:tbl>
    <w:p w:rsidR="0077093B" w:rsidRPr="000761C1" w:rsidRDefault="0077093B">
      <w:pPr>
        <w:pStyle w:val="Normaltindrag"/>
      </w:pPr>
      <w:r w:rsidRPr="000761C1">
        <w:t>2. hos Revisorsnämnden har genomgått ett särskilt lämplighetsprov.</w:t>
      </w:r>
    </w:p>
    <w:p w:rsidR="0077093B" w:rsidRPr="000761C1" w:rsidRDefault="0077093B">
      <w:pPr>
        <w:pStyle w:val="Normaltindrag"/>
      </w:pPr>
    </w:p>
    <w:p w:rsidR="0077093B" w:rsidRPr="000761C1" w:rsidRDefault="0077093B">
      <w:pPr>
        <w:pStyle w:val="Normaltindrag"/>
        <w:jc w:val="center"/>
      </w:pPr>
      <w:r w:rsidRPr="000761C1">
        <w:t>8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Revisorsnämnden får, om det finns särskilda skäl, medge en rev</w:t>
            </w:r>
            <w:r w:rsidRPr="000761C1">
              <w:t>i</w:t>
            </w:r>
            <w:r w:rsidRPr="000761C1">
              <w:t>sor att under viss tid behålla go</w:t>
            </w:r>
            <w:r w:rsidRPr="000761C1">
              <w:t>d</w:t>
            </w:r>
            <w:r w:rsidRPr="000761C1">
              <w:t>kännande eller auktorisation vid bosättning utanför Europeiska ek</w:t>
            </w:r>
            <w:r w:rsidRPr="000761C1">
              <w:t>o</w:t>
            </w:r>
            <w:r w:rsidRPr="000761C1">
              <w:t>nomiska samarbetsområdet.</w:t>
            </w:r>
          </w:p>
        </w:tc>
        <w:tc>
          <w:tcPr>
            <w:tcW w:w="3118" w:type="dxa"/>
          </w:tcPr>
          <w:p w:rsidR="0077093B" w:rsidRPr="000761C1" w:rsidRDefault="0077093B">
            <w:pPr>
              <w:pStyle w:val="Normaltindrag"/>
            </w:pPr>
            <w:r w:rsidRPr="000761C1">
              <w:t>Revisorsnämnden får, om det finns särskilda skäl, medge en rev</w:t>
            </w:r>
            <w:r w:rsidRPr="000761C1">
              <w:t>i</w:t>
            </w:r>
            <w:r w:rsidRPr="000761C1">
              <w:t>sor att under viss tid behålla go</w:t>
            </w:r>
            <w:r w:rsidRPr="000761C1">
              <w:t>d</w:t>
            </w:r>
            <w:r w:rsidRPr="000761C1">
              <w:t>kännande eller auktorisation vid bosättning utanför Europeiska ek</w:t>
            </w:r>
            <w:r w:rsidRPr="000761C1">
              <w:t>o</w:t>
            </w:r>
            <w:r w:rsidRPr="000761C1">
              <w:t xml:space="preserve">nomiska samarbetsområdet </w:t>
            </w:r>
            <w:r w:rsidRPr="000761C1">
              <w:rPr>
                <w:i/>
              </w:rPr>
              <w:t>eller Schweiz.</w:t>
            </w:r>
          </w:p>
        </w:tc>
      </w:tr>
    </w:tbl>
    <w:p w:rsidR="0077093B" w:rsidRPr="000761C1" w:rsidRDefault="0077093B"/>
    <w:p w:rsidR="0077093B" w:rsidRPr="000761C1" w:rsidRDefault="0077093B">
      <w:pPr>
        <w:pStyle w:val="Normaltindrag"/>
        <w:jc w:val="center"/>
      </w:pPr>
      <w:r w:rsidRPr="000761C1">
        <w:t>16 §</w:t>
      </w:r>
    </w:p>
    <w:p w:rsidR="0077093B" w:rsidRPr="000761C1" w:rsidRDefault="0077093B">
      <w:pPr>
        <w:pStyle w:val="Normaltindrag"/>
      </w:pPr>
      <w:r w:rsidRPr="000761C1">
        <w:t>En revisor får driva revisionsverksamhet endast såsom enskild näringsi</w:t>
      </w:r>
      <w:r w:rsidRPr="000761C1">
        <w:t>d</w:t>
      </w:r>
      <w:r w:rsidRPr="000761C1">
        <w:t>kare eller i handelsbolag eller aktiebolag som inte utövar annan verksamhet än sådan som är förenlig med en revisors yrkesutövning.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Revisorsnämnden får tillåta att en revisor som är verksam i Sverige driver revisionsverksam</w:t>
            </w:r>
            <w:r w:rsidRPr="000761C1">
              <w:softHyphen/>
              <w:t>het i en annan stat inom Europeiska ekon</w:t>
            </w:r>
            <w:r w:rsidRPr="000761C1">
              <w:t>o</w:t>
            </w:r>
            <w:r w:rsidRPr="000761C1">
              <w:t>miska sam</w:t>
            </w:r>
            <w:r w:rsidRPr="000761C1">
              <w:softHyphen/>
              <w:t>arbetsområdet även om kravet i första stycket inte är up</w:t>
            </w:r>
            <w:r w:rsidRPr="000761C1">
              <w:t>p</w:t>
            </w:r>
            <w:r w:rsidRPr="000761C1">
              <w:t xml:space="preserve">fyllt. </w:t>
            </w:r>
          </w:p>
        </w:tc>
        <w:tc>
          <w:tcPr>
            <w:tcW w:w="3118" w:type="dxa"/>
          </w:tcPr>
          <w:p w:rsidR="0077093B" w:rsidRPr="000761C1" w:rsidRDefault="0077093B">
            <w:pPr>
              <w:pStyle w:val="Normaltindrag"/>
            </w:pPr>
            <w:r w:rsidRPr="000761C1">
              <w:t>Revisorsnämnden får tillåta att en revisor som är verksam i Sverige driver revisionsverksam</w:t>
            </w:r>
            <w:r w:rsidRPr="000761C1">
              <w:softHyphen/>
              <w:t>het i en annan stat inom Europeiska ekon</w:t>
            </w:r>
            <w:r w:rsidRPr="000761C1">
              <w:t>o</w:t>
            </w:r>
            <w:r w:rsidRPr="000761C1">
              <w:t>miska sam</w:t>
            </w:r>
            <w:r w:rsidRPr="000761C1">
              <w:softHyphen/>
              <w:t xml:space="preserve">arbetsområdet </w:t>
            </w:r>
            <w:r w:rsidRPr="000761C1">
              <w:rPr>
                <w:i/>
              </w:rPr>
              <w:t xml:space="preserve">eller i Schweiz </w:t>
            </w:r>
            <w:r w:rsidRPr="000761C1">
              <w:t>även om kravet i första stycket inte är uppfyllt.</w:t>
            </w:r>
          </w:p>
        </w:tc>
      </w:tr>
    </w:tbl>
    <w:p w:rsidR="0077093B" w:rsidRPr="000761C1" w:rsidRDefault="0077093B">
      <w:r w:rsidRPr="000761C1">
        <w:rPr>
          <w:u w:val="single"/>
        </w:rPr>
        <w:t>                                     </w:t>
      </w:r>
    </w:p>
    <w:p w:rsidR="0077093B" w:rsidRPr="000761C1" w:rsidRDefault="0077093B">
      <w:pPr>
        <w:pStyle w:val="Normaltindrag"/>
      </w:pPr>
      <w:r w:rsidRPr="000761C1">
        <w:t>Denna lag träder i kraft den dag regeringen bestämmer.</w:t>
      </w:r>
    </w:p>
    <w:p w:rsidR="0077093B" w:rsidRPr="000761C1" w:rsidRDefault="0077093B">
      <w:pPr>
        <w:pStyle w:val="Rubrik2"/>
      </w:pPr>
      <w:bookmarkStart w:id="104" w:name="_Toc500590320"/>
      <w:bookmarkStart w:id="105" w:name="_Toc500593032"/>
      <w:bookmarkStart w:id="106" w:name="_Toc500676157"/>
      <w:bookmarkStart w:id="107" w:name="_Toc500678070"/>
      <w:bookmarkStart w:id="108" w:name="_Toc500679761"/>
      <w:bookmarkStart w:id="109" w:name="_Toc500725833"/>
      <w:bookmarkStart w:id="110" w:name="_Toc500739428"/>
      <w:r w:rsidRPr="000761C1">
        <w:br w:type="page"/>
      </w:r>
      <w:bookmarkStart w:id="111" w:name="_Toc505417756"/>
      <w:r w:rsidRPr="000761C1">
        <w:t>Förslag till lag om ändring i lagen (1997:238) om arbetslöshetsförsäkring</w:t>
      </w:r>
      <w:bookmarkEnd w:id="104"/>
      <w:bookmarkEnd w:id="105"/>
      <w:bookmarkEnd w:id="106"/>
      <w:bookmarkEnd w:id="107"/>
      <w:bookmarkEnd w:id="108"/>
      <w:bookmarkEnd w:id="109"/>
      <w:bookmarkEnd w:id="110"/>
      <w:bookmarkEnd w:id="111"/>
    </w:p>
    <w:p w:rsidR="0077093B" w:rsidRPr="000761C1" w:rsidRDefault="0077093B">
      <w:pPr>
        <w:pStyle w:val="Normaltindrag"/>
      </w:pPr>
    </w:p>
    <w:p w:rsidR="0077093B" w:rsidRPr="000761C1" w:rsidRDefault="0077093B">
      <w:pPr>
        <w:pStyle w:val="Normaltindrag"/>
      </w:pPr>
      <w:r w:rsidRPr="000761C1">
        <w:t>Härigenom föreskrivs att 48 § lagen (1997:238) om arbetslöshetsförsä</w:t>
      </w:r>
      <w:r w:rsidRPr="000761C1">
        <w:t>k</w:t>
      </w:r>
      <w:r w:rsidRPr="000761C1">
        <w:t>ring skall ha följande lydelse.</w:t>
      </w:r>
    </w:p>
    <w:p w:rsidR="0077093B" w:rsidRPr="000761C1" w:rsidRDefault="0077093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lydelse</w:t>
            </w:r>
          </w:p>
        </w:tc>
        <w:tc>
          <w:tcPr>
            <w:tcW w:w="3118" w:type="dxa"/>
          </w:tcPr>
          <w:p w:rsidR="0077093B" w:rsidRPr="000761C1" w:rsidRDefault="0077093B">
            <w:pPr>
              <w:rPr>
                <w:i/>
              </w:rPr>
            </w:pPr>
            <w:r w:rsidRPr="000761C1">
              <w:rPr>
                <w:i/>
              </w:rPr>
              <w:t>Föreslagen lydelse</w:t>
            </w:r>
          </w:p>
        </w:tc>
      </w:tr>
    </w:tbl>
    <w:p w:rsidR="0077093B" w:rsidRPr="000761C1" w:rsidRDefault="0077093B">
      <w:pPr>
        <w:jc w:val="center"/>
      </w:pPr>
      <w:r w:rsidRPr="000761C1">
        <w:t>48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Till personer som uppfyller vil</w:t>
            </w:r>
            <w:r w:rsidRPr="000761C1">
              <w:t>l</w:t>
            </w:r>
            <w:r w:rsidRPr="000761C1">
              <w:t>koren för rätt att med bibehållen ersättning söka arbete i något annat EU- eller EES-land utfärdar A</w:t>
            </w:r>
            <w:r w:rsidRPr="000761C1">
              <w:t>r</w:t>
            </w:r>
            <w:r w:rsidRPr="000761C1">
              <w:t>betsmarknadsstyrelsen intyg som visar rätten till ersättning.</w:t>
            </w:r>
          </w:p>
          <w:p w:rsidR="0077093B" w:rsidRPr="000761C1" w:rsidRDefault="0077093B">
            <w:pPr>
              <w:pStyle w:val="Normaltindrag"/>
            </w:pPr>
          </w:p>
        </w:tc>
        <w:tc>
          <w:tcPr>
            <w:tcW w:w="3118" w:type="dxa"/>
          </w:tcPr>
          <w:p w:rsidR="0077093B" w:rsidRPr="000761C1" w:rsidRDefault="0077093B">
            <w:pPr>
              <w:pStyle w:val="Normaltindrag"/>
            </w:pPr>
            <w:r w:rsidRPr="000761C1">
              <w:t>Till personer som uppfyller vil</w:t>
            </w:r>
            <w:r w:rsidRPr="000761C1">
              <w:t>l</w:t>
            </w:r>
            <w:r w:rsidRPr="000761C1">
              <w:t xml:space="preserve">koren för rätt att med bibehållen ersättning söka arbete i något annat EU- eller EES-land </w:t>
            </w:r>
            <w:r w:rsidRPr="000761C1">
              <w:rPr>
                <w:i/>
              </w:rPr>
              <w:t xml:space="preserve">eller i Schweiz </w:t>
            </w:r>
            <w:r w:rsidRPr="000761C1">
              <w:t>utfärdar Arbetsmarknadsstyrelsen intyg som visar rätten till ersättning.</w:t>
            </w:r>
          </w:p>
        </w:tc>
      </w:tr>
    </w:tbl>
    <w:p w:rsidR="0077093B" w:rsidRPr="000761C1" w:rsidRDefault="0077093B">
      <w:r w:rsidRPr="000761C1">
        <w:rPr>
          <w:u w:val="single"/>
        </w:rPr>
        <w:t>                                     </w:t>
      </w:r>
    </w:p>
    <w:p w:rsidR="0077093B" w:rsidRPr="000761C1" w:rsidRDefault="0077093B">
      <w:pPr>
        <w:pStyle w:val="Normaltindrag"/>
      </w:pPr>
      <w:r w:rsidRPr="000761C1">
        <w:t>Denna lag träder i kraft den dag regeringen bestämmer.</w:t>
      </w:r>
    </w:p>
    <w:p w:rsidR="0077093B" w:rsidRPr="000761C1" w:rsidRDefault="0077093B">
      <w:pPr>
        <w:pStyle w:val="Rubrik2"/>
      </w:pPr>
      <w:bookmarkStart w:id="112" w:name="_Toc500590321"/>
      <w:bookmarkStart w:id="113" w:name="_Toc500593033"/>
      <w:bookmarkStart w:id="114" w:name="_Toc500676158"/>
      <w:bookmarkStart w:id="115" w:name="_Toc500678071"/>
      <w:bookmarkStart w:id="116" w:name="_Toc500679762"/>
      <w:bookmarkStart w:id="117" w:name="_Toc500725834"/>
      <w:bookmarkStart w:id="118" w:name="_Toc500739429"/>
      <w:r w:rsidRPr="000761C1">
        <w:br w:type="page"/>
      </w:r>
      <w:bookmarkStart w:id="119" w:name="_Toc505417757"/>
      <w:r w:rsidRPr="000761C1">
        <w:t>Förslag till lag om ändring i lagen (1998:531) om yrkesverksamhet på hälso- och sjukvårdens område</w:t>
      </w:r>
      <w:bookmarkEnd w:id="112"/>
      <w:bookmarkEnd w:id="113"/>
      <w:bookmarkEnd w:id="114"/>
      <w:bookmarkEnd w:id="115"/>
      <w:bookmarkEnd w:id="116"/>
      <w:bookmarkEnd w:id="117"/>
      <w:bookmarkEnd w:id="118"/>
      <w:bookmarkEnd w:id="119"/>
    </w:p>
    <w:p w:rsidR="0077093B" w:rsidRPr="000761C1" w:rsidRDefault="0077093B">
      <w:pPr>
        <w:pStyle w:val="Normaltindrag"/>
      </w:pPr>
    </w:p>
    <w:p w:rsidR="0077093B" w:rsidRPr="000761C1" w:rsidRDefault="0077093B">
      <w:pPr>
        <w:pStyle w:val="Normaltindrag"/>
      </w:pPr>
      <w:r w:rsidRPr="000761C1">
        <w:t>Härigenom föreskrivs att 5 kap. 7 § lagen (1998:531) om yrkesverksamhet på hälso- och sjukvårdens område skall ha följande lydelse.</w:t>
      </w:r>
    </w:p>
    <w:p w:rsidR="0077093B" w:rsidRPr="000761C1" w:rsidRDefault="0077093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lydelse</w:t>
            </w:r>
          </w:p>
        </w:tc>
        <w:tc>
          <w:tcPr>
            <w:tcW w:w="3118" w:type="dxa"/>
          </w:tcPr>
          <w:p w:rsidR="0077093B" w:rsidRPr="000761C1" w:rsidRDefault="0077093B">
            <w:pPr>
              <w:rPr>
                <w:i/>
              </w:rPr>
            </w:pPr>
            <w:r w:rsidRPr="000761C1">
              <w:rPr>
                <w:i/>
              </w:rPr>
              <w:t>Föreslagen lydelse</w:t>
            </w:r>
          </w:p>
        </w:tc>
      </w:tr>
    </w:tbl>
    <w:p w:rsidR="0077093B" w:rsidRPr="000761C1" w:rsidRDefault="0077093B">
      <w:pPr>
        <w:pStyle w:val="Normaltindrag"/>
      </w:pPr>
    </w:p>
    <w:p w:rsidR="0077093B" w:rsidRPr="000761C1" w:rsidRDefault="0077093B">
      <w:pPr>
        <w:pStyle w:val="Normaltindrag"/>
        <w:jc w:val="center"/>
      </w:pPr>
      <w:r w:rsidRPr="000761C1">
        <w:rPr>
          <w:b/>
        </w:rPr>
        <w:t>5 kap.</w:t>
      </w:r>
    </w:p>
    <w:p w:rsidR="0077093B" w:rsidRPr="000761C1" w:rsidRDefault="0077093B">
      <w:pPr>
        <w:pStyle w:val="Normaltindrag"/>
        <w:jc w:val="center"/>
      </w:pPr>
      <w:r w:rsidRPr="000761C1">
        <w:t>7 §</w:t>
      </w:r>
    </w:p>
    <w:p w:rsidR="0077093B" w:rsidRPr="000761C1" w:rsidRDefault="0077093B">
      <w:pPr>
        <w:pStyle w:val="Normaltindrag"/>
      </w:pPr>
      <w:r w:rsidRPr="000761C1">
        <w:t xml:space="preserve">Legitimation att utöva ett yrke inom hälso- och sjukvården skall återkallas om den legitimerade </w:t>
      </w:r>
    </w:p>
    <w:p w:rsidR="0077093B" w:rsidRPr="000761C1" w:rsidRDefault="0077093B">
      <w:pPr>
        <w:pStyle w:val="Normaltindrag"/>
      </w:pPr>
      <w:r w:rsidRPr="000761C1">
        <w:t xml:space="preserve">1. varit grovt oskicklig vid utövning av sitt yrke eller på annat sätt visat sig uppenbart olämplig att utöva yrket, </w:t>
      </w:r>
    </w:p>
    <w:p w:rsidR="0077093B" w:rsidRPr="000761C1" w:rsidRDefault="0077093B">
      <w:pPr>
        <w:pStyle w:val="Normaltindrag"/>
      </w:pPr>
      <w:r w:rsidRPr="000761C1">
        <w:t xml:space="preserve">2. på grund av sjukdom eller någon liknande omständighet inte kan utöva yrket tillfredsställande, </w:t>
      </w:r>
    </w:p>
    <w:p w:rsidR="0077093B" w:rsidRPr="000761C1" w:rsidRDefault="0077093B">
      <w:pPr>
        <w:pStyle w:val="Normaltindrag"/>
      </w:pPr>
      <w:r w:rsidRPr="000761C1">
        <w:t xml:space="preserve">3. begär att legitimationen skall återkallas och det inte finns hinder mot återkallelse från allmän synpunkt, eller </w:t>
      </w:r>
    </w:p>
    <w:p w:rsidR="0077093B" w:rsidRPr="000761C1" w:rsidRDefault="0077093B">
      <w:pPr>
        <w:pStyle w:val="Normaltindrag"/>
      </w:pPr>
      <w:r w:rsidRPr="000761C1">
        <w:t>4. ålagts prövotid enligt 6 § första stycket och under prövotiden på nytt v</w:t>
      </w:r>
      <w:r w:rsidRPr="000761C1">
        <w:t>a</w:t>
      </w:r>
      <w:r w:rsidRPr="000761C1">
        <w:t xml:space="preserve">rit oskicklig vid utövning av sitt yrke eller på annat sätt visat sig olämplig att utöva yrket. </w:t>
      </w:r>
    </w:p>
    <w:p w:rsidR="0077093B" w:rsidRPr="000761C1" w:rsidRDefault="0077093B">
      <w:pPr>
        <w:pStyle w:val="Normaltindrag"/>
      </w:pPr>
      <w:r w:rsidRPr="000761C1">
        <w:t>Om det finns särskilda skäl får återkallelse underlåtas i fall som avses i första stycket 4, varvid föreskrift om prövotid kan meddelas ytterligare en gång.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 xml:space="preserve">Har någon som blivit auktoriserad i </w:t>
            </w:r>
            <w:r w:rsidRPr="000761C1">
              <w:rPr>
                <w:i/>
              </w:rPr>
              <w:t>ett annat land</w:t>
            </w:r>
            <w:r w:rsidRPr="000761C1">
              <w:t xml:space="preserve"> inom Europeiska ekonomiska samarbetsom</w:t>
            </w:r>
            <w:r w:rsidRPr="000761C1">
              <w:softHyphen/>
              <w:t>rådet (EES) fått legi</w:t>
            </w:r>
            <w:r w:rsidRPr="000761C1">
              <w:softHyphen/>
              <w:t>timation inom hälso- och sjukvården och återkallas den auktorisationen, skall även legit</w:t>
            </w:r>
            <w:r w:rsidRPr="000761C1">
              <w:t>i</w:t>
            </w:r>
            <w:r w:rsidRPr="000761C1">
              <w:t>mationen återka</w:t>
            </w:r>
            <w:r w:rsidRPr="000761C1">
              <w:t>l</w:t>
            </w:r>
            <w:r w:rsidRPr="000761C1">
              <w:t>las.</w:t>
            </w:r>
          </w:p>
        </w:tc>
        <w:tc>
          <w:tcPr>
            <w:tcW w:w="3118" w:type="dxa"/>
          </w:tcPr>
          <w:p w:rsidR="0077093B" w:rsidRPr="000761C1" w:rsidRDefault="0077093B">
            <w:pPr>
              <w:pStyle w:val="Normaltindrag"/>
            </w:pPr>
            <w:r w:rsidRPr="000761C1">
              <w:t xml:space="preserve">Har någon som blivit auktoriserad i </w:t>
            </w:r>
            <w:r w:rsidRPr="000761C1">
              <w:rPr>
                <w:i/>
              </w:rPr>
              <w:t>en</w:t>
            </w:r>
            <w:r w:rsidRPr="000761C1">
              <w:t xml:space="preserve"> </w:t>
            </w:r>
            <w:r w:rsidRPr="000761C1">
              <w:rPr>
                <w:i/>
              </w:rPr>
              <w:t>annan stat</w:t>
            </w:r>
            <w:r w:rsidRPr="000761C1">
              <w:t xml:space="preserve"> inom Europeiska ekonomiska samarbetsområdet (EES) </w:t>
            </w:r>
            <w:r w:rsidRPr="000761C1">
              <w:rPr>
                <w:i/>
              </w:rPr>
              <w:t>eller i Schweiz</w:t>
            </w:r>
            <w:r w:rsidRPr="000761C1">
              <w:t xml:space="preserve"> fått legitim</w:t>
            </w:r>
            <w:r w:rsidRPr="000761C1">
              <w:t>a</w:t>
            </w:r>
            <w:r w:rsidRPr="000761C1">
              <w:t>tion inom hälso- och sjukvården och åter</w:t>
            </w:r>
            <w:r w:rsidRPr="000761C1">
              <w:softHyphen/>
              <w:t>kallas den auktorisationen, skall även legitimationen återka</w:t>
            </w:r>
            <w:r w:rsidRPr="000761C1">
              <w:t>l</w:t>
            </w:r>
            <w:r w:rsidRPr="000761C1">
              <w:t>las.</w:t>
            </w:r>
          </w:p>
        </w:tc>
      </w:tr>
    </w:tbl>
    <w:p w:rsidR="0077093B" w:rsidRPr="000761C1" w:rsidRDefault="0077093B">
      <w:r w:rsidRPr="000761C1">
        <w:rPr>
          <w:u w:val="single"/>
        </w:rPr>
        <w:t>                                     </w:t>
      </w:r>
    </w:p>
    <w:p w:rsidR="0077093B" w:rsidRPr="000761C1" w:rsidRDefault="0077093B">
      <w:pPr>
        <w:pStyle w:val="Normaltindrag"/>
      </w:pPr>
      <w:r w:rsidRPr="000761C1">
        <w:t>Denna lag träder i kraft den dag regeringen bestämmer.</w:t>
      </w:r>
    </w:p>
    <w:p w:rsidR="0077093B" w:rsidRPr="000761C1" w:rsidRDefault="0077093B"/>
    <w:p w:rsidR="0077093B" w:rsidRPr="000761C1" w:rsidRDefault="0077093B">
      <w:pPr>
        <w:pStyle w:val="Rubrik2"/>
      </w:pPr>
      <w:bookmarkStart w:id="120" w:name="_Toc500590323"/>
      <w:bookmarkStart w:id="121" w:name="_Toc500593034"/>
      <w:bookmarkStart w:id="122" w:name="_Toc500676159"/>
      <w:bookmarkStart w:id="123" w:name="_Toc500678072"/>
      <w:bookmarkStart w:id="124" w:name="_Toc500679763"/>
      <w:bookmarkStart w:id="125" w:name="_Toc500725835"/>
      <w:bookmarkStart w:id="126" w:name="_Toc500739430"/>
      <w:r w:rsidRPr="000761C1">
        <w:br w:type="page"/>
      </w:r>
      <w:bookmarkStart w:id="127" w:name="_Toc505417758"/>
      <w:r w:rsidRPr="000761C1">
        <w:t>Förslag till lag om ändring i lagen (1999:678) om utstationering av a</w:t>
      </w:r>
      <w:r w:rsidRPr="000761C1">
        <w:t>r</w:t>
      </w:r>
      <w:r w:rsidRPr="000761C1">
        <w:t>betstagare</w:t>
      </w:r>
      <w:bookmarkEnd w:id="120"/>
      <w:bookmarkEnd w:id="121"/>
      <w:bookmarkEnd w:id="122"/>
      <w:bookmarkEnd w:id="123"/>
      <w:bookmarkEnd w:id="124"/>
      <w:bookmarkEnd w:id="125"/>
      <w:bookmarkEnd w:id="126"/>
      <w:bookmarkEnd w:id="127"/>
    </w:p>
    <w:p w:rsidR="0077093B" w:rsidRPr="000761C1" w:rsidRDefault="0077093B">
      <w:pPr>
        <w:pStyle w:val="Normaltindrag"/>
      </w:pPr>
    </w:p>
    <w:p w:rsidR="0077093B" w:rsidRPr="000761C1" w:rsidRDefault="0077093B">
      <w:pPr>
        <w:pStyle w:val="Normaltindrag"/>
      </w:pPr>
      <w:r w:rsidRPr="000761C1">
        <w:t>Härigenom föreskrivs att 1, 8 och 9 §§ samt rubriken närmast före 8 § l</w:t>
      </w:r>
      <w:r w:rsidRPr="000761C1">
        <w:t>a</w:t>
      </w:r>
      <w:r w:rsidRPr="000761C1">
        <w:t>gen (1999:678) om utstationering av arbetstagare skall ha följande lyde</w:t>
      </w:r>
      <w:r w:rsidRPr="000761C1">
        <w:t>l</w:t>
      </w:r>
      <w:r w:rsidRPr="000761C1">
        <w:t>se.</w:t>
      </w:r>
    </w:p>
    <w:p w:rsidR="0077093B" w:rsidRPr="000761C1" w:rsidRDefault="0077093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w:t>
            </w:r>
            <w:r w:rsidRPr="000761C1">
              <w:rPr>
                <w:i/>
              </w:rPr>
              <w:t>l</w:t>
            </w:r>
            <w:r w:rsidRPr="000761C1">
              <w:rPr>
                <w:i/>
              </w:rPr>
              <w:t>se</w:t>
            </w:r>
          </w:p>
        </w:tc>
        <w:tc>
          <w:tcPr>
            <w:tcW w:w="3118" w:type="dxa"/>
          </w:tcPr>
          <w:p w:rsidR="0077093B" w:rsidRPr="000761C1" w:rsidRDefault="0077093B">
            <w:pPr>
              <w:rPr>
                <w:i/>
              </w:rPr>
            </w:pPr>
            <w:r w:rsidRPr="000761C1">
              <w:rPr>
                <w:i/>
              </w:rPr>
              <w:t>Föreslagen lydelse</w:t>
            </w:r>
          </w:p>
        </w:tc>
      </w:tr>
    </w:tbl>
    <w:p w:rsidR="0077093B" w:rsidRPr="000761C1" w:rsidRDefault="0077093B">
      <w:pPr>
        <w:pStyle w:val="Normaltindrag"/>
      </w:pPr>
    </w:p>
    <w:p w:rsidR="0077093B" w:rsidRPr="000761C1" w:rsidRDefault="0077093B">
      <w:pPr>
        <w:pStyle w:val="Normaltindrag"/>
        <w:jc w:val="center"/>
      </w:pPr>
      <w:r w:rsidRPr="000761C1">
        <w:t>1 §</w:t>
      </w:r>
    </w:p>
    <w:p w:rsidR="0077093B" w:rsidRPr="000761C1" w:rsidRDefault="0077093B">
      <w:pPr>
        <w:pStyle w:val="Normaltindrag"/>
      </w:pPr>
      <w:r w:rsidRPr="000761C1">
        <w:t>Denna lag gäller när en arbetsgivare som är etablerad i ett annat land än Sverige utstationerar arbetstagare här i landet i samband med att arbetsgiv</w:t>
      </w:r>
      <w:r w:rsidRPr="000761C1">
        <w:t>a</w:t>
      </w:r>
      <w:r w:rsidRPr="000761C1">
        <w:t>ren tillhandahåller tjänster över gränserna.</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Dessutom finns i 8 § bestämme</w:t>
            </w:r>
            <w:r w:rsidRPr="000761C1">
              <w:t>l</w:t>
            </w:r>
            <w:r w:rsidRPr="000761C1">
              <w:t>ser om arbetsgivare som har sitt hemvist eller säte i Sverige och utstationerar arbetstagare till ett annat medlemsland inom Europei</w:t>
            </w:r>
            <w:r w:rsidRPr="000761C1">
              <w:t>s</w:t>
            </w:r>
            <w:r w:rsidRPr="000761C1">
              <w:t>ka ekonomiska samarbetsområdet (EES).</w:t>
            </w:r>
          </w:p>
        </w:tc>
        <w:tc>
          <w:tcPr>
            <w:tcW w:w="3118" w:type="dxa"/>
          </w:tcPr>
          <w:p w:rsidR="0077093B" w:rsidRPr="000761C1" w:rsidRDefault="0077093B">
            <w:pPr>
              <w:pStyle w:val="Normaltindrag"/>
            </w:pPr>
            <w:r w:rsidRPr="000761C1">
              <w:t>Dessutom finns i 8 § bestämme</w:t>
            </w:r>
            <w:r w:rsidRPr="000761C1">
              <w:t>l</w:t>
            </w:r>
            <w:r w:rsidRPr="000761C1">
              <w:t>ser om arbetsgivare som har sitt hemvist eller säte i Sverige och utstationerar arbetstagare till ett annat medlemsland inom Europei</w:t>
            </w:r>
            <w:r w:rsidRPr="000761C1">
              <w:t>s</w:t>
            </w:r>
            <w:r w:rsidRPr="000761C1">
              <w:t xml:space="preserve">ka ekonomiska samarbetsområdet (EES) </w:t>
            </w:r>
            <w:r w:rsidRPr="000761C1">
              <w:rPr>
                <w:i/>
              </w:rPr>
              <w:t>eller Schweiz</w:t>
            </w:r>
            <w:r w:rsidRPr="000761C1">
              <w:t>.</w:t>
            </w:r>
          </w:p>
        </w:tc>
      </w:tr>
      <w:tr w:rsidR="00000000" w:rsidRPr="000761C1">
        <w:tblPrEx>
          <w:tblCellMar>
            <w:top w:w="0" w:type="dxa"/>
            <w:bottom w:w="0" w:type="dxa"/>
          </w:tblCellMar>
        </w:tblPrEx>
        <w:tc>
          <w:tcPr>
            <w:tcW w:w="3118" w:type="dxa"/>
          </w:tcPr>
          <w:p w:rsidR="0077093B" w:rsidRPr="000761C1" w:rsidRDefault="0077093B">
            <w:pPr>
              <w:pStyle w:val="Rubrik4"/>
              <w:rPr>
                <w:b/>
                <w:i w:val="0"/>
              </w:rPr>
            </w:pPr>
            <w:bookmarkStart w:id="128" w:name="_Toc505417759"/>
            <w:r w:rsidRPr="000761C1">
              <w:rPr>
                <w:b/>
                <w:i w:val="0"/>
              </w:rPr>
              <w:t>Utstationeringar till andra länder inom EES</w:t>
            </w:r>
            <w:bookmarkEnd w:id="128"/>
          </w:p>
        </w:tc>
        <w:tc>
          <w:tcPr>
            <w:tcW w:w="3118" w:type="dxa"/>
          </w:tcPr>
          <w:p w:rsidR="0077093B" w:rsidRPr="000761C1" w:rsidRDefault="0077093B">
            <w:pPr>
              <w:pStyle w:val="Rubrik4"/>
              <w:rPr>
                <w:b/>
              </w:rPr>
            </w:pPr>
            <w:bookmarkStart w:id="129" w:name="_Toc505417760"/>
            <w:r w:rsidRPr="000761C1">
              <w:rPr>
                <w:b/>
                <w:i w:val="0"/>
              </w:rPr>
              <w:t>Utstationeringar till andra länder inom EES</w:t>
            </w:r>
            <w:r w:rsidRPr="000761C1">
              <w:rPr>
                <w:b/>
              </w:rPr>
              <w:t xml:space="preserve"> eller Schweiz</w:t>
            </w:r>
            <w:bookmarkEnd w:id="129"/>
          </w:p>
        </w:tc>
      </w:tr>
    </w:tbl>
    <w:p w:rsidR="0077093B" w:rsidRPr="000761C1" w:rsidRDefault="0077093B">
      <w:pPr>
        <w:pStyle w:val="Normaltindrag"/>
        <w:jc w:val="center"/>
      </w:pPr>
    </w:p>
    <w:p w:rsidR="0077093B" w:rsidRPr="000761C1" w:rsidRDefault="0077093B">
      <w:pPr>
        <w:pStyle w:val="Normaltindrag"/>
        <w:jc w:val="center"/>
      </w:pPr>
      <w:r w:rsidRPr="000761C1">
        <w:t>8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När arbetsgivare med hemvist e</w:t>
            </w:r>
            <w:r w:rsidRPr="000761C1">
              <w:t>l</w:t>
            </w:r>
            <w:r w:rsidRPr="000761C1">
              <w:t>ler säte i Sverige utstationerar a</w:t>
            </w:r>
            <w:r w:rsidRPr="000761C1">
              <w:t>r</w:t>
            </w:r>
            <w:r w:rsidRPr="000761C1">
              <w:t>betstagare till annat land inom EES, skall arbetsgivaren tillämpa de nationella bestämmelser varigenom det landet genomfört Europaparl</w:t>
            </w:r>
            <w:r w:rsidRPr="000761C1">
              <w:t>a</w:t>
            </w:r>
            <w:r w:rsidRPr="000761C1">
              <w:t>mentets och rådets direktiv 96/71/EG av den 16 december 1996 om utstationering av arbetstagare i samband med tillhandahållande av tjänster.</w:t>
            </w:r>
          </w:p>
        </w:tc>
        <w:tc>
          <w:tcPr>
            <w:tcW w:w="3118" w:type="dxa"/>
          </w:tcPr>
          <w:p w:rsidR="0077093B" w:rsidRPr="000761C1" w:rsidRDefault="0077093B">
            <w:pPr>
              <w:pStyle w:val="Normaltindrag"/>
            </w:pPr>
            <w:r w:rsidRPr="000761C1">
              <w:t>När arbetsgivare med hemvist e</w:t>
            </w:r>
            <w:r w:rsidRPr="000761C1">
              <w:t>l</w:t>
            </w:r>
            <w:r w:rsidRPr="000761C1">
              <w:t>ler säte i Sverige utstationerar a</w:t>
            </w:r>
            <w:r w:rsidRPr="000761C1">
              <w:t>r</w:t>
            </w:r>
            <w:r w:rsidRPr="000761C1">
              <w:t xml:space="preserve">betstagare till annat land inom EES </w:t>
            </w:r>
            <w:r w:rsidRPr="000761C1">
              <w:rPr>
                <w:i/>
              </w:rPr>
              <w:t>eller Schweiz</w:t>
            </w:r>
            <w:r w:rsidRPr="000761C1">
              <w:t>, skall arbetsgivaren tillämpa de nationella bestämmelser varigenom det landet genomfört Europaparlamentets och rådets direktiv 96/71/EG av den 16 d</w:t>
            </w:r>
            <w:r w:rsidRPr="000761C1">
              <w:t>e</w:t>
            </w:r>
            <w:r w:rsidRPr="000761C1">
              <w:t>cember 1996 om utstationering av arbetstagare i samband med tillha</w:t>
            </w:r>
            <w:r w:rsidRPr="000761C1">
              <w:t>n</w:t>
            </w:r>
            <w:r w:rsidRPr="000761C1">
              <w:t>dahållande av tjänster.</w:t>
            </w:r>
          </w:p>
        </w:tc>
      </w:tr>
    </w:tbl>
    <w:p w:rsidR="0077093B" w:rsidRPr="000761C1" w:rsidRDefault="0077093B">
      <w:pPr>
        <w:pStyle w:val="Normaltindrag"/>
      </w:pPr>
      <w:r w:rsidRPr="000761C1">
        <w:t>Första stycket hindrar inte att arbetsgivaren tillämpar bestämmelser eller villkor som är förmånligare för arbetstagaren.</w:t>
      </w:r>
    </w:p>
    <w:p w:rsidR="0077093B" w:rsidRPr="000761C1" w:rsidRDefault="0077093B">
      <w:pPr>
        <w:pStyle w:val="Normaltindrag"/>
        <w:jc w:val="center"/>
      </w:pPr>
    </w:p>
    <w:p w:rsidR="0077093B" w:rsidRPr="000761C1" w:rsidRDefault="0077093B">
      <w:pPr>
        <w:pStyle w:val="Normaltindrag"/>
        <w:jc w:val="center"/>
      </w:pPr>
      <w:r w:rsidRPr="000761C1">
        <w:t>9 §</w:t>
      </w:r>
      <w:r w:rsidRPr="000761C1">
        <w:rPr>
          <w:rStyle w:val="Fotnotsreferens"/>
        </w:rPr>
        <w:footnoteReference w:customMarkFollows="1" w:id="14"/>
        <w:t>1</w:t>
      </w:r>
    </w:p>
    <w:p w:rsidR="0077093B" w:rsidRPr="000761C1" w:rsidRDefault="0077093B">
      <w:pPr>
        <w:pStyle w:val="Normaltindrag"/>
      </w:pPr>
      <w:r w:rsidRPr="000761C1">
        <w:t>Arbetsmiljöverket skall vara förbindelsekontor och tillhandahålla inform</w:t>
      </w:r>
      <w:r w:rsidRPr="000761C1">
        <w:t>a</w:t>
      </w:r>
      <w:r w:rsidRPr="000761C1">
        <w:t>tion om de arbets- och anställningsvillkor som kan bli tillämpliga vid en utstati</w:t>
      </w:r>
      <w:r w:rsidRPr="000761C1">
        <w:t>o</w:t>
      </w:r>
      <w:r w:rsidRPr="000761C1">
        <w:t xml:space="preserve">nering i Sverige. </w:t>
      </w:r>
    </w:p>
    <w:p w:rsidR="0077093B" w:rsidRPr="000761C1" w:rsidRDefault="0077093B">
      <w:pPr>
        <w:pStyle w:val="Normaltindrag"/>
      </w:pPr>
      <w:r w:rsidRPr="000761C1">
        <w:t>För information om kollektivavtal som kan komma att bli tillämpliga skall Arbetsmiljöverket hänvisa till berörda kollektivavtalsparter.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Arbetsmiljöverket skall även samarbeta med motsvarande förbi</w:t>
            </w:r>
            <w:r w:rsidRPr="000761C1">
              <w:t>n</w:t>
            </w:r>
            <w:r w:rsidRPr="000761C1">
              <w:t>delsekontor i andra länder inom EES.</w:t>
            </w:r>
          </w:p>
        </w:tc>
        <w:tc>
          <w:tcPr>
            <w:tcW w:w="3118" w:type="dxa"/>
          </w:tcPr>
          <w:p w:rsidR="0077093B" w:rsidRPr="000761C1" w:rsidRDefault="0077093B">
            <w:pPr>
              <w:pStyle w:val="Normaltindrag"/>
            </w:pPr>
            <w:r w:rsidRPr="000761C1">
              <w:t>Arbetsmiljöverket skall även samarbeta med motsvarande förbi</w:t>
            </w:r>
            <w:r w:rsidRPr="000761C1">
              <w:t>n</w:t>
            </w:r>
            <w:r w:rsidRPr="000761C1">
              <w:t xml:space="preserve">delsekontor i andra länder inom EES </w:t>
            </w:r>
            <w:r w:rsidRPr="000761C1">
              <w:rPr>
                <w:i/>
              </w:rPr>
              <w:t>och i Schweiz</w:t>
            </w:r>
            <w:r w:rsidRPr="000761C1">
              <w:t>.</w:t>
            </w:r>
          </w:p>
        </w:tc>
      </w:tr>
    </w:tbl>
    <w:p w:rsidR="0077093B" w:rsidRPr="000761C1" w:rsidRDefault="0077093B">
      <w:r w:rsidRPr="000761C1">
        <w:rPr>
          <w:u w:val="single"/>
        </w:rPr>
        <w:t>                                     </w:t>
      </w:r>
    </w:p>
    <w:p w:rsidR="0077093B" w:rsidRPr="000761C1" w:rsidRDefault="0077093B">
      <w:pPr>
        <w:pStyle w:val="Normaltindrag"/>
      </w:pPr>
      <w:r w:rsidRPr="000761C1">
        <w:t>Denna lag träder i kraft den dag regeringen bestämmer.</w:t>
      </w:r>
    </w:p>
    <w:p w:rsidR="0077093B" w:rsidRPr="000761C1" w:rsidRDefault="0077093B">
      <w:pPr>
        <w:pStyle w:val="Rubrik2"/>
      </w:pPr>
      <w:bookmarkStart w:id="130" w:name="_Toc500590322"/>
      <w:bookmarkStart w:id="131" w:name="_Toc500593035"/>
      <w:bookmarkStart w:id="132" w:name="_Toc500676160"/>
      <w:bookmarkStart w:id="133" w:name="_Toc500678073"/>
      <w:bookmarkStart w:id="134" w:name="_Toc500679764"/>
      <w:bookmarkStart w:id="135" w:name="_Toc500725836"/>
      <w:bookmarkStart w:id="136" w:name="_Toc500739431"/>
      <w:r w:rsidRPr="000761C1">
        <w:br w:type="page"/>
      </w:r>
      <w:bookmarkStart w:id="137" w:name="_Toc505417761"/>
      <w:r w:rsidRPr="000761C1">
        <w:t>Förslag till lag om ändring i socialförsäkringslagen (1999:799)</w:t>
      </w:r>
      <w:bookmarkEnd w:id="130"/>
      <w:bookmarkEnd w:id="131"/>
      <w:bookmarkEnd w:id="132"/>
      <w:bookmarkEnd w:id="133"/>
      <w:bookmarkEnd w:id="134"/>
      <w:bookmarkEnd w:id="135"/>
      <w:bookmarkEnd w:id="136"/>
      <w:bookmarkEnd w:id="137"/>
    </w:p>
    <w:p w:rsidR="0077093B" w:rsidRPr="000761C1" w:rsidRDefault="0077093B">
      <w:pPr>
        <w:pStyle w:val="Normaltindrag"/>
      </w:pPr>
    </w:p>
    <w:p w:rsidR="0077093B" w:rsidRPr="000761C1" w:rsidRDefault="0077093B">
      <w:pPr>
        <w:pStyle w:val="Normaltindrag"/>
      </w:pPr>
      <w:r w:rsidRPr="000761C1">
        <w:t>Härigenom föreskrivs att 4 kap. 1 § socialförsäkringslagen (1999:799) skall ha följande lydelse.</w:t>
      </w:r>
    </w:p>
    <w:p w:rsidR="0077093B" w:rsidRPr="000761C1" w:rsidRDefault="0077093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lydelse</w:t>
            </w:r>
          </w:p>
        </w:tc>
        <w:tc>
          <w:tcPr>
            <w:tcW w:w="3118" w:type="dxa"/>
          </w:tcPr>
          <w:p w:rsidR="0077093B" w:rsidRPr="000761C1" w:rsidRDefault="0077093B">
            <w:pPr>
              <w:rPr>
                <w:i/>
              </w:rPr>
            </w:pPr>
            <w:r w:rsidRPr="000761C1">
              <w:rPr>
                <w:i/>
              </w:rPr>
              <w:t>Föreslagen lydelse</w:t>
            </w:r>
          </w:p>
        </w:tc>
      </w:tr>
    </w:tbl>
    <w:p w:rsidR="0077093B" w:rsidRPr="000761C1" w:rsidRDefault="0077093B">
      <w:pPr>
        <w:pStyle w:val="Normaltindrag"/>
        <w:jc w:val="center"/>
        <w:rPr>
          <w:b/>
        </w:rPr>
      </w:pPr>
    </w:p>
    <w:p w:rsidR="0077093B" w:rsidRPr="000761C1" w:rsidRDefault="0077093B">
      <w:pPr>
        <w:pStyle w:val="Normaltindrag"/>
        <w:jc w:val="center"/>
      </w:pPr>
      <w:r w:rsidRPr="000761C1">
        <w:rPr>
          <w:b/>
        </w:rPr>
        <w:t>4 kap.</w:t>
      </w:r>
    </w:p>
    <w:p w:rsidR="0077093B" w:rsidRPr="000761C1" w:rsidRDefault="0077093B">
      <w:pPr>
        <w:pStyle w:val="Normaltindrag"/>
        <w:jc w:val="center"/>
      </w:pPr>
      <w:r w:rsidRPr="000761C1">
        <w:t>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 xml:space="preserve">För tid då en försäkrad vistas i ett land som </w:t>
            </w:r>
            <w:r w:rsidRPr="000761C1">
              <w:rPr>
                <w:i/>
              </w:rPr>
              <w:t>inte</w:t>
            </w:r>
            <w:r w:rsidRPr="000761C1">
              <w:t xml:space="preserve"> ingår i Europeiska ekonomiska sam</w:t>
            </w:r>
            <w:r w:rsidRPr="000761C1">
              <w:softHyphen/>
              <w:t>arbetsområdet (EES) får förmåner som grundas på bosättning utges endast i de fall som avses i 2 och 3 §§.</w:t>
            </w:r>
          </w:p>
        </w:tc>
        <w:tc>
          <w:tcPr>
            <w:tcW w:w="3118" w:type="dxa"/>
          </w:tcPr>
          <w:p w:rsidR="0077093B" w:rsidRPr="000761C1" w:rsidRDefault="0077093B">
            <w:pPr>
              <w:pStyle w:val="Normaltindrag"/>
            </w:pPr>
            <w:r w:rsidRPr="000761C1">
              <w:t xml:space="preserve">För tid då en försäkrad </w:t>
            </w:r>
            <w:r w:rsidRPr="000761C1">
              <w:rPr>
                <w:i/>
              </w:rPr>
              <w:t xml:space="preserve">inte </w:t>
            </w:r>
            <w:r w:rsidRPr="000761C1">
              <w:t>vistas i ett land som ingår i Europeiska ekonomiska sam</w:t>
            </w:r>
            <w:r w:rsidRPr="000761C1">
              <w:softHyphen/>
              <w:t xml:space="preserve">arbetsområdet (EES) </w:t>
            </w:r>
            <w:r w:rsidRPr="000761C1">
              <w:rPr>
                <w:i/>
              </w:rPr>
              <w:t>eller i Schweiz</w:t>
            </w:r>
            <w:r w:rsidRPr="000761C1">
              <w:t xml:space="preserve"> får förmåner som grundas på bosättning utges endast i de fall som avses i 2 och 3  §§.</w:t>
            </w:r>
          </w:p>
        </w:tc>
      </w:tr>
    </w:tbl>
    <w:p w:rsidR="0077093B" w:rsidRPr="000761C1" w:rsidRDefault="0077093B">
      <w:r w:rsidRPr="000761C1">
        <w:rPr>
          <w:u w:val="single"/>
        </w:rPr>
        <w:t>                                     </w:t>
      </w:r>
    </w:p>
    <w:p w:rsidR="0077093B" w:rsidRPr="000761C1" w:rsidRDefault="0077093B">
      <w:pPr>
        <w:pStyle w:val="Normaltindrag"/>
      </w:pPr>
      <w:r w:rsidRPr="000761C1">
        <w:t>Denna lag träder i kraft den dag regeringen bestämmer.</w:t>
      </w:r>
    </w:p>
    <w:p w:rsidR="0077093B" w:rsidRPr="000761C1" w:rsidRDefault="0077093B">
      <w:pPr>
        <w:pStyle w:val="Rubrik2"/>
      </w:pPr>
      <w:bookmarkStart w:id="138" w:name="_Toc500590324"/>
      <w:bookmarkStart w:id="139" w:name="_Toc500593036"/>
      <w:bookmarkStart w:id="140" w:name="_Toc500676161"/>
      <w:bookmarkStart w:id="141" w:name="_Toc500678074"/>
      <w:bookmarkStart w:id="142" w:name="_Toc500679765"/>
      <w:bookmarkStart w:id="143" w:name="_Toc500725837"/>
      <w:bookmarkStart w:id="144" w:name="_Toc500739432"/>
      <w:r w:rsidRPr="000761C1">
        <w:br w:type="page"/>
      </w:r>
      <w:bookmarkStart w:id="145" w:name="_Toc505417762"/>
      <w:r w:rsidRPr="000761C1">
        <w:t>Förslag till lag om ändring i studiestödslagen (1999:1395)</w:t>
      </w:r>
      <w:bookmarkEnd w:id="138"/>
      <w:bookmarkEnd w:id="139"/>
      <w:bookmarkEnd w:id="140"/>
      <w:bookmarkEnd w:id="141"/>
      <w:bookmarkEnd w:id="142"/>
      <w:bookmarkEnd w:id="143"/>
      <w:bookmarkEnd w:id="144"/>
      <w:bookmarkEnd w:id="145"/>
    </w:p>
    <w:p w:rsidR="0077093B" w:rsidRPr="000761C1" w:rsidRDefault="0077093B">
      <w:pPr>
        <w:pStyle w:val="Normaltindrag"/>
      </w:pPr>
    </w:p>
    <w:p w:rsidR="0077093B" w:rsidRPr="000761C1" w:rsidRDefault="0077093B">
      <w:pPr>
        <w:pStyle w:val="Normaltindrag"/>
      </w:pPr>
      <w:r w:rsidRPr="000761C1">
        <w:t>Härigenom föreskrivs att 1 kap. 4 § och rubriken närmast före 1 kap. 4 § studiestödslagen (1999:1395) skall ha följande lydelse.</w:t>
      </w:r>
    </w:p>
    <w:p w:rsidR="0077093B" w:rsidRPr="000761C1" w:rsidRDefault="0077093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r w:rsidRPr="000761C1">
              <w:rPr>
                <w:i/>
              </w:rPr>
              <w:t>Nuvarande lydelse</w:t>
            </w:r>
          </w:p>
        </w:tc>
        <w:tc>
          <w:tcPr>
            <w:tcW w:w="3118" w:type="dxa"/>
          </w:tcPr>
          <w:p w:rsidR="0077093B" w:rsidRPr="000761C1" w:rsidRDefault="0077093B">
            <w:pPr>
              <w:rPr>
                <w:i/>
              </w:rPr>
            </w:pPr>
            <w:r w:rsidRPr="000761C1">
              <w:rPr>
                <w:i/>
              </w:rPr>
              <w:t>Föreslagen lydelse</w:t>
            </w:r>
          </w:p>
        </w:tc>
      </w:tr>
      <w:tr w:rsidR="00000000" w:rsidRPr="000761C1">
        <w:tblPrEx>
          <w:tblCellMar>
            <w:top w:w="0" w:type="dxa"/>
            <w:bottom w:w="0" w:type="dxa"/>
          </w:tblCellMar>
        </w:tblPrEx>
        <w:tc>
          <w:tcPr>
            <w:tcW w:w="3118" w:type="dxa"/>
          </w:tcPr>
          <w:p w:rsidR="0077093B" w:rsidRPr="000761C1" w:rsidRDefault="0077093B">
            <w:pPr>
              <w:pStyle w:val="Rubrik4"/>
              <w:rPr>
                <w:b/>
                <w:i w:val="0"/>
              </w:rPr>
            </w:pPr>
            <w:bookmarkStart w:id="146" w:name="_Toc505417763"/>
            <w:r w:rsidRPr="000761C1">
              <w:rPr>
                <w:b/>
                <w:i w:val="0"/>
              </w:rPr>
              <w:t>Medborgare i annat EU/EES-land</w:t>
            </w:r>
            <w:bookmarkEnd w:id="146"/>
          </w:p>
        </w:tc>
        <w:tc>
          <w:tcPr>
            <w:tcW w:w="3118" w:type="dxa"/>
          </w:tcPr>
          <w:p w:rsidR="0077093B" w:rsidRPr="000761C1" w:rsidRDefault="0077093B">
            <w:pPr>
              <w:pStyle w:val="Rubrik4"/>
              <w:rPr>
                <w:b/>
              </w:rPr>
            </w:pPr>
            <w:bookmarkStart w:id="147" w:name="_Toc505417764"/>
            <w:r w:rsidRPr="000761C1">
              <w:rPr>
                <w:b/>
                <w:i w:val="0"/>
              </w:rPr>
              <w:t>Medborgare i annat EU/EES-land</w:t>
            </w:r>
            <w:r w:rsidRPr="000761C1">
              <w:rPr>
                <w:b/>
              </w:rPr>
              <w:t xml:space="preserve"> eller Schweiz</w:t>
            </w:r>
            <w:bookmarkEnd w:id="147"/>
          </w:p>
        </w:tc>
      </w:tr>
    </w:tbl>
    <w:p w:rsidR="0077093B" w:rsidRPr="000761C1" w:rsidRDefault="0077093B">
      <w:pPr>
        <w:pStyle w:val="Normaltindrag"/>
      </w:pPr>
    </w:p>
    <w:p w:rsidR="0077093B" w:rsidRPr="000761C1" w:rsidRDefault="0077093B">
      <w:pPr>
        <w:pStyle w:val="Normaltindrag"/>
        <w:jc w:val="center"/>
      </w:pPr>
      <w:r w:rsidRPr="000761C1">
        <w:rPr>
          <w:b/>
        </w:rPr>
        <w:t>1 kap.</w:t>
      </w:r>
    </w:p>
    <w:p w:rsidR="0077093B" w:rsidRPr="000761C1" w:rsidRDefault="0077093B">
      <w:pPr>
        <w:pStyle w:val="Normaltindrag"/>
        <w:jc w:val="center"/>
      </w:pPr>
      <w:r w:rsidRPr="000761C1">
        <w:t>4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0761C1">
        <w:tblPrEx>
          <w:tblCellMar>
            <w:top w:w="0" w:type="dxa"/>
            <w:bottom w:w="0" w:type="dxa"/>
          </w:tblCellMar>
        </w:tblPrEx>
        <w:tc>
          <w:tcPr>
            <w:tcW w:w="3118" w:type="dxa"/>
          </w:tcPr>
          <w:p w:rsidR="0077093B" w:rsidRPr="000761C1" w:rsidRDefault="0077093B">
            <w:pPr>
              <w:pStyle w:val="Normaltindrag"/>
            </w:pPr>
            <w:r w:rsidRPr="000761C1">
              <w:t xml:space="preserve">Utländska medborgare som på grund av anställning eller etablering som egenföretagare här i landet kan härleda rättigheter </w:t>
            </w:r>
            <w:r w:rsidRPr="000761C1">
              <w:rPr>
                <w:i/>
              </w:rPr>
              <w:t>från EG-rätten eller avtalet om Europeiska ekon</w:t>
            </w:r>
            <w:r w:rsidRPr="000761C1">
              <w:rPr>
                <w:i/>
              </w:rPr>
              <w:t>o</w:t>
            </w:r>
            <w:r w:rsidRPr="000761C1">
              <w:rPr>
                <w:i/>
              </w:rPr>
              <w:t>miska samarbetsområdet (EES)</w:t>
            </w:r>
            <w:r w:rsidRPr="000761C1">
              <w:t xml:space="preserve"> i fråga om sociala förmåner skall när det gäller rätt till studiestöd enligt denna lag jämställas med svenska medborgare under de förutsättnin</w:t>
            </w:r>
            <w:r w:rsidRPr="000761C1">
              <w:t>g</w:t>
            </w:r>
            <w:r w:rsidRPr="000761C1">
              <w:t>ar som anges i föreskrifter av reg</w:t>
            </w:r>
            <w:r w:rsidRPr="000761C1">
              <w:t>e</w:t>
            </w:r>
            <w:r w:rsidRPr="000761C1">
              <w:t>ringen eller den myndighet som regeringen bestämmer. Detsamma gäller make, sambo och barn till sådana utländska medborgare.</w:t>
            </w:r>
          </w:p>
        </w:tc>
        <w:tc>
          <w:tcPr>
            <w:tcW w:w="3118" w:type="dxa"/>
          </w:tcPr>
          <w:p w:rsidR="0077093B" w:rsidRPr="000761C1" w:rsidRDefault="0077093B">
            <w:pPr>
              <w:pStyle w:val="Normaltindrag"/>
              <w:rPr>
                <w:i/>
              </w:rPr>
            </w:pPr>
            <w:r w:rsidRPr="000761C1">
              <w:t xml:space="preserve">Utländska medborgare som på grund av anställning eller etablering som egenföretagare här i landet kan härleda rättigheter i fråga om </w:t>
            </w:r>
            <w:r w:rsidRPr="000761C1">
              <w:t>soc</w:t>
            </w:r>
            <w:r w:rsidRPr="000761C1">
              <w:t>i</w:t>
            </w:r>
            <w:r w:rsidRPr="000761C1">
              <w:t xml:space="preserve">ala förmåner </w:t>
            </w:r>
            <w:r w:rsidRPr="000761C1">
              <w:rPr>
                <w:i/>
              </w:rPr>
              <w:t>från</w:t>
            </w:r>
          </w:p>
          <w:p w:rsidR="0077093B" w:rsidRPr="000761C1" w:rsidRDefault="0077093B">
            <w:pPr>
              <w:pStyle w:val="Normaltindrag"/>
              <w:rPr>
                <w:i/>
              </w:rPr>
            </w:pPr>
            <w:r w:rsidRPr="000761C1">
              <w:rPr>
                <w:i/>
              </w:rPr>
              <w:t>1. EG-rätten,</w:t>
            </w:r>
          </w:p>
          <w:p w:rsidR="0077093B" w:rsidRPr="000761C1" w:rsidRDefault="0077093B">
            <w:pPr>
              <w:pStyle w:val="Normaltindrag"/>
              <w:rPr>
                <w:i/>
              </w:rPr>
            </w:pPr>
            <w:r w:rsidRPr="000761C1">
              <w:rPr>
                <w:i/>
              </w:rPr>
              <w:t>2. avtalet om Europeiska ekon</w:t>
            </w:r>
            <w:r w:rsidRPr="000761C1">
              <w:rPr>
                <w:i/>
              </w:rPr>
              <w:t>o</w:t>
            </w:r>
            <w:r w:rsidRPr="000761C1">
              <w:rPr>
                <w:i/>
              </w:rPr>
              <w:t>miska samarbetsområdet (EES), eller</w:t>
            </w:r>
          </w:p>
          <w:p w:rsidR="0077093B" w:rsidRPr="000761C1" w:rsidRDefault="0077093B">
            <w:pPr>
              <w:pStyle w:val="Normaltindrag"/>
              <w:rPr>
                <w:i/>
              </w:rPr>
            </w:pPr>
            <w:r w:rsidRPr="000761C1">
              <w:rPr>
                <w:i/>
              </w:rPr>
              <w:t>3. avtalet mellan Europeiska ge-menskapen och dess medlemsstater å ena sidan, och Schweiz å andra sidan om fri rörlighet för pers</w:t>
            </w:r>
            <w:r w:rsidRPr="000761C1">
              <w:rPr>
                <w:i/>
              </w:rPr>
              <w:t>o</w:t>
            </w:r>
            <w:r w:rsidRPr="000761C1">
              <w:rPr>
                <w:i/>
              </w:rPr>
              <w:t>ner,</w:t>
            </w:r>
          </w:p>
          <w:p w:rsidR="0077093B" w:rsidRPr="000761C1" w:rsidRDefault="0077093B">
            <w:pPr>
              <w:pStyle w:val="Normaltindrag"/>
            </w:pPr>
            <w:r w:rsidRPr="000761C1">
              <w:t>skall när det gäller rätt till stud</w:t>
            </w:r>
            <w:r w:rsidRPr="000761C1">
              <w:t>i</w:t>
            </w:r>
            <w:r w:rsidRPr="000761C1">
              <w:t>estöd enligt denna lag jämställas med svenska medborgare under de förutsättningar som anges i för</w:t>
            </w:r>
            <w:r w:rsidRPr="000761C1">
              <w:t>e</w:t>
            </w:r>
            <w:r w:rsidRPr="000761C1">
              <w:t>skrifter av regeringen eller den myndighet som regeringen bestä</w:t>
            </w:r>
            <w:r w:rsidRPr="000761C1">
              <w:t>m</w:t>
            </w:r>
            <w:r w:rsidRPr="000761C1">
              <w:t xml:space="preserve">mer. Detsamma gäller make sambo och barn </w:t>
            </w:r>
            <w:r w:rsidRPr="000761C1">
              <w:rPr>
                <w:i/>
              </w:rPr>
              <w:t>samt andra familjeme</w:t>
            </w:r>
            <w:r w:rsidRPr="000761C1">
              <w:rPr>
                <w:i/>
              </w:rPr>
              <w:t>d</w:t>
            </w:r>
            <w:r w:rsidRPr="000761C1">
              <w:rPr>
                <w:i/>
              </w:rPr>
              <w:t>lemmar</w:t>
            </w:r>
            <w:r w:rsidRPr="000761C1">
              <w:t xml:space="preserve"> till sådana utländska me</w:t>
            </w:r>
            <w:r w:rsidRPr="000761C1">
              <w:t>d</w:t>
            </w:r>
            <w:r w:rsidRPr="000761C1">
              <w:t>bo</w:t>
            </w:r>
            <w:r w:rsidRPr="000761C1">
              <w:t>r</w:t>
            </w:r>
            <w:r w:rsidRPr="000761C1">
              <w:t xml:space="preserve">gare. </w:t>
            </w:r>
          </w:p>
        </w:tc>
      </w:tr>
    </w:tbl>
    <w:p w:rsidR="0077093B" w:rsidRPr="000761C1" w:rsidRDefault="0077093B">
      <w:r w:rsidRPr="000761C1">
        <w:rPr>
          <w:u w:val="single"/>
        </w:rPr>
        <w:t>                                     </w:t>
      </w:r>
    </w:p>
    <w:p w:rsidR="0077093B" w:rsidRPr="000761C1" w:rsidRDefault="0077093B">
      <w:r w:rsidRPr="000761C1">
        <w:t>Denna lag träder i kraft den dag regeringen bestämmer.</w:t>
      </w:r>
    </w:p>
    <w:p w:rsidR="0077093B" w:rsidRPr="000761C1" w:rsidRDefault="0077093B">
      <w:pPr>
        <w:pStyle w:val="Normaltindrag"/>
        <w:sectPr w:rsidR="00000000" w:rsidRPr="000761C1">
          <w:headerReference w:type="default" r:id="rId12"/>
          <w:footerReference w:type="default" r:id="rId13"/>
          <w:pgSz w:w="11906" w:h="16838" w:code="9"/>
          <w:pgMar w:top="567" w:right="4876" w:bottom="4508" w:left="1134" w:header="227" w:footer="227" w:gutter="0"/>
          <w:cols w:space="720"/>
        </w:sectPr>
      </w:pPr>
    </w:p>
    <w:p w:rsidR="0077093B" w:rsidRPr="000761C1" w:rsidRDefault="0077093B">
      <w:pPr>
        <w:pStyle w:val="Innehll"/>
        <w:outlineLvl w:val="1"/>
      </w:pPr>
      <w:r w:rsidRPr="000761C1">
        <w:t>Innehållsförteckning</w:t>
      </w:r>
    </w:p>
    <w:p w:rsidR="0077093B" w:rsidRPr="000761C1" w:rsidRDefault="0077093B">
      <w:pPr>
        <w:pStyle w:val="Innehll1"/>
      </w:pPr>
      <w:r w:rsidRPr="000761C1">
        <w:t>Sammanfattning</w:t>
      </w:r>
      <w:r w:rsidRPr="000761C1">
        <w:tab/>
        <w:t>1</w:t>
      </w:r>
    </w:p>
    <w:p w:rsidR="0077093B" w:rsidRPr="000761C1" w:rsidRDefault="0077093B">
      <w:pPr>
        <w:pStyle w:val="Innehll1"/>
      </w:pPr>
      <w:r w:rsidRPr="000761C1">
        <w:t>Propositionen</w:t>
      </w:r>
      <w:r w:rsidRPr="000761C1">
        <w:tab/>
        <w:t>1</w:t>
      </w:r>
    </w:p>
    <w:p w:rsidR="0077093B" w:rsidRPr="000761C1" w:rsidRDefault="0077093B">
      <w:pPr>
        <w:pStyle w:val="Innehll1"/>
      </w:pPr>
      <w:r w:rsidRPr="000761C1">
        <w:t>Utskottet</w:t>
      </w:r>
      <w:r w:rsidRPr="000761C1">
        <w:tab/>
        <w:t>2</w:t>
      </w:r>
    </w:p>
    <w:p w:rsidR="0077093B" w:rsidRPr="000761C1" w:rsidRDefault="0077093B">
      <w:pPr>
        <w:pStyle w:val="Innehll2"/>
        <w:rPr>
          <w:noProof w:val="0"/>
        </w:rPr>
      </w:pPr>
      <w:r w:rsidRPr="000761C1">
        <w:rPr>
          <w:noProof w:val="0"/>
        </w:rPr>
        <w:t>Propositionens huvudsakliga innehåll</w:t>
      </w:r>
      <w:r w:rsidRPr="000761C1">
        <w:rPr>
          <w:noProof w:val="0"/>
        </w:rPr>
        <w:tab/>
        <w:t>2</w:t>
      </w:r>
    </w:p>
    <w:p w:rsidR="0077093B" w:rsidRPr="000761C1" w:rsidRDefault="0077093B">
      <w:pPr>
        <w:pStyle w:val="Innehll3"/>
      </w:pPr>
      <w:r w:rsidRPr="000761C1">
        <w:t>Ärendet och dess beredning</w:t>
      </w:r>
      <w:r w:rsidRPr="000761C1">
        <w:tab/>
        <w:t>2</w:t>
      </w:r>
    </w:p>
    <w:p w:rsidR="0077093B" w:rsidRPr="000761C1" w:rsidRDefault="0077093B">
      <w:pPr>
        <w:pStyle w:val="Innehll3"/>
      </w:pPr>
      <w:r w:rsidRPr="000761C1">
        <w:t>Avtalets disposition</w:t>
      </w:r>
      <w:r w:rsidRPr="000761C1">
        <w:tab/>
        <w:t>3</w:t>
      </w:r>
    </w:p>
    <w:p w:rsidR="0077093B" w:rsidRPr="000761C1" w:rsidRDefault="0077093B">
      <w:pPr>
        <w:pStyle w:val="Innehll3"/>
      </w:pPr>
      <w:r w:rsidRPr="000761C1">
        <w:t>Avtalets målsättningar</w:t>
      </w:r>
      <w:r w:rsidRPr="000761C1">
        <w:tab/>
        <w:t>4</w:t>
      </w:r>
    </w:p>
    <w:p w:rsidR="0077093B" w:rsidRPr="000761C1" w:rsidRDefault="0077093B">
      <w:pPr>
        <w:pStyle w:val="Innehll2"/>
        <w:rPr>
          <w:noProof w:val="0"/>
        </w:rPr>
      </w:pPr>
      <w:r w:rsidRPr="000761C1">
        <w:rPr>
          <w:noProof w:val="0"/>
        </w:rPr>
        <w:t>Utskottets överväganden</w:t>
      </w:r>
      <w:r w:rsidRPr="000761C1">
        <w:rPr>
          <w:noProof w:val="0"/>
        </w:rPr>
        <w:tab/>
        <w:t>4</w:t>
      </w:r>
    </w:p>
    <w:p w:rsidR="0077093B" w:rsidRPr="000761C1" w:rsidRDefault="0077093B">
      <w:pPr>
        <w:pStyle w:val="Innehll2"/>
        <w:rPr>
          <w:noProof w:val="0"/>
        </w:rPr>
      </w:pPr>
      <w:r w:rsidRPr="000761C1">
        <w:rPr>
          <w:noProof w:val="0"/>
        </w:rPr>
        <w:t>Hemställan</w:t>
      </w:r>
      <w:r w:rsidRPr="000761C1">
        <w:rPr>
          <w:noProof w:val="0"/>
        </w:rPr>
        <w:tab/>
        <w:t>4</w:t>
      </w:r>
    </w:p>
    <w:p w:rsidR="0077093B" w:rsidRPr="000761C1" w:rsidRDefault="0077093B">
      <w:pPr>
        <w:pStyle w:val="Innehll1"/>
      </w:pPr>
      <w:r w:rsidRPr="000761C1">
        <w:rPr>
          <w:i/>
        </w:rPr>
        <w:t>Bilaga</w:t>
      </w:r>
      <w:r w:rsidRPr="000761C1">
        <w:tab/>
        <w:t>6</w:t>
      </w:r>
    </w:p>
    <w:p w:rsidR="0077093B" w:rsidRPr="000761C1" w:rsidRDefault="0077093B">
      <w:pPr>
        <w:pStyle w:val="Innehll2"/>
        <w:rPr>
          <w:noProof w:val="0"/>
        </w:rPr>
      </w:pPr>
      <w:r w:rsidRPr="000761C1">
        <w:rPr>
          <w:noProof w:val="0"/>
        </w:rPr>
        <w:t>Förslag till lag om ändring i rättegångsbalken</w:t>
      </w:r>
      <w:r w:rsidRPr="000761C1">
        <w:rPr>
          <w:noProof w:val="0"/>
        </w:rPr>
        <w:tab/>
        <w:t>6</w:t>
      </w:r>
    </w:p>
    <w:p w:rsidR="0077093B" w:rsidRPr="000761C1" w:rsidRDefault="0077093B">
      <w:pPr>
        <w:pStyle w:val="Innehll2"/>
        <w:rPr>
          <w:noProof w:val="0"/>
        </w:rPr>
      </w:pPr>
      <w:r w:rsidRPr="000761C1">
        <w:rPr>
          <w:noProof w:val="0"/>
        </w:rPr>
        <w:t>Förslag till lag om ändring i lagen (1946:819) om upptagande av ed för rättighets tillvaratagande i utlandet</w:t>
      </w:r>
      <w:r w:rsidRPr="000761C1">
        <w:rPr>
          <w:noProof w:val="0"/>
        </w:rPr>
        <w:tab/>
        <w:t>10</w:t>
      </w:r>
    </w:p>
    <w:p w:rsidR="0077093B" w:rsidRPr="000761C1" w:rsidRDefault="0077093B">
      <w:pPr>
        <w:pStyle w:val="Innehll2"/>
        <w:rPr>
          <w:noProof w:val="0"/>
        </w:rPr>
      </w:pPr>
      <w:r w:rsidRPr="000761C1">
        <w:rPr>
          <w:noProof w:val="0"/>
        </w:rPr>
        <w:t>Förslag till lag om ändring i passlagen (1978:302)</w:t>
      </w:r>
      <w:r w:rsidRPr="000761C1">
        <w:rPr>
          <w:noProof w:val="0"/>
        </w:rPr>
        <w:tab/>
        <w:t>11</w:t>
      </w:r>
    </w:p>
    <w:p w:rsidR="0077093B" w:rsidRPr="000761C1" w:rsidRDefault="0077093B">
      <w:pPr>
        <w:pStyle w:val="Innehll2"/>
        <w:rPr>
          <w:noProof w:val="0"/>
        </w:rPr>
      </w:pPr>
      <w:r w:rsidRPr="000761C1">
        <w:rPr>
          <w:noProof w:val="0"/>
        </w:rPr>
        <w:t>Förslag till lag om ändring i utlänningslagen (1989:529)</w:t>
      </w:r>
      <w:r w:rsidRPr="000761C1">
        <w:rPr>
          <w:noProof w:val="0"/>
        </w:rPr>
        <w:tab/>
        <w:t>13</w:t>
      </w:r>
    </w:p>
    <w:p w:rsidR="0077093B" w:rsidRPr="000761C1" w:rsidRDefault="0077093B">
      <w:pPr>
        <w:pStyle w:val="Innehll2"/>
        <w:rPr>
          <w:noProof w:val="0"/>
        </w:rPr>
      </w:pPr>
      <w:r w:rsidRPr="000761C1">
        <w:rPr>
          <w:noProof w:val="0"/>
        </w:rPr>
        <w:t>Förslag till lag om ändring i lagen (1990:515) om auktorisation av handelskamrar</w:t>
      </w:r>
      <w:r w:rsidRPr="000761C1">
        <w:rPr>
          <w:noProof w:val="0"/>
        </w:rPr>
        <w:tab/>
        <w:t>15</w:t>
      </w:r>
    </w:p>
    <w:p w:rsidR="0077093B" w:rsidRPr="000761C1" w:rsidRDefault="0077093B">
      <w:pPr>
        <w:pStyle w:val="Innehll2"/>
        <w:rPr>
          <w:noProof w:val="0"/>
        </w:rPr>
      </w:pPr>
      <w:r w:rsidRPr="000761C1">
        <w:rPr>
          <w:noProof w:val="0"/>
        </w:rPr>
        <w:t>Förslag till lag om ändring i lagen (1995:528) om revisorer</w:t>
      </w:r>
      <w:r w:rsidRPr="000761C1">
        <w:rPr>
          <w:noProof w:val="0"/>
        </w:rPr>
        <w:tab/>
        <w:t>16</w:t>
      </w:r>
    </w:p>
    <w:p w:rsidR="0077093B" w:rsidRPr="000761C1" w:rsidRDefault="0077093B">
      <w:pPr>
        <w:pStyle w:val="Innehll2"/>
        <w:rPr>
          <w:noProof w:val="0"/>
        </w:rPr>
      </w:pPr>
      <w:r w:rsidRPr="000761C1">
        <w:rPr>
          <w:noProof w:val="0"/>
        </w:rPr>
        <w:t>Förslag till lag om ändring i lagen (1997:238) om arbetslöshets</w:t>
      </w:r>
      <w:r w:rsidRPr="000761C1">
        <w:rPr>
          <w:noProof w:val="0"/>
        </w:rPr>
        <w:softHyphen/>
        <w:t>försäkring</w:t>
      </w:r>
      <w:r w:rsidRPr="000761C1">
        <w:rPr>
          <w:noProof w:val="0"/>
        </w:rPr>
        <w:tab/>
        <w:t>18</w:t>
      </w:r>
    </w:p>
    <w:p w:rsidR="0077093B" w:rsidRPr="000761C1" w:rsidRDefault="0077093B">
      <w:pPr>
        <w:pStyle w:val="Innehll2"/>
        <w:rPr>
          <w:noProof w:val="0"/>
        </w:rPr>
      </w:pPr>
      <w:r w:rsidRPr="000761C1">
        <w:rPr>
          <w:noProof w:val="0"/>
        </w:rPr>
        <w:t>Förslag till lag om ändring i lagen (1998:531) om yrkes</w:t>
      </w:r>
      <w:r w:rsidRPr="000761C1">
        <w:rPr>
          <w:noProof w:val="0"/>
        </w:rPr>
        <w:softHyphen/>
        <w:t>verk</w:t>
      </w:r>
      <w:r w:rsidRPr="000761C1">
        <w:rPr>
          <w:noProof w:val="0"/>
        </w:rPr>
        <w:softHyphen/>
        <w:t>samhet på hälso- och sjukvårdens område</w:t>
      </w:r>
      <w:r w:rsidRPr="000761C1">
        <w:rPr>
          <w:noProof w:val="0"/>
        </w:rPr>
        <w:tab/>
        <w:t>19</w:t>
      </w:r>
    </w:p>
    <w:p w:rsidR="0077093B" w:rsidRPr="000761C1" w:rsidRDefault="0077093B">
      <w:pPr>
        <w:pStyle w:val="Innehll2"/>
        <w:rPr>
          <w:noProof w:val="0"/>
        </w:rPr>
      </w:pPr>
      <w:r w:rsidRPr="000761C1">
        <w:rPr>
          <w:noProof w:val="0"/>
        </w:rPr>
        <w:t>Förslag till lag om ändring i lagen (1999:678) om utstationering av arbetstagare</w:t>
      </w:r>
      <w:r w:rsidRPr="000761C1">
        <w:rPr>
          <w:noProof w:val="0"/>
        </w:rPr>
        <w:tab/>
        <w:t>20</w:t>
      </w:r>
    </w:p>
    <w:p w:rsidR="0077093B" w:rsidRPr="000761C1" w:rsidRDefault="0077093B">
      <w:pPr>
        <w:pStyle w:val="Innehll2"/>
        <w:rPr>
          <w:noProof w:val="0"/>
        </w:rPr>
      </w:pPr>
      <w:r w:rsidRPr="000761C1">
        <w:rPr>
          <w:noProof w:val="0"/>
        </w:rPr>
        <w:t>Förslag till lag om ändring i socialförsäkringslagen (1999:799)</w:t>
      </w:r>
      <w:r w:rsidRPr="000761C1">
        <w:rPr>
          <w:noProof w:val="0"/>
        </w:rPr>
        <w:tab/>
        <w:t>22</w:t>
      </w:r>
    </w:p>
    <w:p w:rsidR="0077093B" w:rsidRPr="000761C1" w:rsidRDefault="0077093B">
      <w:pPr>
        <w:pStyle w:val="Innehll2"/>
        <w:rPr>
          <w:noProof w:val="0"/>
        </w:rPr>
      </w:pPr>
      <w:r w:rsidRPr="000761C1">
        <w:rPr>
          <w:noProof w:val="0"/>
        </w:rPr>
        <w:t>Förslag till lag om ändring i studiestödslagen (1999:1395)</w:t>
      </w:r>
      <w:r w:rsidRPr="000761C1">
        <w:rPr>
          <w:noProof w:val="0"/>
        </w:rPr>
        <w:tab/>
        <w:t>23</w:t>
      </w:r>
    </w:p>
    <w:p w:rsidR="0077093B" w:rsidRPr="000761C1" w:rsidRDefault="0077093B">
      <w:pPr>
        <w:pStyle w:val="Innehll4"/>
      </w:pPr>
    </w:p>
    <w:p w:rsidR="0077093B" w:rsidRPr="000761C1" w:rsidRDefault="0077093B"/>
    <w:p w:rsidR="0077093B" w:rsidRPr="000761C1" w:rsidRDefault="0077093B">
      <w:pPr>
        <w:pStyle w:val="Tryckort"/>
        <w:framePr w:wrap="around"/>
      </w:pPr>
      <w:r w:rsidRPr="000761C1">
        <w:t>Elanders Gotab, Stockholm  2001</w:t>
      </w:r>
    </w:p>
    <w:p w:rsidR="0077093B" w:rsidRPr="000761C1" w:rsidRDefault="0077093B">
      <w:pPr>
        <w:pStyle w:val="Normaltindrag"/>
      </w:pPr>
    </w:p>
    <w:sectPr w:rsidR="0077093B" w:rsidRPr="000761C1">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93B" w:rsidRPr="000761C1" w:rsidRDefault="0077093B">
      <w:pPr>
        <w:spacing w:before="0" w:line="240" w:lineRule="auto"/>
      </w:pPr>
      <w:r w:rsidRPr="000761C1">
        <w:separator/>
      </w:r>
    </w:p>
  </w:endnote>
  <w:endnote w:type="continuationSeparator" w:id="0">
    <w:p w:rsidR="0077093B" w:rsidRPr="000761C1" w:rsidRDefault="0077093B">
      <w:pPr>
        <w:spacing w:before="0" w:line="240" w:lineRule="auto"/>
      </w:pPr>
      <w:r w:rsidRPr="00076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93B" w:rsidRPr="000761C1" w:rsidRDefault="0077093B">
    <w:pPr>
      <w:pStyle w:val="SidfotH"/>
      <w:framePr w:wrap="around"/>
    </w:pPr>
    <w:r w:rsidRPr="000761C1">
      <w:fldChar w:fldCharType="begin" w:fldLock="1"/>
    </w:r>
    <w:r w:rsidRPr="000761C1">
      <w:instrText xml:space="preserve"> P</w:instrText>
    </w:r>
    <w:r w:rsidRPr="000761C1">
      <w:instrText>A</w:instrText>
    </w:r>
    <w:r w:rsidRPr="000761C1">
      <w:instrText xml:space="preserve">GE </w:instrText>
    </w:r>
    <w:r w:rsidRPr="000761C1">
      <w:fldChar w:fldCharType="separate"/>
    </w:r>
    <w:r w:rsidRPr="000761C1">
      <w:t>5</w:t>
    </w:r>
    <w:r w:rsidRPr="000761C1">
      <w:fldChar w:fldCharType="end"/>
    </w:r>
  </w:p>
  <w:p w:rsidR="0077093B" w:rsidRPr="000761C1" w:rsidRDefault="007709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93B" w:rsidRPr="000761C1" w:rsidRDefault="0077093B">
    <w:pPr>
      <w:pStyle w:val="SidfotH"/>
      <w:framePr w:wrap="around"/>
    </w:pPr>
    <w:r w:rsidRPr="000761C1">
      <w:fldChar w:fldCharType="begin" w:fldLock="1"/>
    </w:r>
    <w:r w:rsidRPr="000761C1">
      <w:instrText xml:space="preserve"> P</w:instrText>
    </w:r>
    <w:r w:rsidRPr="000761C1">
      <w:instrText>A</w:instrText>
    </w:r>
    <w:r w:rsidRPr="000761C1">
      <w:instrText xml:space="preserve">GE </w:instrText>
    </w:r>
    <w:r w:rsidRPr="000761C1">
      <w:fldChar w:fldCharType="separate"/>
    </w:r>
    <w:r w:rsidRPr="000761C1">
      <w:t>6</w:t>
    </w:r>
    <w:r w:rsidRPr="000761C1">
      <w:fldChar w:fldCharType="end"/>
    </w:r>
  </w:p>
  <w:p w:rsidR="0077093B" w:rsidRPr="000761C1" w:rsidRDefault="007709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93B" w:rsidRPr="000761C1" w:rsidRDefault="0077093B">
    <w:pPr>
      <w:pStyle w:val="SidfotH"/>
      <w:framePr w:wrap="around"/>
    </w:pPr>
    <w:r w:rsidRPr="000761C1">
      <w:fldChar w:fldCharType="begin" w:fldLock="1"/>
    </w:r>
    <w:r w:rsidRPr="000761C1">
      <w:instrText xml:space="preserve"> P</w:instrText>
    </w:r>
    <w:r w:rsidRPr="000761C1">
      <w:instrText>A</w:instrText>
    </w:r>
    <w:r w:rsidRPr="000761C1">
      <w:instrText xml:space="preserve">GE </w:instrText>
    </w:r>
    <w:r w:rsidRPr="000761C1">
      <w:fldChar w:fldCharType="separate"/>
    </w:r>
    <w:r w:rsidRPr="000761C1">
      <w:t>24</w:t>
    </w:r>
    <w:r w:rsidRPr="000761C1">
      <w:fldChar w:fldCharType="end"/>
    </w:r>
  </w:p>
  <w:p w:rsidR="0077093B" w:rsidRPr="000761C1" w:rsidRDefault="007709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93B" w:rsidRPr="000761C1" w:rsidRDefault="0077093B">
      <w:pPr>
        <w:pStyle w:val="Sidfot"/>
      </w:pPr>
    </w:p>
  </w:footnote>
  <w:footnote w:type="continuationSeparator" w:id="0">
    <w:p w:rsidR="0077093B" w:rsidRPr="000761C1" w:rsidRDefault="0077093B">
      <w:pPr>
        <w:spacing w:before="0" w:line="240" w:lineRule="auto"/>
      </w:pPr>
      <w:r w:rsidRPr="000761C1">
        <w:continuationSeparator/>
      </w:r>
    </w:p>
  </w:footnote>
  <w:footnote w:id="1">
    <w:p w:rsidR="0077093B" w:rsidRPr="000761C1" w:rsidRDefault="0077093B">
      <w:pPr>
        <w:pStyle w:val="Fotnotstext"/>
      </w:pPr>
      <w:r w:rsidRPr="000761C1">
        <w:rPr>
          <w:rStyle w:val="Fotnotsreferens"/>
        </w:rPr>
        <w:footnoteRef/>
      </w:r>
      <w:r w:rsidRPr="000761C1">
        <w:t xml:space="preserve"> Senaste lydelse 2000:172.</w:t>
      </w:r>
    </w:p>
  </w:footnote>
  <w:footnote w:id="2">
    <w:p w:rsidR="0077093B" w:rsidRPr="000761C1" w:rsidRDefault="0077093B">
      <w:pPr>
        <w:pStyle w:val="Fotnotstext"/>
      </w:pPr>
      <w:r w:rsidRPr="000761C1">
        <w:rPr>
          <w:rStyle w:val="Fotnotsreferens"/>
        </w:rPr>
        <w:footnoteRef/>
      </w:r>
      <w:r w:rsidRPr="000761C1">
        <w:t xml:space="preserve"> Senaste lydelse 1999:791.</w:t>
      </w:r>
    </w:p>
  </w:footnote>
  <w:footnote w:id="3">
    <w:p w:rsidR="0077093B" w:rsidRPr="000761C1" w:rsidRDefault="0077093B">
      <w:pPr>
        <w:pStyle w:val="Fotnotstext"/>
      </w:pPr>
      <w:r w:rsidRPr="000761C1">
        <w:rPr>
          <w:rStyle w:val="Fotnotsreferens"/>
        </w:rPr>
        <w:footnoteRef/>
      </w:r>
      <w:r w:rsidRPr="000761C1">
        <w:t xml:space="preserve"> Senaste lydelse 1999:791.</w:t>
      </w:r>
    </w:p>
  </w:footnote>
  <w:footnote w:id="4">
    <w:p w:rsidR="0077093B" w:rsidRPr="000761C1" w:rsidRDefault="0077093B">
      <w:pPr>
        <w:pStyle w:val="Fotnotstext"/>
      </w:pPr>
      <w:r w:rsidRPr="000761C1">
        <w:rPr>
          <w:rStyle w:val="Fotnotsreferens"/>
        </w:rPr>
        <w:footnoteRef/>
      </w:r>
      <w:r w:rsidRPr="000761C1">
        <w:t xml:space="preserve"> Senaste lydelse 1999:791.</w:t>
      </w:r>
    </w:p>
  </w:footnote>
  <w:footnote w:id="5">
    <w:p w:rsidR="0077093B" w:rsidRPr="000761C1" w:rsidRDefault="0077093B">
      <w:pPr>
        <w:pStyle w:val="Fotnotstext"/>
      </w:pPr>
      <w:r w:rsidRPr="000761C1">
        <w:rPr>
          <w:rStyle w:val="Fotnotsreferens"/>
        </w:rPr>
        <w:footnoteRef/>
      </w:r>
      <w:r w:rsidRPr="000761C1">
        <w:t xml:space="preserve"> Senaste lydelse 1992:1511.</w:t>
      </w:r>
    </w:p>
  </w:footnote>
  <w:footnote w:id="6">
    <w:p w:rsidR="0077093B" w:rsidRPr="000761C1" w:rsidRDefault="0077093B">
      <w:pPr>
        <w:pStyle w:val="Fotnotstext"/>
      </w:pPr>
      <w:r w:rsidRPr="000761C1">
        <w:rPr>
          <w:rStyle w:val="Fotnotsreferens"/>
        </w:rPr>
        <w:footnoteRef/>
      </w:r>
      <w:r w:rsidRPr="000761C1">
        <w:t xml:space="preserve"> Senaste lydelse 1992:1511.</w:t>
      </w:r>
    </w:p>
  </w:footnote>
  <w:footnote w:id="7">
    <w:p w:rsidR="0077093B" w:rsidRPr="000761C1" w:rsidRDefault="0077093B">
      <w:pPr>
        <w:pStyle w:val="Fotnotstext"/>
      </w:pPr>
      <w:r w:rsidRPr="000761C1">
        <w:rPr>
          <w:rStyle w:val="Fotnotsreferens"/>
        </w:rPr>
        <w:t>1</w:t>
      </w:r>
      <w:r w:rsidRPr="000761C1">
        <w:t xml:space="preserve"> Senaste lydelse 1994:1590.</w:t>
      </w:r>
    </w:p>
  </w:footnote>
  <w:footnote w:id="8">
    <w:p w:rsidR="0077093B" w:rsidRPr="000761C1" w:rsidRDefault="0077093B">
      <w:pPr>
        <w:pStyle w:val="Fotnotstext"/>
      </w:pPr>
      <w:r w:rsidRPr="000761C1">
        <w:rPr>
          <w:rStyle w:val="Fotnotsreferens"/>
        </w:rPr>
        <w:t>1</w:t>
      </w:r>
      <w:r w:rsidRPr="000761C1">
        <w:t xml:space="preserve"> Senaste lydelse 2000:346.</w:t>
      </w:r>
    </w:p>
  </w:footnote>
  <w:footnote w:id="9">
    <w:p w:rsidR="0077093B" w:rsidRPr="000761C1" w:rsidRDefault="0077093B">
      <w:pPr>
        <w:pStyle w:val="Fotnotstext"/>
        <w:spacing w:before="0"/>
      </w:pPr>
      <w:r w:rsidRPr="000761C1">
        <w:rPr>
          <w:rStyle w:val="Fotnotsreferens"/>
        </w:rPr>
        <w:t>1</w:t>
      </w:r>
      <w:r w:rsidRPr="000761C1">
        <w:t xml:space="preserve"> Lagen omtryckt 1994:515.</w:t>
      </w:r>
    </w:p>
  </w:footnote>
  <w:footnote w:id="10">
    <w:p w:rsidR="0077093B" w:rsidRPr="000761C1" w:rsidRDefault="0077093B">
      <w:pPr>
        <w:pStyle w:val="Fotnotstext"/>
        <w:spacing w:before="0"/>
      </w:pPr>
      <w:r w:rsidRPr="000761C1">
        <w:rPr>
          <w:rStyle w:val="Fotnotsreferens"/>
        </w:rPr>
        <w:t>2</w:t>
      </w:r>
      <w:r w:rsidRPr="000761C1">
        <w:t xml:space="preserve"> Senaste lydelse 1996:1379.</w:t>
      </w:r>
    </w:p>
  </w:footnote>
  <w:footnote w:id="11">
    <w:p w:rsidR="0077093B" w:rsidRPr="000761C1" w:rsidRDefault="0077093B">
      <w:pPr>
        <w:pStyle w:val="Fotnotstext"/>
        <w:spacing w:before="0"/>
      </w:pPr>
      <w:r w:rsidRPr="000761C1">
        <w:rPr>
          <w:rStyle w:val="Fotnotsreferens"/>
        </w:rPr>
        <w:t>3</w:t>
      </w:r>
      <w:r w:rsidRPr="000761C1">
        <w:t xml:space="preserve"> Senaste lydelse 2000:292.</w:t>
      </w:r>
    </w:p>
  </w:footnote>
  <w:footnote w:id="12">
    <w:p w:rsidR="0077093B" w:rsidRPr="000761C1" w:rsidRDefault="0077093B">
      <w:pPr>
        <w:pStyle w:val="Fotnotstext"/>
        <w:spacing w:before="0"/>
      </w:pPr>
      <w:r w:rsidRPr="000761C1">
        <w:rPr>
          <w:rStyle w:val="Fotnotsreferens"/>
        </w:rPr>
        <w:t>4</w:t>
      </w:r>
      <w:r w:rsidRPr="000761C1">
        <w:t xml:space="preserve">  Senaste lydelse 1996:1379.</w:t>
      </w:r>
    </w:p>
  </w:footnote>
  <w:footnote w:id="13">
    <w:p w:rsidR="0077093B" w:rsidRPr="000761C1" w:rsidRDefault="0077093B">
      <w:pPr>
        <w:pStyle w:val="Fotnotstext"/>
      </w:pPr>
      <w:r w:rsidRPr="000761C1">
        <w:rPr>
          <w:rStyle w:val="Fotnotsreferens"/>
        </w:rPr>
        <w:t>1</w:t>
      </w:r>
      <w:r w:rsidRPr="000761C1">
        <w:t xml:space="preserve"> Senaste lydelse 1994:1591.</w:t>
      </w:r>
    </w:p>
  </w:footnote>
  <w:footnote w:id="14">
    <w:p w:rsidR="0077093B" w:rsidRPr="000761C1" w:rsidRDefault="0077093B">
      <w:pPr>
        <w:pStyle w:val="Fotnotstext"/>
      </w:pPr>
      <w:r w:rsidRPr="000761C1">
        <w:rPr>
          <w:rStyle w:val="Fotnotsreferens"/>
        </w:rPr>
        <w:t>1</w:t>
      </w:r>
      <w:r w:rsidRPr="000761C1">
        <w:t xml:space="preserve"> Lydelse enligt SFS 2000:772.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93B" w:rsidRPr="000761C1" w:rsidRDefault="0077093B">
    <w:pPr>
      <w:pStyle w:val="SidhuvudKant"/>
      <w:framePr w:w="1758" w:h="2744" w:hRule="exact" w:wrap="around" w:vAnchor="page" w:hAnchor="page" w:x="7372" w:y="568" w:anchorLock="0"/>
    </w:pPr>
    <w:r w:rsidRPr="000761C1">
      <w:t>2000/01:UU6</w:t>
    </w:r>
  </w:p>
  <w:p w:rsidR="0077093B" w:rsidRPr="000761C1" w:rsidRDefault="0077093B">
    <w:pPr>
      <w:pStyle w:val="SidhuvudKantBilaga"/>
      <w:framePr w:w="1758" w:h="2744" w:hRule="exact" w:wrap="around" w:vAnchor="page" w:hAnchor="page" w:x="7372" w:y="568" w:anchorLock="0"/>
    </w:pPr>
  </w:p>
  <w:p w:rsidR="0077093B" w:rsidRPr="000761C1" w:rsidRDefault="0077093B">
    <w:pPr>
      <w:pStyle w:val="SidhuvudKant"/>
      <w:framePr w:w="1758" w:h="2744" w:hRule="exact" w:wrap="around" w:vAnchor="page" w:hAnchor="page" w:x="7372" w:y="568" w:anchorLock="0"/>
    </w:pPr>
  </w:p>
  <w:p w:rsidR="0077093B" w:rsidRPr="000761C1" w:rsidRDefault="007709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93B" w:rsidRPr="000761C1" w:rsidRDefault="0077093B">
    <w:pPr>
      <w:pStyle w:val="SidhuvudKant"/>
      <w:framePr w:w="1758" w:h="2744" w:hRule="exact" w:wrap="around" w:vAnchor="page" w:hAnchor="page" w:x="7372" w:y="568" w:anchorLock="0"/>
    </w:pPr>
    <w:r w:rsidRPr="000761C1">
      <w:t>2000/01:UU6</w:t>
    </w:r>
  </w:p>
  <w:p w:rsidR="0077093B" w:rsidRPr="000761C1" w:rsidRDefault="0077093B">
    <w:pPr>
      <w:pStyle w:val="SidhuvudKantBilaga"/>
      <w:framePr w:w="1758" w:h="2744" w:hRule="exact" w:wrap="around" w:vAnchor="page" w:hAnchor="page" w:x="7372" w:y="568" w:anchorLock="0"/>
    </w:pPr>
    <w:r w:rsidRPr="000761C1">
      <w:t>Bilaga</w:t>
    </w:r>
  </w:p>
  <w:p w:rsidR="0077093B" w:rsidRPr="000761C1" w:rsidRDefault="0077093B">
    <w:pPr>
      <w:pStyle w:val="SidhuvudKant"/>
      <w:framePr w:w="1758" w:h="2744" w:hRule="exact" w:wrap="around" w:vAnchor="page" w:hAnchor="page" w:x="7372" w:y="568" w:anchorLock="0"/>
    </w:pPr>
  </w:p>
  <w:p w:rsidR="0077093B" w:rsidRPr="000761C1" w:rsidRDefault="0077093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93B" w:rsidRPr="000761C1" w:rsidRDefault="0077093B">
    <w:pPr>
      <w:pStyle w:val="SidhuvudKant"/>
      <w:framePr w:w="1758" w:h="2744" w:hRule="exact" w:wrap="around" w:vAnchor="page" w:hAnchor="page" w:x="7372" w:y="568" w:anchorLock="0"/>
    </w:pPr>
    <w:r w:rsidRPr="000761C1">
      <w:t>2000/01:UU6</w:t>
    </w:r>
  </w:p>
  <w:p w:rsidR="0077093B" w:rsidRPr="000761C1" w:rsidRDefault="0077093B">
    <w:pPr>
      <w:pStyle w:val="SidhuvudKantBilaga"/>
      <w:framePr w:w="1758" w:h="2744" w:hRule="exact" w:wrap="around" w:vAnchor="page" w:hAnchor="page" w:x="7372" w:y="568" w:anchorLock="0"/>
    </w:pPr>
  </w:p>
  <w:p w:rsidR="0077093B" w:rsidRPr="000761C1" w:rsidRDefault="0077093B">
    <w:pPr>
      <w:pStyle w:val="SidhuvudKant"/>
      <w:framePr w:w="1758" w:h="2744" w:hRule="exact" w:wrap="around" w:vAnchor="page" w:hAnchor="page" w:x="7372" w:y="568" w:anchorLock="0"/>
    </w:pPr>
  </w:p>
  <w:p w:rsidR="0077093B" w:rsidRPr="000761C1" w:rsidRDefault="007709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98F97C"/>
    <w:lvl w:ilvl="0">
      <w:start w:val="1"/>
      <w:numFmt w:val="decimal"/>
      <w:pStyle w:val="Numreradlista"/>
      <w:lvlText w:val="%1."/>
      <w:lvlJc w:val="left"/>
      <w:pPr>
        <w:tabs>
          <w:tab w:val="num" w:pos="360"/>
        </w:tabs>
        <w:ind w:left="360" w:hanging="360"/>
      </w:p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 w15:restartNumberingAfterBreak="0">
    <w:nsid w:val="067A2F12"/>
    <w:multiLevelType w:val="multilevel"/>
    <w:tmpl w:val="E4F8AC4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64272C"/>
    <w:multiLevelType w:val="multilevel"/>
    <w:tmpl w:val="AEBCD21E"/>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CDA3EAA"/>
    <w:multiLevelType w:val="multilevel"/>
    <w:tmpl w:val="8C58758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9400D9"/>
    <w:multiLevelType w:val="multilevel"/>
    <w:tmpl w:val="5A4A4D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8" w15:restartNumberingAfterBreak="0">
    <w:nsid w:val="10C33EF1"/>
    <w:multiLevelType w:val="multilevel"/>
    <w:tmpl w:val="A48C0508"/>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612692D"/>
    <w:multiLevelType w:val="multilevel"/>
    <w:tmpl w:val="79426EE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0F6770"/>
    <w:multiLevelType w:val="multilevel"/>
    <w:tmpl w:val="580896A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A3A52FA"/>
    <w:multiLevelType w:val="multilevel"/>
    <w:tmpl w:val="ED661EB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AA5A6C"/>
    <w:multiLevelType w:val="multilevel"/>
    <w:tmpl w:val="5BC2B032"/>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A70E78"/>
    <w:multiLevelType w:val="multilevel"/>
    <w:tmpl w:val="0A44174C"/>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3C505C3"/>
    <w:multiLevelType w:val="multilevel"/>
    <w:tmpl w:val="8EDE821E"/>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5A43B5C"/>
    <w:multiLevelType w:val="multilevel"/>
    <w:tmpl w:val="1BA295E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212168A"/>
    <w:multiLevelType w:val="multilevel"/>
    <w:tmpl w:val="089A69F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2F103A8"/>
    <w:multiLevelType w:val="multilevel"/>
    <w:tmpl w:val="63C04D0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9" w15:restartNumberingAfterBreak="0">
    <w:nsid w:val="37D534FD"/>
    <w:multiLevelType w:val="multilevel"/>
    <w:tmpl w:val="7FAE93CE"/>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0" w15:restartNumberingAfterBreak="0">
    <w:nsid w:val="3AA51ADA"/>
    <w:multiLevelType w:val="multilevel"/>
    <w:tmpl w:val="1BA295E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3ACF4FF8"/>
    <w:multiLevelType w:val="multilevel"/>
    <w:tmpl w:val="6356426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0A01AF"/>
    <w:multiLevelType w:val="multilevel"/>
    <w:tmpl w:val="A5A0817E"/>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09964A1"/>
    <w:multiLevelType w:val="multilevel"/>
    <w:tmpl w:val="9FE22472"/>
    <w:lvl w:ilvl="0">
      <w:start w:val="1"/>
      <w:numFmt w:val="bullet"/>
      <w:lvlText w:val=""/>
      <w:lvlJc w:val="left"/>
      <w:pPr>
        <w:tabs>
          <w:tab w:val="num" w:pos="587"/>
        </w:tabs>
        <w:ind w:left="587" w:hanging="360"/>
      </w:pPr>
      <w:rPr>
        <w:rFonts w:ascii="Symbol" w:hAnsi="Symbol"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24" w15:restartNumberingAfterBreak="0">
    <w:nsid w:val="40E13B71"/>
    <w:multiLevelType w:val="multilevel"/>
    <w:tmpl w:val="D13A4C1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16F1124"/>
    <w:multiLevelType w:val="multilevel"/>
    <w:tmpl w:val="979E2A2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38755A9"/>
    <w:multiLevelType w:val="multilevel"/>
    <w:tmpl w:val="0A525A4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DF5C64"/>
    <w:multiLevelType w:val="multilevel"/>
    <w:tmpl w:val="8D3EFBC6"/>
    <w:lvl w:ilvl="0">
      <w:start w:val="10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7CA57B7"/>
    <w:multiLevelType w:val="multilevel"/>
    <w:tmpl w:val="908E399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89072D"/>
    <w:multiLevelType w:val="multilevel"/>
    <w:tmpl w:val="5D70F82E"/>
    <w:lvl w:ilvl="0">
      <w:start w:val="1"/>
      <w:numFmt w:val="decimal"/>
      <w:lvlText w:val="%1."/>
      <w:lvlJc w:val="left"/>
      <w:pPr>
        <w:tabs>
          <w:tab w:val="num" w:pos="752"/>
        </w:tabs>
        <w:ind w:left="752" w:hanging="52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31" w15:restartNumberingAfterBreak="0">
    <w:nsid w:val="4FA1162A"/>
    <w:multiLevelType w:val="multilevel"/>
    <w:tmpl w:val="B8E2482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FA5282C"/>
    <w:multiLevelType w:val="multilevel"/>
    <w:tmpl w:val="D1CE7EB0"/>
    <w:lvl w:ilvl="0">
      <w:start w:val="5"/>
      <w:numFmt w:val="bullet"/>
      <w:lvlText w:val="–"/>
      <w:lvlJc w:val="left"/>
      <w:pPr>
        <w:tabs>
          <w:tab w:val="num" w:pos="797"/>
        </w:tabs>
        <w:ind w:left="797" w:hanging="570"/>
      </w:pPr>
      <w:rPr>
        <w:rFonts w:ascii="Times New Roman" w:eastAsia="Times New Roman" w:hAnsi="Times New Roman" w:cs="Times New Roman" w:hint="default"/>
        <w:i/>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33" w15:restartNumberingAfterBreak="0">
    <w:nsid w:val="51B4285F"/>
    <w:multiLevelType w:val="multilevel"/>
    <w:tmpl w:val="ACE67856"/>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34" w15:restartNumberingAfterBreak="0">
    <w:nsid w:val="565303AB"/>
    <w:multiLevelType w:val="multilevel"/>
    <w:tmpl w:val="B08EE01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8E46330"/>
    <w:multiLevelType w:val="multilevel"/>
    <w:tmpl w:val="45E23C6E"/>
    <w:lvl w:ilvl="0">
      <w:start w:val="10"/>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7" w15:restartNumberingAfterBreak="0">
    <w:nsid w:val="5A5B1CDE"/>
    <w:multiLevelType w:val="multilevel"/>
    <w:tmpl w:val="56E0471C"/>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8" w15:restartNumberingAfterBreak="0">
    <w:nsid w:val="5A7327FF"/>
    <w:multiLevelType w:val="multilevel"/>
    <w:tmpl w:val="24564E48"/>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5B4B0654"/>
    <w:multiLevelType w:val="multilevel"/>
    <w:tmpl w:val="1BA295E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5B6F6EB4"/>
    <w:multiLevelType w:val="multilevel"/>
    <w:tmpl w:val="B7BC22C2"/>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63C5393D"/>
    <w:multiLevelType w:val="multilevel"/>
    <w:tmpl w:val="3E6872D4"/>
    <w:lvl w:ilvl="0">
      <w:start w:val="10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64165F93"/>
    <w:multiLevelType w:val="multilevel"/>
    <w:tmpl w:val="193A2BFC"/>
    <w:lvl w:ilvl="0">
      <w:start w:val="10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65EF5A0B"/>
    <w:multiLevelType w:val="multilevel"/>
    <w:tmpl w:val="4A0E6E16"/>
    <w:lvl w:ilvl="0">
      <w:start w:val="10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66ED71C2"/>
    <w:multiLevelType w:val="multilevel"/>
    <w:tmpl w:val="3412F1E0"/>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671F62C3"/>
    <w:multiLevelType w:val="multilevel"/>
    <w:tmpl w:val="B8BA43C2"/>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68AC656F"/>
    <w:multiLevelType w:val="multilevel"/>
    <w:tmpl w:val="1B329E94"/>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AE9453D"/>
    <w:multiLevelType w:val="multilevel"/>
    <w:tmpl w:val="4FF4A584"/>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7AE616EB"/>
    <w:multiLevelType w:val="multilevel"/>
    <w:tmpl w:val="1BA295E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7FE717E9"/>
    <w:multiLevelType w:val="multilevel"/>
    <w:tmpl w:val="5A9458DA"/>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89567308">
    <w:abstractNumId w:val="0"/>
  </w:num>
  <w:num w:numId="2" w16cid:durableId="238828217">
    <w:abstractNumId w:val="1"/>
  </w:num>
  <w:num w:numId="3" w16cid:durableId="2102213403">
    <w:abstractNumId w:val="36"/>
  </w:num>
  <w:num w:numId="4" w16cid:durableId="809595496">
    <w:abstractNumId w:val="28"/>
  </w:num>
  <w:num w:numId="5" w16cid:durableId="1534146947">
    <w:abstractNumId w:val="2"/>
  </w:num>
  <w:num w:numId="6" w16cid:durableId="687298632">
    <w:abstractNumId w:val="18"/>
  </w:num>
  <w:num w:numId="7" w16cid:durableId="374547768">
    <w:abstractNumId w:val="7"/>
  </w:num>
  <w:num w:numId="8" w16cid:durableId="364908285">
    <w:abstractNumId w:val="15"/>
  </w:num>
  <w:num w:numId="9" w16cid:durableId="581909076">
    <w:abstractNumId w:val="17"/>
  </w:num>
  <w:num w:numId="10" w16cid:durableId="2046371537">
    <w:abstractNumId w:val="31"/>
  </w:num>
  <w:num w:numId="11" w16cid:durableId="1737119594">
    <w:abstractNumId w:val="39"/>
  </w:num>
  <w:num w:numId="12" w16cid:durableId="973948245">
    <w:abstractNumId w:val="46"/>
  </w:num>
  <w:num w:numId="13" w16cid:durableId="249510943">
    <w:abstractNumId w:val="32"/>
  </w:num>
  <w:num w:numId="14" w16cid:durableId="900286403">
    <w:abstractNumId w:val="30"/>
  </w:num>
  <w:num w:numId="15" w16cid:durableId="1231503252">
    <w:abstractNumId w:val="33"/>
  </w:num>
  <w:num w:numId="16" w16cid:durableId="1662584458">
    <w:abstractNumId w:val="19"/>
  </w:num>
  <w:num w:numId="17" w16cid:durableId="286014308">
    <w:abstractNumId w:val="37"/>
  </w:num>
  <w:num w:numId="18" w16cid:durableId="457114832">
    <w:abstractNumId w:val="12"/>
  </w:num>
  <w:num w:numId="19" w16cid:durableId="1441417737">
    <w:abstractNumId w:val="8"/>
  </w:num>
  <w:num w:numId="20" w16cid:durableId="2019699773">
    <w:abstractNumId w:val="22"/>
  </w:num>
  <w:num w:numId="21" w16cid:durableId="1233391633">
    <w:abstractNumId w:val="40"/>
  </w:num>
  <w:num w:numId="22" w16cid:durableId="313263666">
    <w:abstractNumId w:val="44"/>
  </w:num>
  <w:num w:numId="23" w16cid:durableId="1722630700">
    <w:abstractNumId w:val="49"/>
  </w:num>
  <w:num w:numId="24" w16cid:durableId="1691641293">
    <w:abstractNumId w:val="38"/>
  </w:num>
  <w:num w:numId="25" w16cid:durableId="1191869842">
    <w:abstractNumId w:val="45"/>
  </w:num>
  <w:num w:numId="26" w16cid:durableId="700327586">
    <w:abstractNumId w:val="4"/>
  </w:num>
  <w:num w:numId="27" w16cid:durableId="1090470899">
    <w:abstractNumId w:val="21"/>
  </w:num>
  <w:num w:numId="28" w16cid:durableId="2045132117">
    <w:abstractNumId w:val="23"/>
  </w:num>
  <w:num w:numId="29" w16cid:durableId="360592583">
    <w:abstractNumId w:val="26"/>
  </w:num>
  <w:num w:numId="30" w16cid:durableId="1809273511">
    <w:abstractNumId w:val="41"/>
  </w:num>
  <w:num w:numId="31" w16cid:durableId="447747594">
    <w:abstractNumId w:val="47"/>
  </w:num>
  <w:num w:numId="32" w16cid:durableId="670377456">
    <w:abstractNumId w:val="14"/>
  </w:num>
  <w:num w:numId="33" w16cid:durableId="621771135">
    <w:abstractNumId w:val="9"/>
  </w:num>
  <w:num w:numId="34" w16cid:durableId="1291278401">
    <w:abstractNumId w:val="5"/>
  </w:num>
  <w:num w:numId="35" w16cid:durableId="244731823">
    <w:abstractNumId w:val="34"/>
  </w:num>
  <w:num w:numId="36" w16cid:durableId="696852952">
    <w:abstractNumId w:val="3"/>
  </w:num>
  <w:num w:numId="37" w16cid:durableId="614219282">
    <w:abstractNumId w:val="29"/>
  </w:num>
  <w:num w:numId="38" w16cid:durableId="145511594">
    <w:abstractNumId w:val="6"/>
  </w:num>
  <w:num w:numId="39" w16cid:durableId="1179927594">
    <w:abstractNumId w:val="11"/>
  </w:num>
  <w:num w:numId="40" w16cid:durableId="1289432711">
    <w:abstractNumId w:val="25"/>
  </w:num>
  <w:num w:numId="41" w16cid:durableId="622806144">
    <w:abstractNumId w:val="43"/>
  </w:num>
  <w:num w:numId="42" w16cid:durableId="713501512">
    <w:abstractNumId w:val="42"/>
  </w:num>
  <w:num w:numId="43" w16cid:durableId="884295854">
    <w:abstractNumId w:val="27"/>
  </w:num>
  <w:num w:numId="44" w16cid:durableId="37243710">
    <w:abstractNumId w:val="35"/>
  </w:num>
  <w:num w:numId="45" w16cid:durableId="1456294970">
    <w:abstractNumId w:val="13"/>
  </w:num>
  <w:num w:numId="46" w16cid:durableId="300044389">
    <w:abstractNumId w:val="48"/>
  </w:num>
  <w:num w:numId="47" w16cid:durableId="1848908250">
    <w:abstractNumId w:val="10"/>
  </w:num>
  <w:num w:numId="48" w16cid:durableId="1727988376">
    <w:abstractNumId w:val="24"/>
  </w:num>
  <w:num w:numId="49" w16cid:durableId="634212505">
    <w:abstractNumId w:val="20"/>
  </w:num>
  <w:num w:numId="50" w16cid:durableId="13084318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7724E8"/>
    <w:rsid w:val="000761C1"/>
    <w:rsid w:val="0077093B"/>
    <w:rsid w:val="007724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7AA0D1-86AD-4CC0-B7DF-5FEA2AC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Normal"/>
    <w:pPr>
      <w:tabs>
        <w:tab w:val="left" w:pos="2835"/>
      </w:tabs>
      <w:spacing w:before="0" w:line="240" w:lineRule="auto"/>
    </w:pPr>
    <w:rPr>
      <w:sz w:val="25"/>
    </w:rPr>
  </w:style>
  <w:style w:type="paragraph" w:customStyle="1" w:styleId="Propmedindrag">
    <w:name w:val="Prop. med indrag"/>
    <w:basedOn w:val="Proputanindrag"/>
    <w:pPr>
      <w:overflowPunct w:val="0"/>
      <w:autoSpaceDE w:val="0"/>
      <w:autoSpaceDN w:val="0"/>
      <w:adjustRightInd w:val="0"/>
      <w:ind w:firstLine="227"/>
      <w:textAlignment w:val="baseline"/>
    </w:pPr>
  </w:style>
  <w:style w:type="paragraph" w:styleId="Numreradlista">
    <w:name w:val="List Number"/>
    <w:basedOn w:val="Normal"/>
    <w:semiHidden/>
    <w:pPr>
      <w:numPr>
        <w:numId w:val="1"/>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customStyle="1" w:styleId="Rubrik4utannumrering">
    <w:name w:val="Rubrik 4 utan numrering"/>
    <w:basedOn w:val="Proputanindrag"/>
    <w:next w:val="Proputanindrag"/>
    <w:pPr>
      <w:keepNext/>
      <w:overflowPunct w:val="0"/>
      <w:autoSpaceDE w:val="0"/>
      <w:autoSpaceDN w:val="0"/>
      <w:adjustRightInd w:val="0"/>
      <w:spacing w:before="520" w:after="180" w:line="260" w:lineRule="exact"/>
      <w:jc w:val="left"/>
      <w:textAlignment w:val="baseline"/>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5967</Words>
  <Characters>34614</Characters>
  <Application>Microsoft Office Word</Application>
  <DocSecurity>4</DocSecurity>
  <Lines>1081</Lines>
  <Paragraphs>349</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40232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2001-01-30T13:06:00Z</cp:lastPrinted>
  <dcterms:created xsi:type="dcterms:W3CDTF">2025-12-15T23:48:00Z</dcterms:created>
  <dcterms:modified xsi:type="dcterms:W3CDTF">2025-12-15T23:48:00Z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